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color w:val="000000"/>
          <w:kern w:val="2"/>
          <w:sz w:val="32"/>
          <w:szCs w:val="32"/>
          <w:u w:val="none"/>
          <w:lang w:val="en-US" w:eastAsia="zh-CN" w:bidi="ar-SA"/>
        </w:rPr>
      </w:pPr>
      <w:bookmarkStart w:id="0" w:name="_GoBack"/>
      <w:bookmarkEnd w:id="0"/>
      <w:r>
        <w:rPr>
          <w:rFonts w:hint="eastAsia" w:ascii="黑体" w:hAnsi="黑体" w:eastAsia="黑体" w:cs="黑体"/>
          <w:color w:val="000000"/>
          <w:kern w:val="2"/>
          <w:sz w:val="32"/>
          <w:szCs w:val="32"/>
          <w:u w:val="none"/>
          <w:lang w:val="en-US" w:eastAsia="zh-CN" w:bidi="ar-SA"/>
        </w:rPr>
        <w:t>附件：</w:t>
      </w:r>
    </w:p>
    <w:p>
      <w:pPr>
        <w:pStyle w:val="6"/>
        <w:spacing w:line="570" w:lineRule="exact"/>
        <w:jc w:val="center"/>
        <w:rPr>
          <w:rFonts w:hint="eastAsia" w:ascii="方正小标宋简体" w:hAnsi="方正小标宋简体" w:eastAsia="方正小标宋简体" w:cs="方正小标宋简体"/>
          <w:color w:val="000000"/>
          <w:kern w:val="2"/>
          <w:sz w:val="44"/>
          <w:szCs w:val="44"/>
          <w:u w:val="none"/>
          <w:lang w:val="en-US" w:eastAsia="zh-CN" w:bidi="ar-SA"/>
        </w:rPr>
      </w:pPr>
      <w:r>
        <w:rPr>
          <w:rFonts w:hint="eastAsia" w:ascii="方正小标宋简体" w:hAnsi="方正小标宋简体" w:eastAsia="方正小标宋简体" w:cs="方正小标宋简体"/>
          <w:color w:val="000000"/>
          <w:kern w:val="2"/>
          <w:sz w:val="44"/>
          <w:szCs w:val="44"/>
          <w:u w:val="none"/>
          <w:lang w:val="en-US" w:eastAsia="zh-CN" w:bidi="ar-SA"/>
        </w:rPr>
        <w:t>重点任务分工</w:t>
      </w:r>
    </w:p>
    <w:p>
      <w:pPr>
        <w:pStyle w:val="6"/>
        <w:spacing w:line="240" w:lineRule="exact"/>
        <w:jc w:val="center"/>
        <w:rPr>
          <w:rFonts w:hint="eastAsia" w:ascii="方正小标宋简体" w:hAnsi="方正小标宋简体" w:eastAsia="方正小标宋简体" w:cs="方正小标宋简体"/>
          <w:color w:val="000000"/>
          <w:kern w:val="2"/>
          <w:sz w:val="44"/>
          <w:szCs w:val="44"/>
          <w:u w:val="none"/>
          <w:lang w:val="en-US" w:eastAsia="zh-CN" w:bidi="ar-SA"/>
        </w:rPr>
      </w:pPr>
    </w:p>
    <w:tbl>
      <w:tblPr>
        <w:tblStyle w:val="14"/>
        <w:tblW w:w="133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5"/>
        <w:gridCol w:w="1048"/>
        <w:gridCol w:w="2236"/>
        <w:gridCol w:w="7099"/>
        <w:gridCol w:w="2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845" w:type="dxa"/>
            <w:vAlign w:val="center"/>
          </w:tcPr>
          <w:p>
            <w:pPr>
              <w:pStyle w:val="6"/>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val="0"/>
                <w:color w:val="000000"/>
                <w:kern w:val="2"/>
                <w:sz w:val="24"/>
                <w:szCs w:val="24"/>
                <w:u w:val="none"/>
                <w:vertAlign w:val="baseline"/>
                <w:lang w:val="en-US" w:eastAsia="zh-CN" w:bidi="ar-SA"/>
              </w:rPr>
            </w:pPr>
            <w:r>
              <w:rPr>
                <w:rFonts w:hint="eastAsia" w:ascii="黑体" w:hAnsi="黑体" w:eastAsia="黑体" w:cs="黑体"/>
                <w:b w:val="0"/>
                <w:bCs w:val="0"/>
                <w:color w:val="000000"/>
                <w:kern w:val="2"/>
                <w:sz w:val="24"/>
                <w:szCs w:val="24"/>
                <w:u w:val="none"/>
                <w:vertAlign w:val="baseline"/>
                <w:lang w:val="en-US" w:eastAsia="zh-CN" w:bidi="ar-SA"/>
              </w:rPr>
              <w:t>序号</w:t>
            </w:r>
          </w:p>
        </w:tc>
        <w:tc>
          <w:tcPr>
            <w:tcW w:w="1048" w:type="dxa"/>
            <w:vAlign w:val="center"/>
          </w:tcPr>
          <w:p>
            <w:pPr>
              <w:pStyle w:val="6"/>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val="0"/>
                <w:color w:val="000000"/>
                <w:kern w:val="2"/>
                <w:sz w:val="24"/>
                <w:szCs w:val="24"/>
                <w:u w:val="none"/>
                <w:vertAlign w:val="baseline"/>
                <w:lang w:val="en-US" w:eastAsia="zh-CN" w:bidi="ar-SA"/>
              </w:rPr>
            </w:pPr>
            <w:r>
              <w:rPr>
                <w:rFonts w:hint="eastAsia" w:ascii="黑体" w:hAnsi="黑体" w:eastAsia="黑体" w:cs="黑体"/>
                <w:b w:val="0"/>
                <w:bCs w:val="0"/>
                <w:color w:val="000000"/>
                <w:kern w:val="2"/>
                <w:sz w:val="24"/>
                <w:szCs w:val="24"/>
                <w:u w:val="none"/>
                <w:vertAlign w:val="baseline"/>
                <w:lang w:val="en-US" w:eastAsia="zh-CN" w:bidi="ar-SA"/>
              </w:rPr>
              <w:t>任务</w:t>
            </w:r>
          </w:p>
        </w:tc>
        <w:tc>
          <w:tcPr>
            <w:tcW w:w="9335" w:type="dxa"/>
            <w:gridSpan w:val="2"/>
            <w:vAlign w:val="center"/>
          </w:tcPr>
          <w:p>
            <w:pPr>
              <w:pStyle w:val="6"/>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val="0"/>
                <w:color w:val="000000"/>
                <w:kern w:val="2"/>
                <w:sz w:val="24"/>
                <w:szCs w:val="24"/>
                <w:u w:val="none"/>
                <w:vertAlign w:val="baseline"/>
                <w:lang w:val="en-US" w:eastAsia="zh-CN" w:bidi="ar-SA"/>
              </w:rPr>
            </w:pPr>
            <w:r>
              <w:rPr>
                <w:rFonts w:hint="eastAsia" w:ascii="黑体" w:hAnsi="黑体" w:eastAsia="黑体" w:cs="黑体"/>
                <w:b w:val="0"/>
                <w:bCs w:val="0"/>
                <w:color w:val="000000"/>
                <w:kern w:val="2"/>
                <w:sz w:val="24"/>
                <w:szCs w:val="24"/>
                <w:u w:val="none"/>
                <w:vertAlign w:val="baseline"/>
                <w:lang w:val="en-US" w:eastAsia="zh-CN" w:bidi="ar-SA"/>
              </w:rPr>
              <w:t>主要内容</w:t>
            </w:r>
          </w:p>
        </w:tc>
        <w:tc>
          <w:tcPr>
            <w:tcW w:w="2090" w:type="dxa"/>
            <w:vAlign w:val="center"/>
          </w:tcPr>
          <w:p>
            <w:pPr>
              <w:pStyle w:val="6"/>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val="0"/>
                <w:color w:val="000000"/>
                <w:kern w:val="2"/>
                <w:sz w:val="24"/>
                <w:szCs w:val="24"/>
                <w:u w:val="none"/>
                <w:vertAlign w:val="baseline"/>
                <w:lang w:val="en-US" w:eastAsia="zh-CN" w:bidi="ar-SA"/>
              </w:rPr>
            </w:pPr>
            <w:r>
              <w:rPr>
                <w:rFonts w:hint="eastAsia" w:ascii="黑体" w:hAnsi="黑体" w:eastAsia="黑体" w:cs="黑体"/>
                <w:b w:val="0"/>
                <w:bCs w:val="0"/>
                <w:color w:val="000000"/>
                <w:kern w:val="2"/>
                <w:sz w:val="24"/>
                <w:szCs w:val="24"/>
                <w:u w:val="none"/>
                <w:vertAlign w:val="baseline"/>
                <w:lang w:val="en-US" w:eastAsia="zh-CN" w:bidi="ar-SA"/>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0" w:hRule="atLeast"/>
          <w:jc w:val="center"/>
        </w:trPr>
        <w:tc>
          <w:tcPr>
            <w:tcW w:w="845" w:type="dxa"/>
            <w:vMerge w:val="restart"/>
            <w:vAlign w:val="center"/>
          </w:tcPr>
          <w:p>
            <w:pPr>
              <w:pStyle w:val="6"/>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000000"/>
                <w:kern w:val="2"/>
                <w:sz w:val="24"/>
                <w:szCs w:val="24"/>
                <w:u w:val="none"/>
                <w:vertAlign w:val="baseline"/>
                <w:lang w:val="en-US" w:eastAsia="zh-CN" w:bidi="ar-SA"/>
              </w:rPr>
            </w:pPr>
            <w:r>
              <w:rPr>
                <w:rFonts w:hint="eastAsia" w:ascii="仿宋_GB2312" w:hAnsi="仿宋_GB2312" w:eastAsia="仿宋_GB2312" w:cs="仿宋_GB2312"/>
                <w:b w:val="0"/>
                <w:bCs w:val="0"/>
                <w:color w:val="000000"/>
                <w:kern w:val="2"/>
                <w:sz w:val="24"/>
                <w:szCs w:val="24"/>
                <w:u w:val="none"/>
                <w:vertAlign w:val="baseline"/>
                <w:lang w:val="en-US" w:eastAsia="zh-CN" w:bidi="ar-SA"/>
              </w:rPr>
              <w:t>一</w:t>
            </w:r>
          </w:p>
        </w:tc>
        <w:tc>
          <w:tcPr>
            <w:tcW w:w="1048" w:type="dxa"/>
            <w:vMerge w:val="restart"/>
            <w:tcBorders>
              <w:top w:val="single" w:color="auto" w:sz="4" w:space="0"/>
              <w:left w:val="single" w:color="auto" w:sz="4" w:space="0"/>
              <w:right w:val="single" w:color="auto" w:sz="4" w:space="0"/>
            </w:tcBorders>
            <w:vAlign w:val="center"/>
          </w:tcPr>
          <w:p>
            <w:pPr>
              <w:pStyle w:val="6"/>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000000"/>
                <w:kern w:val="2"/>
                <w:sz w:val="24"/>
                <w:szCs w:val="24"/>
                <w:u w:val="none"/>
                <w:vertAlign w:val="baseline"/>
                <w:lang w:val="en-US" w:eastAsia="zh-CN" w:bidi="ar-SA"/>
              </w:rPr>
            </w:pPr>
            <w:r>
              <w:rPr>
                <w:rFonts w:hint="eastAsia" w:ascii="仿宋_GB2312" w:hAnsi="仿宋_GB2312" w:eastAsia="仿宋_GB2312" w:cs="仿宋_GB2312"/>
                <w:b w:val="0"/>
                <w:bCs w:val="0"/>
                <w:color w:val="000000"/>
                <w:kern w:val="2"/>
                <w:sz w:val="24"/>
                <w:szCs w:val="24"/>
                <w:u w:val="none"/>
                <w:vertAlign w:val="baseline"/>
                <w:lang w:val="en-US" w:eastAsia="zh-CN" w:bidi="ar-SA"/>
              </w:rPr>
              <w:t>深化安全理念，筑牢思想防线</w:t>
            </w:r>
          </w:p>
        </w:tc>
        <w:tc>
          <w:tcPr>
            <w:tcW w:w="9335" w:type="dxa"/>
            <w:gridSpan w:val="2"/>
            <w:tcBorders>
              <w:top w:val="single" w:color="auto" w:sz="4" w:space="0"/>
              <w:left w:val="single" w:color="auto" w:sz="4" w:space="0"/>
              <w:right w:val="single" w:color="auto" w:sz="4" w:space="0"/>
            </w:tcBorders>
            <w:vAlign w:val="center"/>
          </w:tcPr>
          <w:p>
            <w:pPr>
              <w:pStyle w:val="6"/>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b w:val="0"/>
                <w:bCs w:val="0"/>
                <w:color w:val="000000"/>
                <w:kern w:val="2"/>
                <w:sz w:val="24"/>
                <w:szCs w:val="24"/>
                <w:u w:val="none"/>
                <w:vertAlign w:val="baseline"/>
                <w:lang w:val="en-US" w:bidi="ar-SA"/>
              </w:rPr>
            </w:pPr>
            <w:r>
              <w:rPr>
                <w:rFonts w:hint="eastAsia" w:ascii="仿宋_GB2312" w:hAnsi="仿宋_GB2312" w:eastAsia="仿宋_GB2312" w:cs="仿宋_GB2312"/>
                <w:b w:val="0"/>
                <w:bCs w:val="0"/>
                <w:color w:val="000000"/>
                <w:kern w:val="2"/>
                <w:sz w:val="24"/>
                <w:szCs w:val="24"/>
                <w:u w:val="none"/>
                <w:vertAlign w:val="baseline"/>
                <w:lang w:val="en-US" w:eastAsia="zh-CN" w:bidi="ar-SA"/>
              </w:rPr>
              <w:t>1.</w:t>
            </w:r>
            <w:r>
              <w:rPr>
                <w:rFonts w:hint="eastAsia" w:ascii="仿宋_GB2312" w:hAnsi="仿宋_GB2312" w:eastAsia="仿宋_GB2312" w:cs="仿宋_GB2312"/>
                <w:b w:val="0"/>
                <w:bCs w:val="0"/>
                <w:color w:val="000000"/>
                <w:kern w:val="2"/>
                <w:sz w:val="24"/>
                <w:szCs w:val="24"/>
                <w:u w:val="none"/>
                <w:vertAlign w:val="baseline"/>
                <w:lang w:val="en-US" w:bidi="ar-SA"/>
              </w:rPr>
              <w:t>强化理念引领，推动安全发展落地。将习近平总书记关于安全生产与防灾减灾救灾的重要讲话及指示批示，列为党委（党组）学习的首要议题并及时跟进。把习近平总书记对应急管理的重要论述，作为理论学习中心组的关键内容定期开展专题学习。将党中央国务院、省委省政府、市委市政府、县委县政府关于安全生产的重大决策部署，作为重要事项及时传达学习。切实树立“发展绝不能以牺牲安全为代价” 的红线意识，强化事故可防可控理念，严格落实工作举措，制定执行清单，强化跟踪问效。</w:t>
            </w:r>
          </w:p>
        </w:tc>
        <w:tc>
          <w:tcPr>
            <w:tcW w:w="2090" w:type="dxa"/>
            <w:vAlign w:val="center"/>
          </w:tcPr>
          <w:p>
            <w:pPr>
              <w:pStyle w:val="6"/>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000000"/>
                <w:kern w:val="2"/>
                <w:sz w:val="24"/>
                <w:szCs w:val="24"/>
                <w:u w:val="none"/>
                <w:vertAlign w:val="baseline"/>
                <w:lang w:val="en-US" w:eastAsia="zh-CN" w:bidi="ar-SA"/>
              </w:rPr>
            </w:pPr>
            <w:r>
              <w:rPr>
                <w:rFonts w:hint="eastAsia" w:ascii="仿宋_GB2312" w:hAnsi="仿宋_GB2312" w:eastAsia="仿宋_GB2312" w:cs="仿宋_GB2312"/>
                <w:b w:val="0"/>
                <w:bCs w:val="0"/>
                <w:color w:val="000000"/>
                <w:spacing w:val="-6"/>
                <w:kern w:val="2"/>
                <w:sz w:val="24"/>
                <w:szCs w:val="24"/>
                <w:u w:val="none"/>
                <w:vertAlign w:val="baseline"/>
                <w:lang w:val="en-US" w:bidi="ar-SA"/>
              </w:rPr>
              <w:t>县安委会各成员单位</w:t>
            </w:r>
            <w:r>
              <w:rPr>
                <w:rFonts w:hint="eastAsia" w:ascii="仿宋_GB2312" w:hAnsi="仿宋_GB2312" w:eastAsia="仿宋_GB2312" w:cs="仿宋_GB2312"/>
                <w:b w:val="0"/>
                <w:bCs w:val="0"/>
                <w:color w:val="000000"/>
                <w:spacing w:val="-6"/>
                <w:kern w:val="2"/>
                <w:sz w:val="24"/>
                <w:szCs w:val="24"/>
                <w:u w:val="none"/>
                <w:vertAlign w:val="baseline"/>
                <w:lang w:val="en-US" w:eastAsia="zh-CN" w:bidi="ar-SA"/>
              </w:rPr>
              <w:t>，</w:t>
            </w:r>
            <w:r>
              <w:rPr>
                <w:rFonts w:hint="eastAsia" w:ascii="仿宋_GB2312" w:hAnsi="仿宋_GB2312" w:eastAsia="仿宋_GB2312" w:cs="仿宋_GB2312"/>
                <w:b w:val="0"/>
                <w:bCs w:val="0"/>
                <w:color w:val="000000"/>
                <w:spacing w:val="-6"/>
                <w:kern w:val="2"/>
                <w:sz w:val="24"/>
                <w:szCs w:val="24"/>
                <w:u w:val="none"/>
                <w:vertAlign w:val="baseline"/>
                <w:lang w:val="en-US" w:bidi="ar-SA"/>
              </w:rPr>
              <w:t>各</w:t>
            </w:r>
            <w:r>
              <w:rPr>
                <w:rFonts w:hint="eastAsia" w:ascii="仿宋_GB2312" w:hAnsi="仿宋_GB2312" w:eastAsia="仿宋_GB2312" w:cs="仿宋_GB2312"/>
                <w:b w:val="0"/>
                <w:bCs w:val="0"/>
                <w:color w:val="000000"/>
                <w:spacing w:val="-6"/>
                <w:kern w:val="2"/>
                <w:sz w:val="24"/>
                <w:szCs w:val="24"/>
                <w:u w:val="none"/>
                <w:vertAlign w:val="baseline"/>
                <w:lang w:val="en-US" w:eastAsia="zh-CN" w:bidi="ar-SA"/>
              </w:rPr>
              <w:t>乡镇</w:t>
            </w:r>
            <w:r>
              <w:rPr>
                <w:rFonts w:hint="eastAsia" w:ascii="仿宋_GB2312" w:hAnsi="仿宋_GB2312" w:eastAsia="仿宋_GB2312" w:cs="仿宋_GB2312"/>
                <w:b w:val="0"/>
                <w:bCs w:val="0"/>
                <w:color w:val="000000"/>
                <w:spacing w:val="-6"/>
                <w:kern w:val="2"/>
                <w:sz w:val="24"/>
                <w:szCs w:val="24"/>
                <w:u w:val="none"/>
                <w:vertAlign w:val="baseline"/>
                <w:lang w:val="en-US" w:bidi="ar-SA"/>
              </w:rPr>
              <w:t>人民政府</w:t>
            </w:r>
            <w:r>
              <w:rPr>
                <w:rFonts w:hint="eastAsia" w:ascii="仿宋_GB2312" w:hAnsi="仿宋_GB2312" w:eastAsia="仿宋_GB2312" w:cs="仿宋_GB2312"/>
                <w:b w:val="0"/>
                <w:bCs w:val="0"/>
                <w:color w:val="000000"/>
                <w:spacing w:val="-6"/>
                <w:kern w:val="2"/>
                <w:sz w:val="24"/>
                <w:szCs w:val="24"/>
                <w:u w:val="none"/>
                <w:vertAlign w:val="baseline"/>
                <w:lang w:val="en-US" w:eastAsia="zh-CN" w:bidi="ar-SA"/>
              </w:rPr>
              <w:t>负责（以下均需乡镇人民政府负责，不再一一列出）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5" w:hRule="atLeast"/>
          <w:jc w:val="center"/>
        </w:trPr>
        <w:tc>
          <w:tcPr>
            <w:tcW w:w="845"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b w:val="0"/>
                <w:bCs w:val="0"/>
                <w:sz w:val="24"/>
                <w:szCs w:val="24"/>
              </w:rPr>
            </w:pPr>
          </w:p>
        </w:tc>
        <w:tc>
          <w:tcPr>
            <w:tcW w:w="1048"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b w:val="0"/>
                <w:bCs w:val="0"/>
                <w:sz w:val="24"/>
                <w:szCs w:val="24"/>
              </w:rPr>
            </w:pPr>
          </w:p>
        </w:tc>
        <w:tc>
          <w:tcPr>
            <w:tcW w:w="9335" w:type="dxa"/>
            <w:gridSpan w:val="2"/>
            <w:tcBorders>
              <w:top w:val="single" w:color="auto" w:sz="4" w:space="0"/>
              <w:left w:val="single" w:color="auto" w:sz="4" w:space="0"/>
              <w:right w:val="single" w:color="auto" w:sz="4" w:space="0"/>
            </w:tcBorders>
            <w:vAlign w:val="center"/>
          </w:tcPr>
          <w:p>
            <w:pPr>
              <w:pStyle w:val="6"/>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b w:val="0"/>
                <w:bCs w:val="0"/>
                <w:color w:val="000000"/>
                <w:kern w:val="2"/>
                <w:sz w:val="24"/>
                <w:szCs w:val="24"/>
                <w:u w:val="none"/>
                <w:vertAlign w:val="baseline"/>
                <w:lang w:val="en-US" w:eastAsia="zh-CN" w:bidi="ar-SA"/>
              </w:rPr>
            </w:pPr>
            <w:r>
              <w:rPr>
                <w:rFonts w:hint="eastAsia" w:ascii="仿宋_GB2312" w:hAnsi="仿宋_GB2312" w:eastAsia="仿宋_GB2312" w:cs="仿宋_GB2312"/>
                <w:b w:val="0"/>
                <w:bCs w:val="0"/>
                <w:color w:val="000000"/>
                <w:kern w:val="2"/>
                <w:sz w:val="24"/>
                <w:szCs w:val="24"/>
                <w:u w:val="none"/>
                <w:vertAlign w:val="baseline"/>
                <w:lang w:val="en-US" w:eastAsia="zh-CN" w:bidi="ar-SA"/>
              </w:rPr>
              <w:t>2.创新宣教形式，丰富安全文化内涵。各乡镇各部门应制定年度宣传规划，将安全生产作为核心板块组织宣传活动。县融媒体中心等主流媒体要开设安全生产专属栏目，借助政府网站、微信、微博、抖音等新媒体平台，常态化开展宣传工作。广泛报道应急管理、安全生产、防灾减灾救灾的重要工作与重大活动，开展应急科普与安全公益宣传，播放警示教育片，展现基层一线的先进人物与典型经验。组织开展安全生产月、消防宣传月、防灾减灾宣传周等主题活动。常态化推进安全宣传“五进”活动，整合政府部门、基金会、社会宣传资源、网格员、消防协管员等多方力量，开展进企宣讲、送教下乡、入户提醒等活动。深入开展地震科普活动，创新科普宣传内容与形式，切实做好重点时段防震减灾科普宣传。持续拓展网络电视、微信小程序、应急广播等预警信息发布渠道，提升公众服务效能。加大学校、医院等重点场所地震预警终端的布设力度。督促指导各类学校扎实开展“开学第一课”，从娃娃抓起提升安全意识；指导督促人员密集场所定期组织应急逃生与自救互救演练；大力推进安全文化示范企业创建，在去年创建本质安全型标杆企业的基础上，今年继续深化创建工作，总结经验做法，2025 年各行业领域全面推开创建工作，原则上创建率不低于总数的50%；充分发挥工青团妇等群团组织作用，强化群众监督员安全监督，开展家庭安全寄语等活动，筑牢安全生产的群众基础。</w:t>
            </w:r>
          </w:p>
        </w:tc>
        <w:tc>
          <w:tcPr>
            <w:tcW w:w="2090" w:type="dxa"/>
            <w:vAlign w:val="center"/>
          </w:tcPr>
          <w:p>
            <w:pPr>
              <w:pStyle w:val="6"/>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b w:val="0"/>
                <w:bCs w:val="0"/>
                <w:color w:val="000000"/>
                <w:kern w:val="2"/>
                <w:sz w:val="24"/>
                <w:szCs w:val="24"/>
                <w:u w:val="none"/>
                <w:vertAlign w:val="baseline"/>
                <w:lang w:val="en-US" w:eastAsia="zh-CN" w:bidi="ar-SA"/>
              </w:rPr>
            </w:pPr>
            <w:r>
              <w:rPr>
                <w:rFonts w:hint="eastAsia" w:ascii="仿宋_GB2312" w:hAnsi="仿宋_GB2312" w:eastAsia="仿宋_GB2312" w:cs="仿宋_GB2312"/>
                <w:b w:val="0"/>
                <w:bCs w:val="0"/>
                <w:color w:val="000000"/>
                <w:kern w:val="2"/>
                <w:sz w:val="24"/>
                <w:szCs w:val="24"/>
                <w:u w:val="none"/>
                <w:vertAlign w:val="baseline"/>
                <w:lang w:val="en-US" w:eastAsia="zh-CN" w:bidi="ar-SA"/>
              </w:rPr>
              <w:t>县安委会各成员单位按职责负责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845" w:type="dxa"/>
            <w:vAlign w:val="center"/>
          </w:tcPr>
          <w:p>
            <w:pPr>
              <w:pStyle w:val="6"/>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val="0"/>
                <w:color w:val="000000"/>
                <w:kern w:val="2"/>
                <w:sz w:val="24"/>
                <w:szCs w:val="24"/>
                <w:u w:val="none"/>
                <w:vertAlign w:val="baseline"/>
                <w:lang w:val="en-US" w:eastAsia="zh-CN" w:bidi="ar-SA"/>
              </w:rPr>
            </w:pPr>
            <w:r>
              <w:rPr>
                <w:rFonts w:hint="eastAsia" w:ascii="黑体" w:hAnsi="黑体" w:eastAsia="黑体" w:cs="黑体"/>
                <w:b w:val="0"/>
                <w:bCs w:val="0"/>
                <w:color w:val="000000"/>
                <w:kern w:val="2"/>
                <w:sz w:val="24"/>
                <w:szCs w:val="24"/>
                <w:u w:val="none"/>
                <w:vertAlign w:val="baseline"/>
                <w:lang w:val="en-US" w:eastAsia="zh-CN" w:bidi="ar-SA"/>
              </w:rPr>
              <w:t>序号</w:t>
            </w:r>
          </w:p>
        </w:tc>
        <w:tc>
          <w:tcPr>
            <w:tcW w:w="1048" w:type="dxa"/>
            <w:vAlign w:val="center"/>
          </w:tcPr>
          <w:p>
            <w:pPr>
              <w:pStyle w:val="6"/>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val="0"/>
                <w:color w:val="000000"/>
                <w:kern w:val="2"/>
                <w:sz w:val="24"/>
                <w:szCs w:val="24"/>
                <w:u w:val="none"/>
                <w:vertAlign w:val="baseline"/>
                <w:lang w:val="en-US" w:eastAsia="zh-CN" w:bidi="ar-SA"/>
              </w:rPr>
            </w:pPr>
            <w:r>
              <w:rPr>
                <w:rFonts w:hint="eastAsia" w:ascii="黑体" w:hAnsi="黑体" w:eastAsia="黑体" w:cs="黑体"/>
                <w:b w:val="0"/>
                <w:bCs w:val="0"/>
                <w:color w:val="000000"/>
                <w:kern w:val="2"/>
                <w:sz w:val="24"/>
                <w:szCs w:val="24"/>
                <w:u w:val="none"/>
                <w:vertAlign w:val="baseline"/>
                <w:lang w:val="en-US" w:eastAsia="zh-CN" w:bidi="ar-SA"/>
              </w:rPr>
              <w:t>任务</w:t>
            </w:r>
          </w:p>
        </w:tc>
        <w:tc>
          <w:tcPr>
            <w:tcW w:w="9335" w:type="dxa"/>
            <w:gridSpan w:val="2"/>
            <w:tcBorders>
              <w:top w:val="single" w:color="auto" w:sz="4" w:space="0"/>
              <w:left w:val="single" w:color="auto" w:sz="4" w:space="0"/>
              <w:right w:val="single" w:color="auto" w:sz="4" w:space="0"/>
            </w:tcBorders>
            <w:vAlign w:val="center"/>
          </w:tcPr>
          <w:p>
            <w:pPr>
              <w:pStyle w:val="6"/>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val="0"/>
                <w:color w:val="000000"/>
                <w:kern w:val="2"/>
                <w:sz w:val="24"/>
                <w:szCs w:val="24"/>
                <w:u w:val="none"/>
                <w:vertAlign w:val="baseline"/>
                <w:lang w:val="en-US" w:eastAsia="zh-CN" w:bidi="ar-SA"/>
              </w:rPr>
            </w:pPr>
            <w:r>
              <w:rPr>
                <w:rFonts w:hint="eastAsia" w:ascii="黑体" w:hAnsi="黑体" w:eastAsia="黑体" w:cs="黑体"/>
                <w:b w:val="0"/>
                <w:bCs w:val="0"/>
                <w:color w:val="000000"/>
                <w:kern w:val="2"/>
                <w:sz w:val="24"/>
                <w:szCs w:val="24"/>
                <w:u w:val="none"/>
                <w:vertAlign w:val="baseline"/>
                <w:lang w:val="en-US" w:eastAsia="zh-CN" w:bidi="ar-SA"/>
              </w:rPr>
              <w:t>主要内容</w:t>
            </w:r>
          </w:p>
        </w:tc>
        <w:tc>
          <w:tcPr>
            <w:tcW w:w="2090" w:type="dxa"/>
            <w:vAlign w:val="center"/>
          </w:tcPr>
          <w:p>
            <w:pPr>
              <w:pStyle w:val="6"/>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val="0"/>
                <w:color w:val="000000"/>
                <w:kern w:val="2"/>
                <w:sz w:val="24"/>
                <w:szCs w:val="24"/>
                <w:u w:val="none"/>
                <w:vertAlign w:val="baseline"/>
                <w:lang w:val="en-US" w:eastAsia="zh-CN" w:bidi="ar-SA"/>
              </w:rPr>
            </w:pPr>
            <w:r>
              <w:rPr>
                <w:rFonts w:hint="eastAsia" w:ascii="黑体" w:hAnsi="黑体" w:eastAsia="黑体" w:cs="黑体"/>
                <w:b w:val="0"/>
                <w:bCs w:val="0"/>
                <w:color w:val="000000"/>
                <w:kern w:val="2"/>
                <w:sz w:val="24"/>
                <w:szCs w:val="24"/>
                <w:u w:val="none"/>
                <w:vertAlign w:val="baseline"/>
                <w:lang w:val="en-US" w:eastAsia="zh-CN" w:bidi="ar-SA"/>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5" w:hRule="atLeast"/>
          <w:jc w:val="center"/>
        </w:trPr>
        <w:tc>
          <w:tcPr>
            <w:tcW w:w="845" w:type="dxa"/>
            <w:vAlign w:val="center"/>
          </w:tcPr>
          <w:p>
            <w:pPr>
              <w:pStyle w:val="6"/>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000000"/>
                <w:kern w:val="2"/>
                <w:sz w:val="24"/>
                <w:szCs w:val="24"/>
                <w:u w:val="none"/>
                <w:vertAlign w:val="baseline"/>
                <w:lang w:val="en-US" w:eastAsia="zh-CN" w:bidi="ar-SA"/>
              </w:rPr>
            </w:pPr>
            <w:r>
              <w:rPr>
                <w:rFonts w:hint="eastAsia" w:ascii="仿宋_GB2312" w:hAnsi="仿宋_GB2312" w:eastAsia="仿宋_GB2312" w:cs="仿宋_GB2312"/>
                <w:b w:val="0"/>
                <w:bCs w:val="0"/>
                <w:color w:val="000000"/>
                <w:kern w:val="2"/>
                <w:sz w:val="24"/>
                <w:szCs w:val="24"/>
                <w:u w:val="none"/>
                <w:vertAlign w:val="baseline"/>
                <w:lang w:val="en-US" w:eastAsia="zh-CN" w:bidi="ar-SA"/>
              </w:rPr>
              <w:t>一</w:t>
            </w:r>
          </w:p>
        </w:tc>
        <w:tc>
          <w:tcPr>
            <w:tcW w:w="1048" w:type="dxa"/>
            <w:tcBorders>
              <w:top w:val="single" w:color="auto" w:sz="4" w:space="0"/>
              <w:left w:val="single" w:color="auto" w:sz="4" w:space="0"/>
              <w:right w:val="single" w:color="auto" w:sz="4" w:space="0"/>
            </w:tcBorders>
            <w:vAlign w:val="center"/>
          </w:tcPr>
          <w:p>
            <w:pPr>
              <w:pStyle w:val="6"/>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000000"/>
                <w:kern w:val="2"/>
                <w:sz w:val="24"/>
                <w:szCs w:val="24"/>
                <w:u w:val="none"/>
                <w:vertAlign w:val="baseline"/>
                <w:lang w:val="en-US" w:bidi="ar-SA"/>
              </w:rPr>
            </w:pPr>
            <w:r>
              <w:rPr>
                <w:rFonts w:hint="eastAsia" w:ascii="仿宋_GB2312" w:hAnsi="仿宋_GB2312" w:eastAsia="仿宋_GB2312" w:cs="仿宋_GB2312"/>
                <w:b w:val="0"/>
                <w:bCs w:val="0"/>
                <w:color w:val="000000"/>
                <w:kern w:val="2"/>
                <w:sz w:val="24"/>
                <w:szCs w:val="24"/>
                <w:u w:val="none"/>
                <w:vertAlign w:val="baseline"/>
                <w:lang w:val="en-US" w:eastAsia="zh-CN" w:bidi="ar-SA"/>
              </w:rPr>
              <w:t>提升安全意识，筑牢安全防线</w:t>
            </w:r>
          </w:p>
        </w:tc>
        <w:tc>
          <w:tcPr>
            <w:tcW w:w="9335" w:type="dxa"/>
            <w:gridSpan w:val="2"/>
            <w:tcBorders>
              <w:top w:val="single" w:color="auto" w:sz="4" w:space="0"/>
              <w:left w:val="single" w:color="auto" w:sz="4" w:space="0"/>
              <w:right w:val="single" w:color="auto" w:sz="4" w:space="0"/>
            </w:tcBorders>
            <w:vAlign w:val="center"/>
          </w:tcPr>
          <w:p>
            <w:pPr>
              <w:pStyle w:val="6"/>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b w:val="0"/>
                <w:bCs w:val="0"/>
                <w:color w:val="000000"/>
                <w:kern w:val="2"/>
                <w:sz w:val="24"/>
                <w:szCs w:val="24"/>
                <w:u w:val="none"/>
                <w:vertAlign w:val="baseline"/>
                <w:lang w:val="en-US" w:eastAsia="zh-CN" w:bidi="ar-SA"/>
              </w:rPr>
            </w:pPr>
            <w:r>
              <w:rPr>
                <w:rFonts w:hint="eastAsia" w:ascii="仿宋_GB2312" w:hAnsi="仿宋_GB2312" w:eastAsia="仿宋_GB2312" w:cs="仿宋_GB2312"/>
                <w:b w:val="0"/>
                <w:bCs w:val="0"/>
                <w:color w:val="000000"/>
                <w:kern w:val="2"/>
                <w:sz w:val="24"/>
                <w:szCs w:val="24"/>
                <w:u w:val="none"/>
                <w:vertAlign w:val="baseline"/>
                <w:lang w:val="en-US" w:eastAsia="zh-CN" w:bidi="ar-SA"/>
              </w:rPr>
              <w:t>3.加大警示力度，增强事故防范意识。县安委办牵头制定我县生产安全事故警示教育办法并印发实施。各乡镇各部门和生产经营单位应结合自身实际，建立健全本地区本行业领域的事故警示教育机制。针对矿山、化工、工贸、道路运输等领域典型的较大及以上涉险事故、生产安全事故，或其他社会影响较大的生产安全事故、火灾亡人事故，及时开展警示教育，举一反三开展隐患排查整治，并对自查发现的问题隐患建立台账，重大隐患治理情况实施“双报告”。各乡镇及相关部门督促企业以事故调查报告为核心内容与培训教材，组织开展事故警示教育活动。通过案例分析反思讨论，让企业员工深入了解事故发生的规律特点，查找问题根源，明确企业存在的风险因素，制定针对性防范措施。各乡镇及相关部门每年至少组织一次本辖区、本行业领域企业主要负责人、实控人等“关键少数”参与的集中警示教育培训。</w:t>
            </w:r>
          </w:p>
        </w:tc>
        <w:tc>
          <w:tcPr>
            <w:tcW w:w="2090" w:type="dxa"/>
            <w:vAlign w:val="center"/>
          </w:tcPr>
          <w:p>
            <w:pPr>
              <w:pStyle w:val="6"/>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000000"/>
                <w:kern w:val="2"/>
                <w:sz w:val="24"/>
                <w:szCs w:val="24"/>
                <w:u w:val="none"/>
                <w:vertAlign w:val="baseline"/>
                <w:lang w:val="en-US" w:eastAsia="zh-CN" w:bidi="ar-SA"/>
              </w:rPr>
            </w:pPr>
            <w:r>
              <w:rPr>
                <w:rFonts w:hint="eastAsia" w:ascii="仿宋_GB2312" w:hAnsi="仿宋_GB2312" w:eastAsia="仿宋_GB2312" w:cs="仿宋_GB2312"/>
                <w:b w:val="0"/>
                <w:bCs w:val="0"/>
                <w:color w:val="000000"/>
                <w:kern w:val="2"/>
                <w:sz w:val="24"/>
                <w:szCs w:val="24"/>
                <w:u w:val="none"/>
                <w:vertAlign w:val="baseline"/>
                <w:lang w:val="en-US" w:eastAsia="zh-CN" w:bidi="ar-SA"/>
              </w:rPr>
              <w:t>县安委会有关</w:t>
            </w:r>
          </w:p>
          <w:p>
            <w:pPr>
              <w:pStyle w:val="6"/>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000000"/>
                <w:kern w:val="2"/>
                <w:sz w:val="24"/>
                <w:szCs w:val="24"/>
                <w:u w:val="none"/>
                <w:vertAlign w:val="baseline"/>
                <w:lang w:val="en-US" w:eastAsia="zh-CN" w:bidi="ar-SA"/>
              </w:rPr>
            </w:pPr>
            <w:r>
              <w:rPr>
                <w:rFonts w:hint="eastAsia" w:ascii="仿宋_GB2312" w:hAnsi="仿宋_GB2312" w:eastAsia="仿宋_GB2312" w:cs="仿宋_GB2312"/>
                <w:b w:val="0"/>
                <w:bCs w:val="0"/>
                <w:color w:val="000000"/>
                <w:kern w:val="2"/>
                <w:sz w:val="24"/>
                <w:szCs w:val="24"/>
                <w:u w:val="none"/>
                <w:vertAlign w:val="baseline"/>
                <w:lang w:val="en-US" w:eastAsia="zh-CN" w:bidi="ar-SA"/>
              </w:rPr>
              <w:t>成员单位负责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8" w:hRule="atLeast"/>
          <w:jc w:val="center"/>
        </w:trPr>
        <w:tc>
          <w:tcPr>
            <w:tcW w:w="845" w:type="dxa"/>
            <w:vAlign w:val="center"/>
          </w:tcPr>
          <w:p>
            <w:pPr>
              <w:pStyle w:val="6"/>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000000"/>
                <w:kern w:val="2"/>
                <w:sz w:val="24"/>
                <w:szCs w:val="24"/>
                <w:u w:val="none"/>
                <w:vertAlign w:val="baseline"/>
                <w:lang w:val="en-US" w:eastAsia="zh-CN" w:bidi="ar-SA"/>
              </w:rPr>
            </w:pPr>
            <w:r>
              <w:rPr>
                <w:rFonts w:hint="eastAsia" w:ascii="仿宋_GB2312" w:hAnsi="仿宋_GB2312" w:eastAsia="仿宋_GB2312" w:cs="仿宋_GB2312"/>
                <w:b w:val="0"/>
                <w:bCs w:val="0"/>
                <w:color w:val="000000"/>
                <w:kern w:val="2"/>
                <w:sz w:val="24"/>
                <w:szCs w:val="24"/>
                <w:u w:val="none"/>
                <w:vertAlign w:val="baseline"/>
                <w:lang w:val="en-US" w:eastAsia="zh-CN" w:bidi="ar-SA"/>
              </w:rPr>
              <w:t>二</w:t>
            </w:r>
          </w:p>
        </w:tc>
        <w:tc>
          <w:tcPr>
            <w:tcW w:w="1048" w:type="dxa"/>
            <w:tcBorders>
              <w:top w:val="single" w:color="auto" w:sz="4" w:space="0"/>
              <w:left w:val="single" w:color="auto" w:sz="4" w:space="0"/>
              <w:right w:val="single" w:color="auto" w:sz="4" w:space="0"/>
            </w:tcBorders>
            <w:vAlign w:val="center"/>
          </w:tcPr>
          <w:p>
            <w:pPr>
              <w:pStyle w:val="6"/>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000000"/>
                <w:kern w:val="2"/>
                <w:sz w:val="24"/>
                <w:szCs w:val="24"/>
                <w:u w:val="none"/>
                <w:vertAlign w:val="baseline"/>
                <w:lang w:val="en-US" w:eastAsia="zh-CN" w:bidi="ar-SA"/>
              </w:rPr>
            </w:pPr>
            <w:r>
              <w:rPr>
                <w:rFonts w:hint="eastAsia" w:ascii="仿宋_GB2312" w:hAnsi="仿宋_GB2312" w:eastAsia="仿宋_GB2312" w:cs="仿宋_GB2312"/>
                <w:b w:val="0"/>
                <w:bCs w:val="0"/>
                <w:color w:val="000000"/>
                <w:kern w:val="2"/>
                <w:sz w:val="24"/>
                <w:szCs w:val="24"/>
                <w:u w:val="none"/>
                <w:vertAlign w:val="baseline"/>
                <w:lang w:val="en-US" w:eastAsia="zh-CN" w:bidi="ar-SA"/>
              </w:rPr>
              <w:t>强化责任担当，落实安全使命</w:t>
            </w:r>
          </w:p>
        </w:tc>
        <w:tc>
          <w:tcPr>
            <w:tcW w:w="9335" w:type="dxa"/>
            <w:gridSpan w:val="2"/>
            <w:tcBorders>
              <w:top w:val="single" w:color="auto" w:sz="4" w:space="0"/>
              <w:left w:val="single" w:color="auto" w:sz="4" w:space="0"/>
              <w:right w:val="single" w:color="auto" w:sz="4" w:space="0"/>
            </w:tcBorders>
            <w:vAlign w:val="center"/>
          </w:tcPr>
          <w:p>
            <w:pPr>
              <w:pStyle w:val="6"/>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b w:val="0"/>
                <w:bCs w:val="0"/>
                <w:color w:val="000000"/>
                <w:kern w:val="2"/>
                <w:sz w:val="24"/>
                <w:szCs w:val="24"/>
                <w:u w:val="none"/>
                <w:vertAlign w:val="baseline"/>
                <w:lang w:val="en-US" w:eastAsia="zh-CN" w:bidi="ar-SA"/>
              </w:rPr>
            </w:pPr>
            <w:r>
              <w:rPr>
                <w:rFonts w:hint="eastAsia" w:ascii="仿宋_GB2312" w:hAnsi="仿宋_GB2312" w:eastAsia="仿宋_GB2312" w:cs="仿宋_GB2312"/>
                <w:b w:val="0"/>
                <w:bCs w:val="0"/>
                <w:color w:val="000000"/>
                <w:kern w:val="2"/>
                <w:sz w:val="24"/>
                <w:szCs w:val="24"/>
                <w:u w:val="none"/>
                <w:vertAlign w:val="baseline"/>
                <w:lang w:val="en-US" w:eastAsia="zh-CN" w:bidi="ar-SA"/>
              </w:rPr>
              <w:t>4.夯实党政职责，提升领导履职效能。严格执行《地方党政领导干部安全生产责任制规定》及省、市、县实施细则，制定党政领导干部安全生产职责清单和2025年重点工作任务清单，每半年召开一次专题会议，分管各行业领域政府副职向政府主要领导汇报履职情况。各行业安全专委会办公室要从领导班子、干部队伍、监管职责、执法力量、经费保障、执法装备、信息化建设等方面，梳理长期以来制约本行业领域安全发展的难点问题，提请县委、县政府每年至少研究解决1项，县委、县政府要建立安全生产办实事、解难题清单，至少研究解决10项具体问题。推动安委办实体化运行。县政府负责人带头落实包保矿山安全生产责任制，积极协调推进非煤矿山整合重组。发挥专家库、专业机构等作用，不断完善安全生产工作机制，提升党政领导干部履职能力。建立县乡两级党委政府地震预警信息服务直通车，提升政府决策服务能力。</w:t>
            </w:r>
          </w:p>
        </w:tc>
        <w:tc>
          <w:tcPr>
            <w:tcW w:w="2090" w:type="dxa"/>
            <w:vAlign w:val="center"/>
          </w:tcPr>
          <w:p>
            <w:pPr>
              <w:pStyle w:val="6"/>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000000"/>
                <w:kern w:val="2"/>
                <w:sz w:val="24"/>
                <w:szCs w:val="24"/>
                <w:u w:val="none"/>
                <w:vertAlign w:val="baseline"/>
                <w:lang w:val="en-US" w:eastAsia="zh-CN" w:bidi="ar-SA"/>
              </w:rPr>
            </w:pPr>
            <w:r>
              <w:rPr>
                <w:rFonts w:hint="eastAsia" w:ascii="仿宋_GB2312" w:hAnsi="仿宋_GB2312" w:eastAsia="仿宋_GB2312" w:cs="仿宋_GB2312"/>
                <w:b w:val="0"/>
                <w:bCs w:val="0"/>
                <w:color w:val="000000"/>
                <w:kern w:val="2"/>
                <w:sz w:val="24"/>
                <w:szCs w:val="24"/>
                <w:u w:val="none"/>
                <w:vertAlign w:val="baseline"/>
                <w:lang w:val="en-US" w:eastAsia="zh-CN" w:bidi="ar-SA"/>
              </w:rPr>
              <w:t>县安委会有关</w:t>
            </w:r>
          </w:p>
          <w:p>
            <w:pPr>
              <w:pStyle w:val="6"/>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000000"/>
                <w:kern w:val="2"/>
                <w:sz w:val="24"/>
                <w:szCs w:val="24"/>
                <w:u w:val="none"/>
                <w:vertAlign w:val="baseline"/>
                <w:lang w:val="en-US" w:eastAsia="zh-CN" w:bidi="ar-SA"/>
              </w:rPr>
            </w:pPr>
            <w:r>
              <w:rPr>
                <w:rFonts w:hint="eastAsia" w:ascii="仿宋_GB2312" w:hAnsi="仿宋_GB2312" w:eastAsia="仿宋_GB2312" w:cs="仿宋_GB2312"/>
                <w:b w:val="0"/>
                <w:bCs w:val="0"/>
                <w:color w:val="000000"/>
                <w:kern w:val="2"/>
                <w:sz w:val="24"/>
                <w:szCs w:val="24"/>
                <w:u w:val="none"/>
                <w:vertAlign w:val="baseline"/>
                <w:lang w:val="en-US" w:eastAsia="zh-CN" w:bidi="ar-SA"/>
              </w:rPr>
              <w:t>成员单位负责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45" w:type="dxa"/>
            <w:vAlign w:val="center"/>
          </w:tcPr>
          <w:p>
            <w:pPr>
              <w:pStyle w:val="6"/>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val="0"/>
                <w:color w:val="000000"/>
                <w:kern w:val="2"/>
                <w:sz w:val="24"/>
                <w:szCs w:val="24"/>
                <w:u w:val="none"/>
                <w:vertAlign w:val="baseline"/>
                <w:lang w:val="en-US" w:eastAsia="zh-CN" w:bidi="ar-SA"/>
              </w:rPr>
            </w:pPr>
            <w:r>
              <w:rPr>
                <w:rFonts w:hint="eastAsia" w:ascii="黑体" w:hAnsi="黑体" w:eastAsia="黑体" w:cs="黑体"/>
                <w:b w:val="0"/>
                <w:bCs w:val="0"/>
                <w:color w:val="000000"/>
                <w:kern w:val="2"/>
                <w:sz w:val="24"/>
                <w:szCs w:val="24"/>
                <w:u w:val="none"/>
                <w:vertAlign w:val="baseline"/>
                <w:lang w:val="en-US" w:eastAsia="zh-CN" w:bidi="ar-SA"/>
              </w:rPr>
              <w:t>序号</w:t>
            </w:r>
          </w:p>
        </w:tc>
        <w:tc>
          <w:tcPr>
            <w:tcW w:w="1048" w:type="dxa"/>
            <w:tcBorders>
              <w:top w:val="single" w:color="auto" w:sz="4" w:space="0"/>
              <w:left w:val="single" w:color="auto" w:sz="4" w:space="0"/>
              <w:right w:val="single" w:color="auto" w:sz="4" w:space="0"/>
            </w:tcBorders>
            <w:vAlign w:val="center"/>
          </w:tcPr>
          <w:p>
            <w:pPr>
              <w:pStyle w:val="6"/>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val="0"/>
                <w:color w:val="000000"/>
                <w:kern w:val="2"/>
                <w:sz w:val="24"/>
                <w:szCs w:val="24"/>
                <w:u w:val="none"/>
                <w:vertAlign w:val="baseline"/>
                <w:lang w:val="en-US" w:eastAsia="zh-CN" w:bidi="ar-SA"/>
              </w:rPr>
            </w:pPr>
            <w:r>
              <w:rPr>
                <w:rFonts w:hint="eastAsia" w:ascii="黑体" w:hAnsi="黑体" w:eastAsia="黑体" w:cs="黑体"/>
                <w:b w:val="0"/>
                <w:bCs w:val="0"/>
                <w:color w:val="000000"/>
                <w:kern w:val="2"/>
                <w:sz w:val="24"/>
                <w:szCs w:val="24"/>
                <w:u w:val="none"/>
                <w:vertAlign w:val="baseline"/>
                <w:lang w:val="en-US" w:eastAsia="zh-CN" w:bidi="ar-SA"/>
              </w:rPr>
              <w:t>任务</w:t>
            </w:r>
          </w:p>
        </w:tc>
        <w:tc>
          <w:tcPr>
            <w:tcW w:w="9335" w:type="dxa"/>
            <w:gridSpan w:val="2"/>
            <w:tcBorders>
              <w:top w:val="single" w:color="auto" w:sz="4" w:space="0"/>
              <w:left w:val="single" w:color="auto" w:sz="4" w:space="0"/>
              <w:right w:val="single" w:color="auto" w:sz="4" w:space="0"/>
            </w:tcBorders>
            <w:vAlign w:val="center"/>
          </w:tcPr>
          <w:p>
            <w:pPr>
              <w:pStyle w:val="6"/>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val="0"/>
                <w:color w:val="000000"/>
                <w:kern w:val="2"/>
                <w:sz w:val="24"/>
                <w:szCs w:val="24"/>
                <w:u w:val="none"/>
                <w:vertAlign w:val="baseline"/>
                <w:lang w:val="en-US" w:eastAsia="zh-CN" w:bidi="ar-SA"/>
              </w:rPr>
            </w:pPr>
            <w:r>
              <w:rPr>
                <w:rFonts w:hint="eastAsia" w:ascii="黑体" w:hAnsi="黑体" w:eastAsia="黑体" w:cs="黑体"/>
                <w:b w:val="0"/>
                <w:bCs w:val="0"/>
                <w:color w:val="000000"/>
                <w:kern w:val="2"/>
                <w:sz w:val="24"/>
                <w:szCs w:val="24"/>
                <w:u w:val="none"/>
                <w:vertAlign w:val="baseline"/>
                <w:lang w:val="en-US" w:eastAsia="zh-CN" w:bidi="ar-SA"/>
              </w:rPr>
              <w:t>主要内容</w:t>
            </w:r>
          </w:p>
        </w:tc>
        <w:tc>
          <w:tcPr>
            <w:tcW w:w="2090" w:type="dxa"/>
            <w:vAlign w:val="center"/>
          </w:tcPr>
          <w:p>
            <w:pPr>
              <w:pStyle w:val="6"/>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val="0"/>
                <w:color w:val="000000"/>
                <w:kern w:val="2"/>
                <w:sz w:val="24"/>
                <w:szCs w:val="24"/>
                <w:u w:val="none"/>
                <w:vertAlign w:val="baseline"/>
                <w:lang w:val="en-US" w:eastAsia="zh-CN" w:bidi="ar-SA"/>
              </w:rPr>
            </w:pPr>
            <w:r>
              <w:rPr>
                <w:rFonts w:hint="eastAsia" w:ascii="黑体" w:hAnsi="黑体" w:eastAsia="黑体" w:cs="黑体"/>
                <w:b w:val="0"/>
                <w:bCs w:val="0"/>
                <w:color w:val="000000"/>
                <w:kern w:val="2"/>
                <w:sz w:val="24"/>
                <w:szCs w:val="24"/>
                <w:u w:val="none"/>
                <w:vertAlign w:val="baseline"/>
                <w:lang w:val="en-US" w:eastAsia="zh-CN" w:bidi="ar-SA"/>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0" w:hRule="atLeast"/>
          <w:jc w:val="center"/>
        </w:trPr>
        <w:tc>
          <w:tcPr>
            <w:tcW w:w="845" w:type="dxa"/>
            <w:vMerge w:val="restart"/>
            <w:vAlign w:val="center"/>
          </w:tcPr>
          <w:p>
            <w:pPr>
              <w:pStyle w:val="6"/>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color w:val="000000"/>
                <w:kern w:val="2"/>
                <w:sz w:val="24"/>
                <w:szCs w:val="24"/>
                <w:u w:val="none"/>
                <w:vertAlign w:val="baseline"/>
                <w:lang w:val="en-US" w:eastAsia="zh-CN" w:bidi="ar-SA"/>
              </w:rPr>
            </w:pPr>
            <w:r>
              <w:rPr>
                <w:rFonts w:hint="eastAsia" w:ascii="仿宋_GB2312" w:hAnsi="仿宋_GB2312" w:eastAsia="仿宋_GB2312" w:cs="仿宋_GB2312"/>
                <w:b w:val="0"/>
                <w:bCs w:val="0"/>
                <w:color w:val="000000"/>
                <w:kern w:val="2"/>
                <w:sz w:val="24"/>
                <w:szCs w:val="24"/>
                <w:u w:val="none"/>
                <w:vertAlign w:val="baseline"/>
                <w:lang w:val="en-US" w:eastAsia="zh-CN" w:bidi="ar-SA"/>
              </w:rPr>
              <w:t>二</w:t>
            </w:r>
          </w:p>
        </w:tc>
        <w:tc>
          <w:tcPr>
            <w:tcW w:w="1048" w:type="dxa"/>
            <w:vMerge w:val="restart"/>
            <w:vAlign w:val="center"/>
          </w:tcPr>
          <w:p>
            <w:pPr>
              <w:pStyle w:val="6"/>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color w:val="000000"/>
                <w:kern w:val="2"/>
                <w:sz w:val="24"/>
                <w:szCs w:val="24"/>
                <w:u w:val="none"/>
                <w:vertAlign w:val="baseline"/>
                <w:lang w:val="en-US" w:bidi="ar-SA"/>
              </w:rPr>
            </w:pPr>
            <w:r>
              <w:rPr>
                <w:rFonts w:hint="eastAsia" w:ascii="仿宋_GB2312" w:hAnsi="仿宋_GB2312" w:eastAsia="仿宋_GB2312" w:cs="仿宋_GB2312"/>
                <w:b w:val="0"/>
                <w:bCs w:val="0"/>
                <w:color w:val="000000"/>
                <w:kern w:val="2"/>
                <w:sz w:val="24"/>
                <w:szCs w:val="24"/>
                <w:u w:val="none"/>
                <w:vertAlign w:val="baseline"/>
                <w:lang w:val="en-US" w:eastAsia="zh-CN" w:bidi="ar-SA"/>
              </w:rPr>
              <w:t>强化政治担当，落实安全责任</w:t>
            </w:r>
          </w:p>
        </w:tc>
        <w:tc>
          <w:tcPr>
            <w:tcW w:w="9335" w:type="dxa"/>
            <w:gridSpan w:val="2"/>
            <w:tcBorders>
              <w:top w:val="single" w:color="auto" w:sz="4" w:space="0"/>
              <w:left w:val="single" w:color="auto" w:sz="4" w:space="0"/>
              <w:right w:val="single" w:color="auto" w:sz="4" w:space="0"/>
            </w:tcBorders>
            <w:vAlign w:val="center"/>
          </w:tcPr>
          <w:p>
            <w:pPr>
              <w:pStyle w:val="6"/>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b w:val="0"/>
                <w:bCs w:val="0"/>
                <w:color w:val="000000"/>
                <w:kern w:val="2"/>
                <w:sz w:val="24"/>
                <w:szCs w:val="24"/>
                <w:u w:val="none"/>
                <w:vertAlign w:val="baseline"/>
                <w:lang w:val="en-US" w:eastAsia="zh-CN" w:bidi="ar-SA"/>
              </w:rPr>
            </w:pPr>
            <w:r>
              <w:rPr>
                <w:rFonts w:hint="eastAsia" w:ascii="仿宋_GB2312" w:hAnsi="仿宋_GB2312" w:eastAsia="仿宋_GB2312" w:cs="仿宋_GB2312"/>
                <w:b w:val="0"/>
                <w:bCs w:val="0"/>
                <w:color w:val="000000"/>
                <w:kern w:val="2"/>
                <w:sz w:val="24"/>
                <w:szCs w:val="24"/>
                <w:u w:val="none"/>
                <w:vertAlign w:val="baseline"/>
                <w:lang w:val="en-US" w:eastAsia="zh-CN" w:bidi="ar-SA"/>
              </w:rPr>
              <w:t>5.增强监管力度，优化安全执法服务。严格落实“三管三必须”实施细则和矿山安全管理职责清单，坚持监管执法与服务指导相结合，严格落实《国务院办公厅关于严格规范涉企行政检查的意见》（国办发〔2024〕54号），各有关部门结合上级工作要求和县委、县政府关于安全生产工作部署，制定安全生产工作要点，负有安全监管职责的部门制定监督检查计划，科学确定重点检查单位，规范精准严格执法，提高执法效能，切实减轻企业负担。进一步明确仓储物流、校外培训（托管）机构、特种设备目录外游乐设施等新业态、职责交叉领域监管责任。发挥各安全生产专业委员会作用，厘清“一件事”全链条、各环节安全监管责任。加大对企业指导帮扶，助力企业安全发展，持续优化营商环境。</w:t>
            </w:r>
          </w:p>
        </w:tc>
        <w:tc>
          <w:tcPr>
            <w:tcW w:w="2090" w:type="dxa"/>
            <w:vAlign w:val="center"/>
          </w:tcPr>
          <w:p>
            <w:pPr>
              <w:pStyle w:val="6"/>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000000"/>
                <w:kern w:val="2"/>
                <w:sz w:val="24"/>
                <w:szCs w:val="24"/>
                <w:u w:val="none"/>
                <w:vertAlign w:val="baseline"/>
                <w:lang w:val="en-US" w:eastAsia="zh-CN" w:bidi="ar-SA"/>
              </w:rPr>
            </w:pPr>
            <w:r>
              <w:rPr>
                <w:rFonts w:hint="eastAsia" w:ascii="仿宋_GB2312" w:hAnsi="仿宋_GB2312" w:eastAsia="仿宋_GB2312" w:cs="仿宋_GB2312"/>
                <w:b w:val="0"/>
                <w:bCs w:val="0"/>
                <w:color w:val="000000"/>
                <w:kern w:val="2"/>
                <w:sz w:val="24"/>
                <w:szCs w:val="24"/>
                <w:u w:val="none"/>
                <w:vertAlign w:val="baseline"/>
                <w:lang w:val="en-US" w:eastAsia="zh-CN" w:bidi="ar-SA"/>
              </w:rPr>
              <w:t>县安委会有关</w:t>
            </w:r>
          </w:p>
          <w:p>
            <w:pPr>
              <w:pStyle w:val="6"/>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000000"/>
                <w:kern w:val="2"/>
                <w:sz w:val="24"/>
                <w:szCs w:val="24"/>
                <w:u w:val="none"/>
                <w:vertAlign w:val="baseline"/>
                <w:lang w:val="en-US" w:eastAsia="zh-CN" w:bidi="ar-SA"/>
              </w:rPr>
            </w:pPr>
            <w:r>
              <w:rPr>
                <w:rFonts w:hint="eastAsia" w:ascii="仿宋_GB2312" w:hAnsi="仿宋_GB2312" w:eastAsia="仿宋_GB2312" w:cs="仿宋_GB2312"/>
                <w:b w:val="0"/>
                <w:bCs w:val="0"/>
                <w:color w:val="000000"/>
                <w:kern w:val="2"/>
                <w:sz w:val="24"/>
                <w:szCs w:val="24"/>
                <w:u w:val="none"/>
                <w:vertAlign w:val="baseline"/>
                <w:lang w:val="en-US" w:eastAsia="zh-CN" w:bidi="ar-SA"/>
              </w:rPr>
              <w:t>成员单位负责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5" w:hRule="atLeast"/>
          <w:jc w:val="center"/>
        </w:trPr>
        <w:tc>
          <w:tcPr>
            <w:tcW w:w="845" w:type="dxa"/>
            <w:vMerge w:val="continue"/>
            <w:vAlign w:val="center"/>
          </w:tcPr>
          <w:p>
            <w:pPr>
              <w:pStyle w:val="6"/>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b w:val="0"/>
                <w:bCs w:val="0"/>
                <w:color w:val="000000"/>
                <w:kern w:val="2"/>
                <w:sz w:val="24"/>
                <w:szCs w:val="24"/>
                <w:u w:val="none"/>
                <w:vertAlign w:val="baseline"/>
                <w:lang w:val="en-US" w:eastAsia="zh-CN" w:bidi="ar-SA"/>
              </w:rPr>
            </w:pPr>
          </w:p>
        </w:tc>
        <w:tc>
          <w:tcPr>
            <w:tcW w:w="1048" w:type="dxa"/>
            <w:vMerge w:val="continue"/>
            <w:vAlign w:val="center"/>
          </w:tcPr>
          <w:p>
            <w:pPr>
              <w:pStyle w:val="6"/>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楷体_GB2312" w:hAnsi="楷体_GB2312" w:eastAsia="楷体_GB2312" w:cs="楷体_GB2312"/>
                <w:b w:val="0"/>
                <w:bCs w:val="0"/>
                <w:color w:val="000000"/>
                <w:kern w:val="2"/>
                <w:sz w:val="24"/>
                <w:szCs w:val="24"/>
                <w:u w:val="none"/>
                <w:vertAlign w:val="baseline"/>
                <w:lang w:val="en-US" w:bidi="ar-SA"/>
              </w:rPr>
            </w:pPr>
          </w:p>
        </w:tc>
        <w:tc>
          <w:tcPr>
            <w:tcW w:w="9335" w:type="dxa"/>
            <w:gridSpan w:val="2"/>
            <w:tcBorders>
              <w:top w:val="single" w:color="auto" w:sz="4" w:space="0"/>
              <w:left w:val="single" w:color="auto" w:sz="4" w:space="0"/>
              <w:right w:val="single" w:color="auto" w:sz="4" w:space="0"/>
            </w:tcBorders>
            <w:vAlign w:val="center"/>
          </w:tcPr>
          <w:p>
            <w:pPr>
              <w:pStyle w:val="6"/>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b w:val="0"/>
                <w:bCs w:val="0"/>
                <w:color w:val="000000"/>
                <w:kern w:val="2"/>
                <w:sz w:val="24"/>
                <w:szCs w:val="24"/>
                <w:u w:val="none"/>
                <w:vertAlign w:val="baseline"/>
                <w:lang w:val="en-US" w:eastAsia="zh-CN" w:bidi="ar-SA"/>
              </w:rPr>
            </w:pPr>
            <w:r>
              <w:rPr>
                <w:rFonts w:hint="eastAsia" w:ascii="仿宋_GB2312" w:hAnsi="仿宋_GB2312" w:eastAsia="仿宋_GB2312" w:cs="仿宋_GB2312"/>
                <w:b w:val="0"/>
                <w:bCs w:val="0"/>
                <w:color w:val="000000"/>
                <w:kern w:val="2"/>
                <w:sz w:val="24"/>
                <w:szCs w:val="24"/>
                <w:u w:val="none"/>
                <w:vertAlign w:val="baseline"/>
                <w:lang w:val="en-US" w:eastAsia="zh-CN" w:bidi="ar-SA"/>
              </w:rPr>
              <w:t>6.落实企业责任，提升本质安全水平。生产经营单位主要负责人要严格履行《山西省生产经营单位主要负责人安全生产责任制规定》中规定的11项职责，加强安全管理队伍建设，保证安全生产投入，加强安全生产标准化和安全文化建设，开展安全培训教育，配齐安全管理机构和人员，定期开展应急演练等，做到安全责任、投入、培训、管理和应急救援“五到位”。健全企业内部安全风险隐患报告奖励制度，提升员工发现、报告、处置风险隐患的积极性。因地制宜采取专家指导、大小企业结对帮扶、第三方机构提供社会化服务等方式，提高企业隐患排查质效。</w:t>
            </w:r>
          </w:p>
        </w:tc>
        <w:tc>
          <w:tcPr>
            <w:tcW w:w="2090" w:type="dxa"/>
            <w:vAlign w:val="center"/>
          </w:tcPr>
          <w:p>
            <w:pPr>
              <w:pStyle w:val="6"/>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b w:val="0"/>
                <w:bCs w:val="0"/>
                <w:color w:val="000000"/>
                <w:kern w:val="2"/>
                <w:sz w:val="24"/>
                <w:szCs w:val="24"/>
                <w:u w:val="none"/>
                <w:vertAlign w:val="baseline"/>
                <w:lang w:val="en-US" w:eastAsia="zh-CN" w:bidi="ar-SA"/>
              </w:rPr>
            </w:pPr>
            <w:r>
              <w:rPr>
                <w:rFonts w:hint="eastAsia" w:ascii="仿宋_GB2312" w:hAnsi="仿宋_GB2312" w:eastAsia="仿宋_GB2312" w:cs="仿宋_GB2312"/>
                <w:b w:val="0"/>
                <w:bCs w:val="0"/>
                <w:color w:val="000000"/>
                <w:kern w:val="2"/>
                <w:sz w:val="24"/>
                <w:szCs w:val="24"/>
                <w:u w:val="none"/>
                <w:vertAlign w:val="baseline"/>
                <w:lang w:val="en-US" w:eastAsia="zh-CN" w:bidi="ar-SA"/>
              </w:rPr>
              <w:t>负有安全生产监管职责的部门、国家金融监管总局文水监管支局指导督促企业落实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0" w:hRule="atLeast"/>
          <w:jc w:val="center"/>
        </w:trPr>
        <w:tc>
          <w:tcPr>
            <w:tcW w:w="845"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b w:val="0"/>
                <w:bCs w:val="0"/>
                <w:sz w:val="24"/>
                <w:szCs w:val="24"/>
              </w:rPr>
            </w:pPr>
          </w:p>
        </w:tc>
        <w:tc>
          <w:tcPr>
            <w:tcW w:w="1048"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b w:val="0"/>
                <w:bCs w:val="0"/>
                <w:sz w:val="24"/>
                <w:szCs w:val="24"/>
              </w:rPr>
            </w:pPr>
          </w:p>
        </w:tc>
        <w:tc>
          <w:tcPr>
            <w:tcW w:w="9335" w:type="dxa"/>
            <w:gridSpan w:val="2"/>
            <w:tcBorders>
              <w:top w:val="single" w:color="auto" w:sz="4" w:space="0"/>
              <w:left w:val="single" w:color="auto" w:sz="4" w:space="0"/>
              <w:right w:val="single" w:color="auto" w:sz="4" w:space="0"/>
            </w:tcBorders>
            <w:vAlign w:val="center"/>
          </w:tcPr>
          <w:p>
            <w:pPr>
              <w:pStyle w:val="6"/>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b w:val="0"/>
                <w:bCs w:val="0"/>
                <w:color w:val="000000"/>
                <w:kern w:val="2"/>
                <w:sz w:val="24"/>
                <w:szCs w:val="24"/>
                <w:u w:val="none"/>
                <w:vertAlign w:val="baseline"/>
                <w:lang w:val="en-US" w:eastAsia="zh-CN" w:bidi="ar-SA"/>
              </w:rPr>
            </w:pPr>
            <w:r>
              <w:rPr>
                <w:rFonts w:hint="eastAsia" w:ascii="仿宋_GB2312" w:hAnsi="仿宋_GB2312" w:eastAsia="仿宋_GB2312" w:cs="仿宋_GB2312"/>
                <w:b w:val="0"/>
                <w:bCs w:val="0"/>
                <w:color w:val="000000"/>
                <w:kern w:val="2"/>
                <w:sz w:val="24"/>
                <w:szCs w:val="24"/>
                <w:u w:val="none"/>
                <w:vertAlign w:val="baseline"/>
                <w:lang w:val="en-US" w:eastAsia="zh-CN" w:bidi="ar-SA"/>
              </w:rPr>
              <w:t>7.抓牢岗位责任，规范员工操作行为。生产经营单位要制定全员安全生产责任清单和一线作业岗位负面清单，并严格检查考核。持续深化反“三违”活动，建立企业人员“三违”行为惩戒办法，组织员工开展安全生产承诺，对违反承诺事项的，根据“三违”频次和程度，逐步加大培训考核和惩戒力度。各行业领域结合实际，建立作业场所视频监控系统，开展视频反“三违”，促进从业人员自觉遵守安全生产规章制度和操作规程，落实岗位安全风险防控措施。</w:t>
            </w:r>
          </w:p>
        </w:tc>
        <w:tc>
          <w:tcPr>
            <w:tcW w:w="2090" w:type="dxa"/>
            <w:vAlign w:val="center"/>
          </w:tcPr>
          <w:p>
            <w:pPr>
              <w:pStyle w:val="6"/>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b w:val="0"/>
                <w:bCs w:val="0"/>
                <w:color w:val="000000"/>
                <w:kern w:val="2"/>
                <w:sz w:val="24"/>
                <w:szCs w:val="24"/>
                <w:u w:val="none"/>
                <w:vertAlign w:val="baseline"/>
                <w:lang w:val="en-US" w:eastAsia="zh-CN" w:bidi="ar-SA"/>
              </w:rPr>
            </w:pPr>
            <w:r>
              <w:rPr>
                <w:rFonts w:hint="eastAsia" w:ascii="仿宋_GB2312" w:hAnsi="仿宋_GB2312" w:eastAsia="仿宋_GB2312" w:cs="仿宋_GB2312"/>
                <w:b w:val="0"/>
                <w:bCs w:val="0"/>
                <w:color w:val="000000"/>
                <w:kern w:val="2"/>
                <w:sz w:val="24"/>
                <w:szCs w:val="24"/>
                <w:u w:val="none"/>
                <w:vertAlign w:val="baseline"/>
                <w:lang w:val="en-US" w:eastAsia="zh-CN" w:bidi="ar-SA"/>
              </w:rPr>
              <w:t>负有安全生产监管职责的部门指导督促企业落实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845" w:type="dxa"/>
            <w:vAlign w:val="center"/>
          </w:tcPr>
          <w:p>
            <w:pPr>
              <w:pStyle w:val="6"/>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val="0"/>
                <w:color w:val="000000"/>
                <w:kern w:val="2"/>
                <w:sz w:val="24"/>
                <w:szCs w:val="24"/>
                <w:u w:val="none"/>
                <w:vertAlign w:val="baseline"/>
                <w:lang w:val="en-US" w:eastAsia="zh-CN" w:bidi="ar-SA"/>
              </w:rPr>
            </w:pPr>
            <w:r>
              <w:rPr>
                <w:rFonts w:hint="eastAsia" w:ascii="黑体" w:hAnsi="黑体" w:eastAsia="黑体" w:cs="黑体"/>
                <w:b w:val="0"/>
                <w:bCs w:val="0"/>
                <w:color w:val="000000"/>
                <w:kern w:val="2"/>
                <w:sz w:val="24"/>
                <w:szCs w:val="24"/>
                <w:u w:val="none"/>
                <w:vertAlign w:val="baseline"/>
                <w:lang w:val="en-US" w:eastAsia="zh-CN" w:bidi="ar-SA"/>
              </w:rPr>
              <w:t>序号</w:t>
            </w:r>
          </w:p>
        </w:tc>
        <w:tc>
          <w:tcPr>
            <w:tcW w:w="1048" w:type="dxa"/>
            <w:vAlign w:val="center"/>
          </w:tcPr>
          <w:p>
            <w:pPr>
              <w:pStyle w:val="6"/>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val="0"/>
                <w:color w:val="000000"/>
                <w:kern w:val="2"/>
                <w:sz w:val="24"/>
                <w:szCs w:val="24"/>
                <w:u w:val="none"/>
                <w:vertAlign w:val="baseline"/>
                <w:lang w:val="en-US" w:eastAsia="zh-CN" w:bidi="ar-SA"/>
              </w:rPr>
            </w:pPr>
            <w:r>
              <w:rPr>
                <w:rFonts w:hint="eastAsia" w:ascii="黑体" w:hAnsi="黑体" w:eastAsia="黑体" w:cs="黑体"/>
                <w:b w:val="0"/>
                <w:bCs w:val="0"/>
                <w:color w:val="000000"/>
                <w:kern w:val="2"/>
                <w:sz w:val="24"/>
                <w:szCs w:val="24"/>
                <w:u w:val="none"/>
                <w:vertAlign w:val="baseline"/>
                <w:lang w:val="en-US" w:eastAsia="zh-CN" w:bidi="ar-SA"/>
              </w:rPr>
              <w:t>任务</w:t>
            </w:r>
          </w:p>
        </w:tc>
        <w:tc>
          <w:tcPr>
            <w:tcW w:w="9335" w:type="dxa"/>
            <w:gridSpan w:val="2"/>
            <w:tcBorders>
              <w:top w:val="single" w:color="auto" w:sz="4" w:space="0"/>
              <w:left w:val="single" w:color="auto" w:sz="4" w:space="0"/>
              <w:right w:val="single" w:color="auto" w:sz="4" w:space="0"/>
            </w:tcBorders>
            <w:vAlign w:val="center"/>
          </w:tcPr>
          <w:p>
            <w:pPr>
              <w:pStyle w:val="6"/>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val="0"/>
                <w:color w:val="000000"/>
                <w:kern w:val="2"/>
                <w:sz w:val="24"/>
                <w:szCs w:val="24"/>
                <w:u w:val="none"/>
                <w:vertAlign w:val="baseline"/>
                <w:lang w:val="en-US" w:eastAsia="zh-CN" w:bidi="ar-SA"/>
              </w:rPr>
            </w:pPr>
            <w:r>
              <w:rPr>
                <w:rFonts w:hint="eastAsia" w:ascii="黑体" w:hAnsi="黑体" w:eastAsia="黑体" w:cs="黑体"/>
                <w:b w:val="0"/>
                <w:bCs w:val="0"/>
                <w:color w:val="000000"/>
                <w:kern w:val="2"/>
                <w:sz w:val="24"/>
                <w:szCs w:val="24"/>
                <w:u w:val="none"/>
                <w:vertAlign w:val="baseline"/>
                <w:lang w:val="en-US" w:eastAsia="zh-CN" w:bidi="ar-SA"/>
              </w:rPr>
              <w:t>主要内容</w:t>
            </w:r>
          </w:p>
        </w:tc>
        <w:tc>
          <w:tcPr>
            <w:tcW w:w="2090" w:type="dxa"/>
            <w:vAlign w:val="center"/>
          </w:tcPr>
          <w:p>
            <w:pPr>
              <w:pStyle w:val="6"/>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val="0"/>
                <w:color w:val="000000"/>
                <w:kern w:val="2"/>
                <w:sz w:val="24"/>
                <w:szCs w:val="24"/>
                <w:u w:val="none"/>
                <w:vertAlign w:val="baseline"/>
                <w:lang w:val="en-US" w:eastAsia="zh-CN" w:bidi="ar-SA"/>
              </w:rPr>
            </w:pPr>
            <w:r>
              <w:rPr>
                <w:rFonts w:hint="eastAsia" w:ascii="黑体" w:hAnsi="黑体" w:eastAsia="黑体" w:cs="黑体"/>
                <w:b w:val="0"/>
                <w:bCs w:val="0"/>
                <w:color w:val="000000"/>
                <w:kern w:val="2"/>
                <w:sz w:val="24"/>
                <w:szCs w:val="24"/>
                <w:u w:val="none"/>
                <w:vertAlign w:val="baseline"/>
                <w:lang w:val="en-US" w:eastAsia="zh-CN" w:bidi="ar-SA"/>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0" w:hRule="atLeast"/>
          <w:jc w:val="center"/>
        </w:trPr>
        <w:tc>
          <w:tcPr>
            <w:tcW w:w="845" w:type="dxa"/>
            <w:vAlign w:val="center"/>
          </w:tcPr>
          <w:p>
            <w:pPr>
              <w:pStyle w:val="6"/>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color w:val="000000"/>
                <w:sz w:val="24"/>
                <w:szCs w:val="24"/>
                <w:u w:val="none"/>
              </w:rPr>
            </w:pPr>
            <w:r>
              <w:rPr>
                <w:rFonts w:hint="eastAsia" w:ascii="仿宋_GB2312" w:hAnsi="仿宋_GB2312" w:eastAsia="仿宋_GB2312" w:cs="仿宋_GB2312"/>
                <w:b w:val="0"/>
                <w:bCs w:val="0"/>
                <w:color w:val="000000"/>
                <w:kern w:val="2"/>
                <w:sz w:val="24"/>
                <w:szCs w:val="24"/>
                <w:u w:val="none"/>
                <w:vertAlign w:val="baseline"/>
                <w:lang w:val="en-US" w:eastAsia="zh-CN" w:bidi="ar-SA"/>
              </w:rPr>
              <w:t>二</w:t>
            </w:r>
          </w:p>
        </w:tc>
        <w:tc>
          <w:tcPr>
            <w:tcW w:w="1048" w:type="dxa"/>
            <w:vAlign w:val="center"/>
          </w:tcPr>
          <w:p>
            <w:pPr>
              <w:pStyle w:val="6"/>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color w:val="000000"/>
                <w:sz w:val="24"/>
                <w:szCs w:val="24"/>
                <w:u w:val="none"/>
              </w:rPr>
            </w:pPr>
            <w:r>
              <w:rPr>
                <w:rFonts w:hint="eastAsia" w:ascii="仿宋_GB2312" w:hAnsi="仿宋_GB2312" w:eastAsia="仿宋_GB2312" w:cs="仿宋_GB2312"/>
                <w:b w:val="0"/>
                <w:bCs w:val="0"/>
                <w:color w:val="000000"/>
                <w:kern w:val="2"/>
                <w:sz w:val="24"/>
                <w:szCs w:val="24"/>
                <w:u w:val="none"/>
                <w:vertAlign w:val="baseline"/>
                <w:lang w:val="en-US" w:eastAsia="zh-CN" w:bidi="ar-SA"/>
              </w:rPr>
              <w:t>强化政治担当，落实安全责任</w:t>
            </w:r>
          </w:p>
        </w:tc>
        <w:tc>
          <w:tcPr>
            <w:tcW w:w="9335" w:type="dxa"/>
            <w:gridSpan w:val="2"/>
            <w:tcBorders>
              <w:top w:val="single" w:color="auto" w:sz="4" w:space="0"/>
              <w:left w:val="single" w:color="auto" w:sz="4" w:space="0"/>
              <w:right w:val="single" w:color="auto" w:sz="4" w:space="0"/>
            </w:tcBorders>
            <w:vAlign w:val="center"/>
          </w:tcPr>
          <w:p>
            <w:pPr>
              <w:pStyle w:val="6"/>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b w:val="0"/>
                <w:bCs w:val="0"/>
                <w:color w:val="000000"/>
                <w:kern w:val="2"/>
                <w:sz w:val="24"/>
                <w:szCs w:val="24"/>
                <w:u w:val="none"/>
                <w:vertAlign w:val="baseline"/>
                <w:lang w:val="en-US" w:eastAsia="zh-CN" w:bidi="ar-SA"/>
              </w:rPr>
            </w:pPr>
            <w:r>
              <w:rPr>
                <w:rFonts w:hint="eastAsia" w:ascii="仿宋_GB2312" w:hAnsi="仿宋_GB2312" w:eastAsia="仿宋_GB2312" w:cs="仿宋_GB2312"/>
                <w:b w:val="0"/>
                <w:bCs w:val="0"/>
                <w:color w:val="000000"/>
                <w:kern w:val="2"/>
                <w:sz w:val="24"/>
                <w:szCs w:val="24"/>
                <w:u w:val="none"/>
                <w:vertAlign w:val="baseline"/>
                <w:lang w:val="en-US" w:eastAsia="zh-CN" w:bidi="ar-SA"/>
              </w:rPr>
              <w:t>8.严肃追责问责，强化安全责任约束。对安全生产责任落实不到位、重点工作推进缓慢、重大隐患整改不力的，予以通报批评、公开曝光、约谈问责。对煤矿、危险化学品、道路运输等行业企业关闭、破坏监控报警设备设施，或者篡改、隐瞒、销毁其相关数据信息等违法违规行为，以及其他非法生产经营构成犯罪的行为，移送司法机关追究刑事责任。发生生产安全事故后，要立即成立事故调查组，按照“四不放过”原则严格事故调查，既要追究生产经营单位、企业直接责任人、主要负责人、实际控制人的责任，也要追究属地领导责任和部门监管责任。加大对瞒报事故的打击力度，对生产安全事故、自然灾害事故报送存在迟报、瞒报、漏报、谎报的行为，依法依规严肃追究责任，造成不良后果的，加大查处力度。在国家、省、市、县安排部署开展的安全生产专项整治期间，发生专项整治行动中明确的重点整治内容同类型事故的，约谈属地政府和相关部门主要负责人，情节严重的全链条溯源追责。</w:t>
            </w:r>
          </w:p>
        </w:tc>
        <w:tc>
          <w:tcPr>
            <w:tcW w:w="2090" w:type="dxa"/>
            <w:vAlign w:val="center"/>
          </w:tcPr>
          <w:p>
            <w:pPr>
              <w:pStyle w:val="6"/>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000000"/>
                <w:kern w:val="2"/>
                <w:sz w:val="24"/>
                <w:szCs w:val="24"/>
                <w:u w:val="none"/>
                <w:vertAlign w:val="baseline"/>
                <w:lang w:val="en-US" w:eastAsia="zh-CN" w:bidi="ar-SA"/>
              </w:rPr>
            </w:pPr>
            <w:r>
              <w:rPr>
                <w:rFonts w:hint="eastAsia" w:ascii="仿宋_GB2312" w:hAnsi="仿宋_GB2312" w:eastAsia="仿宋_GB2312" w:cs="仿宋_GB2312"/>
                <w:b w:val="0"/>
                <w:bCs w:val="0"/>
                <w:color w:val="000000"/>
                <w:kern w:val="2"/>
                <w:sz w:val="24"/>
                <w:szCs w:val="24"/>
                <w:u w:val="none"/>
                <w:vertAlign w:val="baseline"/>
                <w:lang w:val="en-US" w:eastAsia="zh-CN" w:bidi="ar-SA"/>
              </w:rPr>
              <w:t>县安委会有关</w:t>
            </w:r>
          </w:p>
          <w:p>
            <w:pPr>
              <w:pStyle w:val="6"/>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000000"/>
                <w:kern w:val="2"/>
                <w:sz w:val="24"/>
                <w:szCs w:val="24"/>
                <w:u w:val="none"/>
                <w:vertAlign w:val="baseline"/>
                <w:lang w:val="en-US" w:eastAsia="zh-CN" w:bidi="ar-SA"/>
              </w:rPr>
            </w:pPr>
            <w:r>
              <w:rPr>
                <w:rFonts w:hint="eastAsia" w:ascii="仿宋_GB2312" w:hAnsi="仿宋_GB2312" w:eastAsia="仿宋_GB2312" w:cs="仿宋_GB2312"/>
                <w:b w:val="0"/>
                <w:bCs w:val="0"/>
                <w:color w:val="000000"/>
                <w:kern w:val="2"/>
                <w:sz w:val="24"/>
                <w:szCs w:val="24"/>
                <w:u w:val="none"/>
                <w:vertAlign w:val="baseline"/>
                <w:lang w:val="en-US" w:eastAsia="zh-CN" w:bidi="ar-SA"/>
              </w:rPr>
              <w:t>成员单位负责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0" w:hRule="atLeast"/>
          <w:jc w:val="center"/>
        </w:trPr>
        <w:tc>
          <w:tcPr>
            <w:tcW w:w="845" w:type="dxa"/>
            <w:vMerge w:val="restart"/>
            <w:vAlign w:val="center"/>
          </w:tcPr>
          <w:p>
            <w:pPr>
              <w:pStyle w:val="6"/>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color w:val="000000"/>
                <w:kern w:val="2"/>
                <w:sz w:val="24"/>
                <w:szCs w:val="24"/>
                <w:u w:val="none"/>
                <w:vertAlign w:val="baseline"/>
                <w:lang w:val="en-US" w:eastAsia="zh-CN" w:bidi="ar-SA"/>
              </w:rPr>
            </w:pPr>
            <w:r>
              <w:rPr>
                <w:rFonts w:hint="eastAsia" w:ascii="仿宋_GB2312" w:hAnsi="仿宋_GB2312" w:eastAsia="仿宋_GB2312" w:cs="仿宋_GB2312"/>
                <w:b w:val="0"/>
                <w:bCs w:val="0"/>
                <w:color w:val="000000"/>
                <w:kern w:val="2"/>
                <w:sz w:val="24"/>
                <w:szCs w:val="24"/>
                <w:u w:val="none"/>
                <w:vertAlign w:val="baseline"/>
                <w:lang w:val="en-US" w:eastAsia="zh-CN" w:bidi="ar-SA"/>
              </w:rPr>
              <w:t>三</w:t>
            </w:r>
          </w:p>
        </w:tc>
        <w:tc>
          <w:tcPr>
            <w:tcW w:w="1048" w:type="dxa"/>
            <w:vMerge w:val="restart"/>
            <w:tcBorders>
              <w:top w:val="single" w:color="auto" w:sz="4" w:space="0"/>
              <w:left w:val="single" w:color="auto" w:sz="4" w:space="0"/>
              <w:right w:val="single" w:color="auto" w:sz="4" w:space="0"/>
            </w:tcBorders>
            <w:vAlign w:val="center"/>
          </w:tcPr>
          <w:p>
            <w:pPr>
              <w:pStyle w:val="6"/>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color w:val="000000"/>
                <w:kern w:val="2"/>
                <w:sz w:val="24"/>
                <w:szCs w:val="24"/>
                <w:u w:val="none"/>
                <w:vertAlign w:val="baseline"/>
                <w:lang w:val="en-US" w:eastAsia="zh-CN" w:bidi="ar-SA"/>
              </w:rPr>
            </w:pPr>
            <w:r>
              <w:rPr>
                <w:rFonts w:hint="eastAsia" w:ascii="仿宋_GB2312" w:hAnsi="仿宋_GB2312" w:eastAsia="仿宋_GB2312" w:cs="仿宋_GB2312"/>
                <w:b w:val="0"/>
                <w:bCs w:val="0"/>
                <w:color w:val="000000"/>
                <w:kern w:val="2"/>
                <w:sz w:val="24"/>
                <w:szCs w:val="24"/>
                <w:u w:val="none"/>
                <w:vertAlign w:val="baseline"/>
                <w:lang w:val="en-US" w:eastAsia="zh-CN" w:bidi="ar-SA"/>
              </w:rPr>
              <w:t>健全体制机制，夯实安全根基</w:t>
            </w:r>
          </w:p>
        </w:tc>
        <w:tc>
          <w:tcPr>
            <w:tcW w:w="9335" w:type="dxa"/>
            <w:gridSpan w:val="2"/>
            <w:tcBorders>
              <w:top w:val="single" w:color="auto" w:sz="4" w:space="0"/>
              <w:left w:val="single" w:color="auto" w:sz="4" w:space="0"/>
              <w:right w:val="single" w:color="auto" w:sz="4" w:space="0"/>
            </w:tcBorders>
            <w:vAlign w:val="center"/>
          </w:tcPr>
          <w:p>
            <w:pPr>
              <w:pStyle w:val="6"/>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b w:val="0"/>
                <w:bCs w:val="0"/>
                <w:color w:val="000000"/>
                <w:kern w:val="2"/>
                <w:sz w:val="24"/>
                <w:szCs w:val="24"/>
                <w:u w:val="none"/>
                <w:vertAlign w:val="baseline"/>
                <w:lang w:val="en-US" w:eastAsia="zh-CN" w:bidi="ar-SA"/>
              </w:rPr>
            </w:pPr>
            <w:r>
              <w:rPr>
                <w:rFonts w:hint="eastAsia" w:ascii="仿宋_GB2312" w:hAnsi="仿宋_GB2312" w:eastAsia="仿宋_GB2312" w:cs="仿宋_GB2312"/>
                <w:b w:val="0"/>
                <w:bCs w:val="0"/>
                <w:color w:val="000000"/>
                <w:kern w:val="2"/>
                <w:sz w:val="24"/>
                <w:szCs w:val="24"/>
                <w:u w:val="none"/>
                <w:vertAlign w:val="baseline"/>
                <w:lang w:val="en-US" w:eastAsia="zh-CN" w:bidi="ar-SA"/>
              </w:rPr>
              <w:t>9.完善管理体制，强化应急协同联动。按照上级安排部署设立县防灾减灾救灾委员会，优化县减灾委员会和森林草原火灾、地震、水旱灾害、地质灾害、气象灾害等各灾种专项指挥部常态与非常态下应急工作机制，强化上下联动，做好工作承接，抓好重点灾种防范。落实《中共中央办公厅 国务院办公厅关于进一步提升基层应急管理能力的意见》，理顺乡镇应急管理体制，明确专门工作力量，建立应急管理及消防履职事项清单，纳入基层网格化管理服务内容。</w:t>
            </w:r>
          </w:p>
        </w:tc>
        <w:tc>
          <w:tcPr>
            <w:tcW w:w="2090" w:type="dxa"/>
            <w:vAlign w:val="center"/>
          </w:tcPr>
          <w:p>
            <w:pPr>
              <w:pStyle w:val="6"/>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b w:val="0"/>
                <w:bCs w:val="0"/>
                <w:color w:val="000000"/>
                <w:kern w:val="2"/>
                <w:sz w:val="24"/>
                <w:szCs w:val="24"/>
                <w:u w:val="none"/>
                <w:vertAlign w:val="baseline"/>
                <w:lang w:val="en-US" w:eastAsia="zh-CN" w:bidi="ar-SA"/>
              </w:rPr>
            </w:pPr>
            <w:r>
              <w:rPr>
                <w:rFonts w:hint="eastAsia" w:ascii="仿宋_GB2312" w:hAnsi="仿宋_GB2312" w:eastAsia="仿宋_GB2312" w:cs="仿宋_GB2312"/>
                <w:b w:val="0"/>
                <w:bCs w:val="0"/>
                <w:color w:val="000000"/>
                <w:kern w:val="2"/>
                <w:sz w:val="24"/>
                <w:szCs w:val="24"/>
                <w:u w:val="none"/>
                <w:vertAlign w:val="baseline"/>
                <w:lang w:val="en-US" w:eastAsia="zh-CN" w:bidi="ar-SA"/>
              </w:rPr>
              <w:t>县应急局、县消防救援大队、县自然资源局、县林业局、县水利局、县农业农村局、县住建局、县气象局、县防震减灾中心等部门分工负责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5" w:hRule="atLeast"/>
          <w:jc w:val="center"/>
        </w:trPr>
        <w:tc>
          <w:tcPr>
            <w:tcW w:w="845"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b w:val="0"/>
                <w:bCs w:val="0"/>
                <w:sz w:val="24"/>
                <w:szCs w:val="24"/>
              </w:rPr>
            </w:pPr>
          </w:p>
        </w:tc>
        <w:tc>
          <w:tcPr>
            <w:tcW w:w="1048" w:type="dxa"/>
            <w:vMerge w:val="continue"/>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b w:val="0"/>
                <w:bCs w:val="0"/>
                <w:sz w:val="24"/>
                <w:szCs w:val="24"/>
              </w:rPr>
            </w:pPr>
          </w:p>
        </w:tc>
        <w:tc>
          <w:tcPr>
            <w:tcW w:w="9335" w:type="dxa"/>
            <w:gridSpan w:val="2"/>
            <w:tcBorders>
              <w:top w:val="single" w:color="auto" w:sz="4" w:space="0"/>
              <w:left w:val="single" w:color="auto" w:sz="4" w:space="0"/>
              <w:right w:val="single" w:color="auto" w:sz="4" w:space="0"/>
            </w:tcBorders>
            <w:vAlign w:val="center"/>
          </w:tcPr>
          <w:p>
            <w:pPr>
              <w:pStyle w:val="6"/>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b w:val="0"/>
                <w:bCs w:val="0"/>
                <w:color w:val="000000"/>
                <w:kern w:val="2"/>
                <w:sz w:val="24"/>
                <w:szCs w:val="24"/>
                <w:u w:val="none"/>
                <w:vertAlign w:val="baseline"/>
                <w:lang w:val="en-US" w:eastAsia="zh-CN" w:bidi="ar-SA"/>
              </w:rPr>
            </w:pPr>
            <w:r>
              <w:rPr>
                <w:rFonts w:hint="eastAsia" w:ascii="仿宋_GB2312" w:hAnsi="仿宋_GB2312" w:eastAsia="仿宋_GB2312" w:cs="仿宋_GB2312"/>
                <w:b w:val="0"/>
                <w:bCs w:val="0"/>
                <w:color w:val="000000"/>
                <w:kern w:val="2"/>
                <w:sz w:val="24"/>
                <w:szCs w:val="24"/>
                <w:u w:val="none"/>
                <w:vertAlign w:val="baseline"/>
                <w:lang w:val="en-US" w:eastAsia="zh-CN" w:bidi="ar-SA"/>
              </w:rPr>
              <w:t>10.健全工作机制，推动安全长效治理。加大对煤矿采煤工作面采空区自然发火分布测定、钢（铁）水罐生产安全指南等安全生产地方标准的宣贯。建立健全审批与监管部门联动、安全生产责任保险事故预防、自然灾害巨灾保险、跨部门灾害防范应对等协调机制。建立完善安全生产风险排查整治和责任倒查机制，完善“挂牌督办、警示约谈、督导巡查、调度通报”等重点工作推进机制。修订完善安全生产、防灾减灾救灾议事协调机构工作规则。</w:t>
            </w:r>
          </w:p>
        </w:tc>
        <w:tc>
          <w:tcPr>
            <w:tcW w:w="2090" w:type="dxa"/>
            <w:vAlign w:val="center"/>
          </w:tcPr>
          <w:p>
            <w:pPr>
              <w:pStyle w:val="6"/>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000000"/>
                <w:kern w:val="2"/>
                <w:sz w:val="24"/>
                <w:szCs w:val="24"/>
                <w:u w:val="none"/>
                <w:vertAlign w:val="baseline"/>
                <w:lang w:val="en-US" w:eastAsia="zh-CN" w:bidi="ar-SA"/>
              </w:rPr>
            </w:pPr>
            <w:r>
              <w:rPr>
                <w:rFonts w:hint="eastAsia" w:ascii="仿宋_GB2312" w:hAnsi="仿宋_GB2312" w:eastAsia="仿宋_GB2312" w:cs="仿宋_GB2312"/>
                <w:b w:val="0"/>
                <w:bCs w:val="0"/>
                <w:color w:val="000000"/>
                <w:kern w:val="2"/>
                <w:sz w:val="24"/>
                <w:szCs w:val="24"/>
                <w:u w:val="none"/>
                <w:vertAlign w:val="baseline"/>
                <w:lang w:val="en-US" w:eastAsia="zh-CN" w:bidi="ar-SA"/>
              </w:rPr>
              <w:t>县安委会有关</w:t>
            </w:r>
          </w:p>
          <w:p>
            <w:pPr>
              <w:pStyle w:val="6"/>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000000"/>
                <w:kern w:val="2"/>
                <w:sz w:val="24"/>
                <w:szCs w:val="24"/>
                <w:u w:val="none"/>
                <w:vertAlign w:val="baseline"/>
                <w:lang w:val="en-US" w:eastAsia="zh-CN" w:bidi="ar-SA"/>
              </w:rPr>
            </w:pPr>
            <w:r>
              <w:rPr>
                <w:rFonts w:hint="eastAsia" w:ascii="仿宋_GB2312" w:hAnsi="仿宋_GB2312" w:eastAsia="仿宋_GB2312" w:cs="仿宋_GB2312"/>
                <w:b w:val="0"/>
                <w:bCs w:val="0"/>
                <w:color w:val="000000"/>
                <w:kern w:val="2"/>
                <w:sz w:val="24"/>
                <w:szCs w:val="24"/>
                <w:u w:val="none"/>
                <w:vertAlign w:val="baseline"/>
                <w:lang w:val="en-US" w:eastAsia="zh-CN" w:bidi="ar-SA"/>
              </w:rPr>
              <w:t>成员单位负责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845" w:type="dxa"/>
            <w:vAlign w:val="center"/>
          </w:tcPr>
          <w:p>
            <w:pPr>
              <w:pStyle w:val="6"/>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val="0"/>
                <w:color w:val="000000"/>
                <w:kern w:val="2"/>
                <w:sz w:val="24"/>
                <w:szCs w:val="24"/>
                <w:u w:val="none"/>
                <w:vertAlign w:val="baseline"/>
                <w:lang w:val="en-US" w:eastAsia="zh-CN" w:bidi="ar-SA"/>
              </w:rPr>
            </w:pPr>
            <w:r>
              <w:rPr>
                <w:rFonts w:hint="eastAsia" w:ascii="黑体" w:hAnsi="黑体" w:eastAsia="黑体" w:cs="黑体"/>
                <w:b w:val="0"/>
                <w:bCs w:val="0"/>
                <w:color w:val="000000"/>
                <w:kern w:val="2"/>
                <w:sz w:val="24"/>
                <w:szCs w:val="24"/>
                <w:u w:val="none"/>
                <w:vertAlign w:val="baseline"/>
                <w:lang w:val="en-US" w:eastAsia="zh-CN" w:bidi="ar-SA"/>
              </w:rPr>
              <w:t>序号</w:t>
            </w:r>
          </w:p>
        </w:tc>
        <w:tc>
          <w:tcPr>
            <w:tcW w:w="1048" w:type="dxa"/>
            <w:tcBorders>
              <w:top w:val="single" w:color="auto" w:sz="4" w:space="0"/>
              <w:left w:val="single" w:color="auto" w:sz="4" w:space="0"/>
              <w:right w:val="single" w:color="auto" w:sz="4" w:space="0"/>
            </w:tcBorders>
            <w:vAlign w:val="center"/>
          </w:tcPr>
          <w:p>
            <w:pPr>
              <w:pStyle w:val="6"/>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val="0"/>
                <w:color w:val="000000"/>
                <w:kern w:val="2"/>
                <w:sz w:val="24"/>
                <w:szCs w:val="24"/>
                <w:u w:val="none"/>
                <w:vertAlign w:val="baseline"/>
                <w:lang w:val="en-US" w:eastAsia="zh-CN" w:bidi="ar-SA"/>
              </w:rPr>
            </w:pPr>
            <w:r>
              <w:rPr>
                <w:rFonts w:hint="eastAsia" w:ascii="黑体" w:hAnsi="黑体" w:eastAsia="黑体" w:cs="黑体"/>
                <w:b w:val="0"/>
                <w:bCs w:val="0"/>
                <w:color w:val="000000"/>
                <w:kern w:val="2"/>
                <w:sz w:val="24"/>
                <w:szCs w:val="24"/>
                <w:u w:val="none"/>
                <w:vertAlign w:val="baseline"/>
                <w:lang w:val="en-US" w:eastAsia="zh-CN" w:bidi="ar-SA"/>
              </w:rPr>
              <w:t>任务</w:t>
            </w:r>
          </w:p>
        </w:tc>
        <w:tc>
          <w:tcPr>
            <w:tcW w:w="9335" w:type="dxa"/>
            <w:gridSpan w:val="2"/>
            <w:tcBorders>
              <w:top w:val="single" w:color="auto" w:sz="4" w:space="0"/>
              <w:left w:val="single" w:color="auto" w:sz="4" w:space="0"/>
              <w:right w:val="single" w:color="auto" w:sz="4" w:space="0"/>
            </w:tcBorders>
            <w:vAlign w:val="center"/>
          </w:tcPr>
          <w:p>
            <w:pPr>
              <w:pStyle w:val="6"/>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val="0"/>
                <w:color w:val="000000"/>
                <w:kern w:val="2"/>
                <w:sz w:val="24"/>
                <w:szCs w:val="24"/>
                <w:u w:val="none"/>
                <w:vertAlign w:val="baseline"/>
                <w:lang w:val="en-US" w:eastAsia="zh-CN" w:bidi="ar-SA"/>
              </w:rPr>
            </w:pPr>
            <w:r>
              <w:rPr>
                <w:rFonts w:hint="eastAsia" w:ascii="黑体" w:hAnsi="黑体" w:eastAsia="黑体" w:cs="黑体"/>
                <w:b w:val="0"/>
                <w:bCs w:val="0"/>
                <w:color w:val="000000"/>
                <w:kern w:val="2"/>
                <w:sz w:val="24"/>
                <w:szCs w:val="24"/>
                <w:u w:val="none"/>
                <w:vertAlign w:val="baseline"/>
                <w:lang w:val="en-US" w:eastAsia="zh-CN" w:bidi="ar-SA"/>
              </w:rPr>
              <w:t>主要内容</w:t>
            </w:r>
          </w:p>
        </w:tc>
        <w:tc>
          <w:tcPr>
            <w:tcW w:w="2090" w:type="dxa"/>
            <w:vAlign w:val="center"/>
          </w:tcPr>
          <w:p>
            <w:pPr>
              <w:pStyle w:val="6"/>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val="0"/>
                <w:color w:val="000000"/>
                <w:kern w:val="2"/>
                <w:sz w:val="24"/>
                <w:szCs w:val="24"/>
                <w:u w:val="none"/>
                <w:vertAlign w:val="baseline"/>
                <w:lang w:val="en-US" w:eastAsia="zh-CN" w:bidi="ar-SA"/>
              </w:rPr>
            </w:pPr>
            <w:r>
              <w:rPr>
                <w:rFonts w:hint="eastAsia" w:ascii="黑体" w:hAnsi="黑体" w:eastAsia="黑体" w:cs="黑体"/>
                <w:b w:val="0"/>
                <w:bCs w:val="0"/>
                <w:color w:val="000000"/>
                <w:kern w:val="2"/>
                <w:sz w:val="24"/>
                <w:szCs w:val="24"/>
                <w:u w:val="none"/>
                <w:vertAlign w:val="baseline"/>
                <w:lang w:val="en-US" w:eastAsia="zh-CN" w:bidi="ar-SA"/>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0" w:hRule="atLeast"/>
          <w:jc w:val="center"/>
        </w:trPr>
        <w:tc>
          <w:tcPr>
            <w:tcW w:w="845" w:type="dxa"/>
            <w:vMerge w:val="restart"/>
            <w:vAlign w:val="center"/>
          </w:tcPr>
          <w:p>
            <w:pPr>
              <w:pStyle w:val="6"/>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000000"/>
                <w:kern w:val="2"/>
                <w:sz w:val="24"/>
                <w:szCs w:val="24"/>
                <w:u w:val="none"/>
                <w:vertAlign w:val="baseline"/>
                <w:lang w:val="en-US" w:eastAsia="zh-CN" w:bidi="ar-SA"/>
              </w:rPr>
            </w:pPr>
            <w:r>
              <w:rPr>
                <w:rFonts w:hint="eastAsia" w:ascii="仿宋_GB2312" w:hAnsi="仿宋_GB2312" w:eastAsia="仿宋_GB2312" w:cs="仿宋_GB2312"/>
                <w:b w:val="0"/>
                <w:bCs w:val="0"/>
                <w:color w:val="000000"/>
                <w:kern w:val="2"/>
                <w:sz w:val="24"/>
                <w:szCs w:val="24"/>
                <w:u w:val="none"/>
                <w:vertAlign w:val="baseline"/>
                <w:lang w:val="en-US" w:eastAsia="zh-CN" w:bidi="ar-SA"/>
              </w:rPr>
              <w:t>四</w:t>
            </w:r>
          </w:p>
          <w:p>
            <w:pPr>
              <w:pStyle w:val="6"/>
              <w:keepNext w:val="0"/>
              <w:keepLines w:val="0"/>
              <w:pageBreakBefore w:val="0"/>
              <w:widowControl w:val="0"/>
              <w:kinsoku/>
              <w:wordWrap/>
              <w:overflowPunct/>
              <w:topLinePunct w:val="0"/>
              <w:autoSpaceDE/>
              <w:autoSpaceDN/>
              <w:bidi w:val="0"/>
              <w:adjustRightInd/>
              <w:snapToGrid/>
              <w:spacing w:line="300" w:lineRule="exact"/>
              <w:jc w:val="center"/>
              <w:textAlignment w:val="auto"/>
              <w:rPr>
                <w:b w:val="0"/>
                <w:bCs w:val="0"/>
                <w:sz w:val="24"/>
                <w:szCs w:val="24"/>
              </w:rPr>
            </w:pPr>
          </w:p>
        </w:tc>
        <w:tc>
          <w:tcPr>
            <w:tcW w:w="1048" w:type="dxa"/>
            <w:vMerge w:val="restart"/>
            <w:tcBorders>
              <w:top w:val="single" w:color="auto" w:sz="4" w:space="0"/>
              <w:left w:val="single" w:color="auto" w:sz="4" w:space="0"/>
              <w:right w:val="single" w:color="auto" w:sz="4" w:space="0"/>
            </w:tcBorders>
            <w:vAlign w:val="center"/>
          </w:tcPr>
          <w:p>
            <w:pPr>
              <w:pStyle w:val="6"/>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000000"/>
                <w:kern w:val="2"/>
                <w:sz w:val="24"/>
                <w:szCs w:val="24"/>
                <w:u w:val="none"/>
                <w:vertAlign w:val="baseline"/>
                <w:lang w:val="en-US" w:eastAsia="zh-CN" w:bidi="ar-SA"/>
              </w:rPr>
            </w:pPr>
            <w:r>
              <w:rPr>
                <w:rFonts w:hint="eastAsia" w:ascii="仿宋_GB2312" w:hAnsi="仿宋_GB2312" w:eastAsia="仿宋_GB2312" w:cs="仿宋_GB2312"/>
                <w:b w:val="0"/>
                <w:bCs w:val="0"/>
                <w:color w:val="000000"/>
                <w:kern w:val="2"/>
                <w:sz w:val="24"/>
                <w:szCs w:val="24"/>
                <w:u w:val="none"/>
                <w:vertAlign w:val="baseline"/>
                <w:lang w:val="en-US" w:eastAsia="zh-CN" w:bidi="ar-SA"/>
              </w:rPr>
              <w:t>聚焦重点领域，深化隐患治理</w:t>
            </w:r>
          </w:p>
          <w:p>
            <w:pPr>
              <w:pStyle w:val="6"/>
              <w:keepNext w:val="0"/>
              <w:keepLines w:val="0"/>
              <w:pageBreakBefore w:val="0"/>
              <w:widowControl w:val="0"/>
              <w:kinsoku/>
              <w:wordWrap/>
              <w:overflowPunct/>
              <w:topLinePunct w:val="0"/>
              <w:autoSpaceDE/>
              <w:autoSpaceDN/>
              <w:bidi w:val="0"/>
              <w:adjustRightInd/>
              <w:snapToGrid/>
              <w:spacing w:line="300" w:lineRule="exact"/>
              <w:jc w:val="center"/>
              <w:textAlignment w:val="auto"/>
              <w:rPr>
                <w:b w:val="0"/>
                <w:bCs w:val="0"/>
                <w:sz w:val="24"/>
                <w:szCs w:val="24"/>
              </w:rPr>
            </w:pPr>
          </w:p>
        </w:tc>
        <w:tc>
          <w:tcPr>
            <w:tcW w:w="2236" w:type="dxa"/>
            <w:vMerge w:val="restart"/>
            <w:tcBorders>
              <w:top w:val="single" w:color="auto" w:sz="4" w:space="0"/>
              <w:left w:val="single" w:color="auto" w:sz="4" w:space="0"/>
              <w:right w:val="single" w:color="auto" w:sz="4" w:space="0"/>
            </w:tcBorders>
            <w:vAlign w:val="center"/>
          </w:tcPr>
          <w:p>
            <w:pPr>
              <w:pStyle w:val="6"/>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b w:val="0"/>
                <w:bCs w:val="0"/>
                <w:color w:val="000000"/>
                <w:kern w:val="2"/>
                <w:sz w:val="24"/>
                <w:szCs w:val="24"/>
                <w:u w:val="none"/>
                <w:vertAlign w:val="baseline"/>
                <w:lang w:val="en-US" w:eastAsia="zh-CN" w:bidi="ar-SA"/>
              </w:rPr>
            </w:pPr>
            <w:r>
              <w:rPr>
                <w:rFonts w:hint="eastAsia" w:ascii="仿宋_GB2312" w:hAnsi="仿宋_GB2312" w:eastAsia="仿宋_GB2312" w:cs="仿宋_GB2312"/>
                <w:b w:val="0"/>
                <w:bCs w:val="0"/>
                <w:color w:val="000000"/>
                <w:kern w:val="2"/>
                <w:sz w:val="24"/>
                <w:szCs w:val="24"/>
                <w:u w:val="none"/>
                <w:vertAlign w:val="baseline"/>
                <w:lang w:val="en-US" w:eastAsia="zh-CN" w:bidi="ar-SA"/>
              </w:rPr>
              <w:t>11.破解重大问题，攻克安全发展难题。聚焦重点行业领域，采取有力措施，每年至少解决1—2项制约安全发展的突出问题，久久为功，持续发力。涉及跨部门、跨区域难以解决的重大问题要及时提请县委、县政府专题研究。</w:t>
            </w:r>
          </w:p>
        </w:tc>
        <w:tc>
          <w:tcPr>
            <w:tcW w:w="7099" w:type="dxa"/>
            <w:tcBorders>
              <w:top w:val="single" w:color="auto" w:sz="4" w:space="0"/>
              <w:left w:val="single" w:color="auto" w:sz="4" w:space="0"/>
              <w:right w:val="single" w:color="auto" w:sz="4" w:space="0"/>
            </w:tcBorders>
            <w:vAlign w:val="bottom"/>
          </w:tcPr>
          <w:p>
            <w:pPr>
              <w:pStyle w:val="6"/>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b w:val="0"/>
                <w:bCs w:val="0"/>
                <w:color w:val="000000"/>
                <w:kern w:val="2"/>
                <w:sz w:val="24"/>
                <w:szCs w:val="24"/>
                <w:u w:val="none"/>
                <w:vertAlign w:val="baseline"/>
                <w:lang w:val="en-US" w:eastAsia="zh-CN" w:bidi="ar-SA"/>
              </w:rPr>
            </w:pPr>
          </w:p>
          <w:p>
            <w:pPr>
              <w:pStyle w:val="6"/>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b w:val="0"/>
                <w:bCs w:val="0"/>
                <w:color w:val="000000"/>
                <w:kern w:val="2"/>
                <w:sz w:val="24"/>
                <w:szCs w:val="24"/>
                <w:u w:val="none"/>
                <w:vertAlign w:val="baseline"/>
                <w:lang w:val="en-US" w:eastAsia="zh-CN" w:bidi="ar-SA"/>
              </w:rPr>
            </w:pPr>
            <w:r>
              <w:rPr>
                <w:rFonts w:hint="eastAsia" w:ascii="仿宋_GB2312" w:hAnsi="仿宋_GB2312" w:eastAsia="仿宋_GB2312" w:cs="仿宋_GB2312"/>
                <w:b w:val="0"/>
                <w:bCs w:val="0"/>
                <w:color w:val="000000"/>
                <w:kern w:val="2"/>
                <w:sz w:val="24"/>
                <w:szCs w:val="24"/>
                <w:u w:val="none"/>
                <w:vertAlign w:val="baseline"/>
                <w:lang w:val="en-US" w:eastAsia="zh-CN" w:bidi="ar-SA"/>
              </w:rPr>
              <w:t>煤矿方面，持续抓好“两办意见”“八条硬措施”及山西省实施措施的贯彻落实；重点解决煤矿隐蔽致灾因素不清、瓦斯超限、探放水措施落实不到位等问题，进一步推动煤矿装备升级和灾害治理提升。</w:t>
            </w:r>
          </w:p>
          <w:p>
            <w:pPr>
              <w:pStyle w:val="6"/>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b w:val="0"/>
                <w:bCs w:val="0"/>
                <w:color w:val="000000"/>
                <w:kern w:val="2"/>
                <w:sz w:val="24"/>
                <w:szCs w:val="24"/>
                <w:u w:val="none"/>
                <w:vertAlign w:val="baseline"/>
                <w:lang w:val="en-US" w:eastAsia="zh-CN" w:bidi="ar-SA"/>
              </w:rPr>
            </w:pPr>
          </w:p>
        </w:tc>
        <w:tc>
          <w:tcPr>
            <w:tcW w:w="2090" w:type="dxa"/>
            <w:vAlign w:val="center"/>
          </w:tcPr>
          <w:p>
            <w:pPr>
              <w:pStyle w:val="6"/>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b w:val="0"/>
                <w:bCs w:val="0"/>
                <w:color w:val="000000"/>
                <w:kern w:val="2"/>
                <w:sz w:val="24"/>
                <w:szCs w:val="24"/>
                <w:u w:val="none"/>
                <w:vertAlign w:val="baseline"/>
                <w:lang w:val="en-US" w:eastAsia="zh-CN" w:bidi="ar-SA"/>
              </w:rPr>
            </w:pPr>
            <w:r>
              <w:rPr>
                <w:rFonts w:hint="eastAsia" w:ascii="仿宋_GB2312" w:hAnsi="仿宋_GB2312" w:eastAsia="仿宋_GB2312" w:cs="仿宋_GB2312"/>
                <w:b w:val="0"/>
                <w:bCs w:val="0"/>
                <w:color w:val="000000"/>
                <w:kern w:val="2"/>
                <w:sz w:val="24"/>
                <w:szCs w:val="24"/>
                <w:u w:val="none"/>
                <w:vertAlign w:val="baseline"/>
                <w:lang w:val="en-US" w:eastAsia="zh-CN" w:bidi="ar-SA"/>
              </w:rPr>
              <w:t>煤矿安全专业委员会办公室牵头负责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jc w:val="center"/>
        </w:trPr>
        <w:tc>
          <w:tcPr>
            <w:tcW w:w="84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b w:val="0"/>
                <w:bCs w:val="0"/>
                <w:sz w:val="24"/>
                <w:szCs w:val="24"/>
              </w:rPr>
            </w:pPr>
          </w:p>
        </w:tc>
        <w:tc>
          <w:tcPr>
            <w:tcW w:w="1048"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b w:val="0"/>
                <w:bCs w:val="0"/>
                <w:sz w:val="24"/>
                <w:szCs w:val="24"/>
              </w:rPr>
            </w:pPr>
          </w:p>
        </w:tc>
        <w:tc>
          <w:tcPr>
            <w:tcW w:w="2236" w:type="dxa"/>
            <w:vMerge w:val="continue"/>
            <w:tcBorders>
              <w:left w:val="single" w:color="auto" w:sz="4" w:space="0"/>
              <w:right w:val="single" w:color="auto" w:sz="4" w:space="0"/>
            </w:tcBorders>
            <w:vAlign w:val="center"/>
          </w:tcPr>
          <w:p>
            <w:pPr>
              <w:pStyle w:val="6"/>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b w:val="0"/>
                <w:bCs w:val="0"/>
                <w:color w:val="000000"/>
                <w:kern w:val="2"/>
                <w:sz w:val="24"/>
                <w:szCs w:val="24"/>
                <w:u w:val="none"/>
                <w:vertAlign w:val="baseline"/>
                <w:lang w:val="en-US" w:eastAsia="zh-CN" w:bidi="ar-SA"/>
              </w:rPr>
            </w:pPr>
          </w:p>
        </w:tc>
        <w:tc>
          <w:tcPr>
            <w:tcW w:w="7099" w:type="dxa"/>
            <w:tcBorders>
              <w:top w:val="single" w:color="auto" w:sz="4" w:space="0"/>
              <w:left w:val="single" w:color="auto" w:sz="4" w:space="0"/>
              <w:right w:val="single" w:color="auto" w:sz="4" w:space="0"/>
            </w:tcBorders>
            <w:vAlign w:val="bottom"/>
          </w:tcPr>
          <w:p>
            <w:pPr>
              <w:pStyle w:val="6"/>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b w:val="0"/>
                <w:bCs w:val="0"/>
                <w:color w:val="000000"/>
                <w:kern w:val="2"/>
                <w:sz w:val="24"/>
                <w:szCs w:val="24"/>
                <w:u w:val="none"/>
                <w:vertAlign w:val="baseline"/>
                <w:lang w:val="en-US" w:eastAsia="zh-CN" w:bidi="ar-SA"/>
              </w:rPr>
            </w:pPr>
          </w:p>
          <w:p>
            <w:pPr>
              <w:pStyle w:val="6"/>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b w:val="0"/>
                <w:bCs w:val="0"/>
                <w:color w:val="000000"/>
                <w:kern w:val="2"/>
                <w:sz w:val="24"/>
                <w:szCs w:val="24"/>
                <w:u w:val="none"/>
                <w:vertAlign w:val="baseline"/>
                <w:lang w:val="en-US" w:eastAsia="zh-CN" w:bidi="ar-SA"/>
              </w:rPr>
            </w:pPr>
            <w:r>
              <w:rPr>
                <w:rFonts w:hint="eastAsia" w:ascii="仿宋_GB2312" w:hAnsi="仿宋_GB2312" w:eastAsia="仿宋_GB2312" w:cs="仿宋_GB2312"/>
                <w:b w:val="0"/>
                <w:bCs w:val="0"/>
                <w:color w:val="000000"/>
                <w:kern w:val="2"/>
                <w:sz w:val="24"/>
                <w:szCs w:val="24"/>
                <w:u w:val="none"/>
                <w:vertAlign w:val="baseline"/>
                <w:lang w:val="en-US" w:eastAsia="zh-CN" w:bidi="ar-SA"/>
              </w:rPr>
              <w:t>非煤矿山方面，持续推进资源整合与企业规范化管理，深化资源整合，推动兼并重组、关小上大。汛期前围绕“管住水、护住坡、看住井、应好急”要求，开展“五个一”行动；深化“体检式”精查与专项整治行动。</w:t>
            </w:r>
          </w:p>
          <w:p>
            <w:pPr>
              <w:pStyle w:val="6"/>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b w:val="0"/>
                <w:bCs w:val="0"/>
                <w:color w:val="000000"/>
                <w:kern w:val="2"/>
                <w:sz w:val="24"/>
                <w:szCs w:val="24"/>
                <w:u w:val="none"/>
                <w:vertAlign w:val="baseline"/>
                <w:lang w:val="en-US" w:eastAsia="zh-CN" w:bidi="ar-SA"/>
              </w:rPr>
            </w:pPr>
          </w:p>
        </w:tc>
        <w:tc>
          <w:tcPr>
            <w:tcW w:w="2090" w:type="dxa"/>
            <w:vAlign w:val="center"/>
          </w:tcPr>
          <w:p>
            <w:pPr>
              <w:pStyle w:val="6"/>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b w:val="0"/>
                <w:bCs w:val="0"/>
                <w:color w:val="000000"/>
                <w:kern w:val="2"/>
                <w:sz w:val="24"/>
                <w:szCs w:val="24"/>
                <w:u w:val="none"/>
                <w:vertAlign w:val="baseline"/>
                <w:lang w:val="en-US" w:eastAsia="zh-CN" w:bidi="ar-SA"/>
              </w:rPr>
            </w:pPr>
            <w:r>
              <w:rPr>
                <w:rFonts w:hint="eastAsia" w:ascii="仿宋_GB2312" w:hAnsi="仿宋_GB2312" w:eastAsia="仿宋_GB2312" w:cs="仿宋_GB2312"/>
                <w:b w:val="0"/>
                <w:bCs w:val="0"/>
                <w:color w:val="000000"/>
                <w:kern w:val="2"/>
                <w:sz w:val="24"/>
                <w:szCs w:val="24"/>
                <w:u w:val="none"/>
                <w:vertAlign w:val="baseline"/>
                <w:lang w:val="en-US" w:eastAsia="zh-CN" w:bidi="ar-SA"/>
              </w:rPr>
              <w:t>非煤矿山安全专业委员会办公室牵头负责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84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b w:val="0"/>
                <w:bCs w:val="0"/>
                <w:sz w:val="24"/>
                <w:szCs w:val="24"/>
              </w:rPr>
            </w:pPr>
          </w:p>
        </w:tc>
        <w:tc>
          <w:tcPr>
            <w:tcW w:w="1048"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b w:val="0"/>
                <w:bCs w:val="0"/>
                <w:sz w:val="24"/>
                <w:szCs w:val="24"/>
              </w:rPr>
            </w:pPr>
          </w:p>
        </w:tc>
        <w:tc>
          <w:tcPr>
            <w:tcW w:w="2236" w:type="dxa"/>
            <w:vMerge w:val="continue"/>
            <w:tcBorders>
              <w:left w:val="single" w:color="auto" w:sz="4" w:space="0"/>
              <w:right w:val="single" w:color="auto" w:sz="4" w:space="0"/>
            </w:tcBorders>
            <w:vAlign w:val="center"/>
          </w:tcPr>
          <w:p>
            <w:pPr>
              <w:pStyle w:val="6"/>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b w:val="0"/>
                <w:bCs w:val="0"/>
                <w:color w:val="000000"/>
                <w:kern w:val="2"/>
                <w:sz w:val="24"/>
                <w:szCs w:val="24"/>
                <w:u w:val="none"/>
                <w:vertAlign w:val="baseline"/>
                <w:lang w:val="en-US" w:eastAsia="zh-CN" w:bidi="ar-SA"/>
              </w:rPr>
            </w:pPr>
          </w:p>
        </w:tc>
        <w:tc>
          <w:tcPr>
            <w:tcW w:w="7099" w:type="dxa"/>
            <w:tcBorders>
              <w:top w:val="single" w:color="auto" w:sz="4" w:space="0"/>
              <w:left w:val="single" w:color="auto" w:sz="4" w:space="0"/>
              <w:right w:val="single" w:color="auto" w:sz="4" w:space="0"/>
            </w:tcBorders>
            <w:vAlign w:val="bottom"/>
          </w:tcPr>
          <w:p>
            <w:pPr>
              <w:pStyle w:val="6"/>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b w:val="0"/>
                <w:bCs w:val="0"/>
                <w:color w:val="000000"/>
                <w:kern w:val="2"/>
                <w:sz w:val="24"/>
                <w:szCs w:val="24"/>
                <w:u w:val="none"/>
                <w:vertAlign w:val="baseline"/>
                <w:lang w:val="en-US" w:eastAsia="zh-CN" w:bidi="ar-SA"/>
              </w:rPr>
            </w:pPr>
          </w:p>
          <w:p>
            <w:pPr>
              <w:pStyle w:val="6"/>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b w:val="0"/>
                <w:bCs w:val="0"/>
                <w:color w:val="000000"/>
                <w:kern w:val="2"/>
                <w:sz w:val="24"/>
                <w:szCs w:val="24"/>
                <w:u w:val="none"/>
                <w:vertAlign w:val="baseline"/>
                <w:lang w:val="en-US" w:eastAsia="zh-CN" w:bidi="ar-SA"/>
              </w:rPr>
            </w:pPr>
            <w:r>
              <w:rPr>
                <w:rFonts w:hint="eastAsia" w:ascii="仿宋_GB2312" w:hAnsi="仿宋_GB2312" w:eastAsia="仿宋_GB2312" w:cs="仿宋_GB2312"/>
                <w:b w:val="0"/>
                <w:bCs w:val="0"/>
                <w:color w:val="000000"/>
                <w:kern w:val="2"/>
                <w:sz w:val="24"/>
                <w:szCs w:val="24"/>
                <w:u w:val="none"/>
                <w:vertAlign w:val="baseline"/>
                <w:lang w:val="en-US" w:eastAsia="zh-CN" w:bidi="ar-SA"/>
              </w:rPr>
              <w:t>冶金工贸方面，持续推进冶金工贸行业“一厂多租、厂中厂、业态混杂”以及工程项目、检维修作业外包外委管理不到位、冶金工贸企业“多、小、散、乱、差”等问题。持续推进工贸行业起底摸排工作，在钢模板企业起底的基础上，联合乡镇进一步开展机械、白酒等其它行业起底摸排工作，摸清底数，分类监管。对具备安全生产条件但未履行安全手续的企业，督促指导企业按照相关法律法规要求办理“三同时”手续。对存在重大安全隐患且未履行安全手续的企业，依法责令停产停业整顿。对不具备安全生产条件，拒不履行安全手续的企业，依法予以取缔。对未经立项备案的企业，属地乡镇要责令企业停产、停建，督促办理立项备案手续并定期回访检查，防止擅自恢复生产、建设。</w:t>
            </w:r>
          </w:p>
        </w:tc>
        <w:tc>
          <w:tcPr>
            <w:tcW w:w="2090" w:type="dxa"/>
            <w:vAlign w:val="center"/>
          </w:tcPr>
          <w:p>
            <w:pPr>
              <w:pStyle w:val="6"/>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b w:val="0"/>
                <w:bCs w:val="0"/>
                <w:color w:val="000000"/>
                <w:kern w:val="2"/>
                <w:sz w:val="24"/>
                <w:szCs w:val="24"/>
                <w:u w:val="none"/>
                <w:vertAlign w:val="baseline"/>
                <w:lang w:val="en-US" w:eastAsia="zh-CN" w:bidi="ar-SA"/>
              </w:rPr>
            </w:pPr>
            <w:r>
              <w:rPr>
                <w:rFonts w:hint="eastAsia" w:ascii="仿宋_GB2312" w:hAnsi="仿宋_GB2312" w:eastAsia="仿宋_GB2312" w:cs="仿宋_GB2312"/>
                <w:b w:val="0"/>
                <w:bCs w:val="0"/>
                <w:color w:val="000000"/>
                <w:kern w:val="2"/>
                <w:sz w:val="24"/>
                <w:szCs w:val="24"/>
                <w:u w:val="none"/>
                <w:vertAlign w:val="baseline"/>
                <w:lang w:val="en-US" w:eastAsia="zh-CN" w:bidi="ar-SA"/>
              </w:rPr>
              <w:t>冶金工贸安全专业委员会办公室牵头负责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845" w:type="dxa"/>
            <w:vAlign w:val="center"/>
          </w:tcPr>
          <w:p>
            <w:pPr>
              <w:pStyle w:val="6"/>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000000"/>
                <w:kern w:val="2"/>
                <w:sz w:val="24"/>
                <w:szCs w:val="24"/>
                <w:u w:val="none"/>
                <w:vertAlign w:val="baseline"/>
                <w:lang w:val="en-US" w:eastAsia="zh-CN" w:bidi="ar-SA"/>
              </w:rPr>
            </w:pPr>
            <w:r>
              <w:rPr>
                <w:rFonts w:hint="eastAsia" w:ascii="黑体" w:hAnsi="黑体" w:eastAsia="黑体" w:cs="黑体"/>
                <w:b w:val="0"/>
                <w:bCs w:val="0"/>
                <w:color w:val="000000"/>
                <w:kern w:val="2"/>
                <w:sz w:val="24"/>
                <w:szCs w:val="24"/>
                <w:u w:val="none"/>
                <w:vertAlign w:val="baseline"/>
                <w:lang w:val="en-US" w:eastAsia="zh-CN" w:bidi="ar-SA"/>
              </w:rPr>
              <w:t>序号</w:t>
            </w:r>
          </w:p>
        </w:tc>
        <w:tc>
          <w:tcPr>
            <w:tcW w:w="1048" w:type="dxa"/>
            <w:tcBorders>
              <w:left w:val="single" w:color="auto" w:sz="4" w:space="0"/>
              <w:right w:val="single" w:color="auto" w:sz="4" w:space="0"/>
            </w:tcBorders>
            <w:vAlign w:val="center"/>
          </w:tcPr>
          <w:p>
            <w:pPr>
              <w:pStyle w:val="6"/>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000000"/>
                <w:kern w:val="2"/>
                <w:sz w:val="24"/>
                <w:szCs w:val="24"/>
                <w:u w:val="none"/>
                <w:vertAlign w:val="baseline"/>
                <w:lang w:val="en-US" w:eastAsia="zh-CN" w:bidi="ar-SA"/>
              </w:rPr>
            </w:pPr>
            <w:r>
              <w:rPr>
                <w:rFonts w:hint="eastAsia" w:ascii="黑体" w:hAnsi="黑体" w:eastAsia="黑体" w:cs="黑体"/>
                <w:b w:val="0"/>
                <w:bCs w:val="0"/>
                <w:color w:val="000000"/>
                <w:kern w:val="2"/>
                <w:sz w:val="24"/>
                <w:szCs w:val="24"/>
                <w:u w:val="none"/>
                <w:vertAlign w:val="baseline"/>
                <w:lang w:val="en-US" w:eastAsia="zh-CN" w:bidi="ar-SA"/>
              </w:rPr>
              <w:t>任务</w:t>
            </w:r>
          </w:p>
        </w:tc>
        <w:tc>
          <w:tcPr>
            <w:tcW w:w="9335" w:type="dxa"/>
            <w:gridSpan w:val="2"/>
            <w:tcBorders>
              <w:left w:val="single" w:color="auto" w:sz="4" w:space="0"/>
              <w:right w:val="single" w:color="auto" w:sz="4" w:space="0"/>
            </w:tcBorders>
            <w:vAlign w:val="center"/>
          </w:tcPr>
          <w:p>
            <w:pPr>
              <w:pStyle w:val="6"/>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000000"/>
                <w:kern w:val="2"/>
                <w:sz w:val="24"/>
                <w:szCs w:val="24"/>
                <w:u w:val="none"/>
                <w:vertAlign w:val="baseline"/>
                <w:lang w:val="en-US" w:eastAsia="zh-CN" w:bidi="ar-SA"/>
              </w:rPr>
            </w:pPr>
            <w:r>
              <w:rPr>
                <w:rFonts w:hint="eastAsia" w:ascii="黑体" w:hAnsi="黑体" w:eastAsia="黑体" w:cs="黑体"/>
                <w:b w:val="0"/>
                <w:bCs w:val="0"/>
                <w:color w:val="000000"/>
                <w:kern w:val="2"/>
                <w:sz w:val="24"/>
                <w:szCs w:val="24"/>
                <w:u w:val="none"/>
                <w:vertAlign w:val="baseline"/>
                <w:lang w:val="en-US" w:eastAsia="zh-CN" w:bidi="ar-SA"/>
              </w:rPr>
              <w:t>主要内容</w:t>
            </w:r>
          </w:p>
        </w:tc>
        <w:tc>
          <w:tcPr>
            <w:tcW w:w="2090" w:type="dxa"/>
            <w:vAlign w:val="center"/>
          </w:tcPr>
          <w:p>
            <w:pPr>
              <w:pStyle w:val="6"/>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000000"/>
                <w:kern w:val="2"/>
                <w:sz w:val="24"/>
                <w:szCs w:val="24"/>
                <w:u w:val="none"/>
                <w:vertAlign w:val="baseline"/>
                <w:lang w:val="en-US" w:eastAsia="zh-CN" w:bidi="ar-SA"/>
              </w:rPr>
            </w:pPr>
            <w:r>
              <w:rPr>
                <w:rFonts w:hint="eastAsia" w:ascii="黑体" w:hAnsi="黑体" w:eastAsia="黑体" w:cs="黑体"/>
                <w:b w:val="0"/>
                <w:bCs w:val="0"/>
                <w:color w:val="000000"/>
                <w:kern w:val="2"/>
                <w:sz w:val="24"/>
                <w:szCs w:val="24"/>
                <w:u w:val="none"/>
                <w:vertAlign w:val="baseline"/>
                <w:lang w:val="en-US" w:eastAsia="zh-CN" w:bidi="ar-SA"/>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jc w:val="center"/>
        </w:trPr>
        <w:tc>
          <w:tcPr>
            <w:tcW w:w="845" w:type="dxa"/>
            <w:vMerge w:val="restart"/>
            <w:vAlign w:val="center"/>
          </w:tcPr>
          <w:p>
            <w:pPr>
              <w:pStyle w:val="6"/>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000000"/>
                <w:kern w:val="2"/>
                <w:sz w:val="24"/>
                <w:szCs w:val="24"/>
                <w:u w:val="none"/>
                <w:vertAlign w:val="baseline"/>
                <w:lang w:val="en-US" w:eastAsia="zh-CN" w:bidi="ar-SA"/>
              </w:rPr>
            </w:pPr>
            <w:r>
              <w:rPr>
                <w:rFonts w:hint="eastAsia" w:ascii="仿宋_GB2312" w:hAnsi="仿宋_GB2312" w:eastAsia="仿宋_GB2312" w:cs="仿宋_GB2312"/>
                <w:b w:val="0"/>
                <w:bCs w:val="0"/>
                <w:color w:val="000000"/>
                <w:kern w:val="2"/>
                <w:sz w:val="24"/>
                <w:szCs w:val="24"/>
                <w:u w:val="none"/>
                <w:vertAlign w:val="baseline"/>
                <w:lang w:val="en-US" w:eastAsia="zh-CN" w:bidi="ar-SA"/>
              </w:rPr>
              <w:t>四</w:t>
            </w:r>
          </w:p>
          <w:p>
            <w:pPr>
              <w:pStyle w:val="6"/>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000000"/>
                <w:kern w:val="2"/>
                <w:sz w:val="24"/>
                <w:szCs w:val="24"/>
                <w:u w:val="none"/>
                <w:vertAlign w:val="baseline"/>
                <w:lang w:val="en-US" w:eastAsia="zh-CN" w:bidi="ar-SA"/>
              </w:rPr>
            </w:pPr>
          </w:p>
        </w:tc>
        <w:tc>
          <w:tcPr>
            <w:tcW w:w="1048" w:type="dxa"/>
            <w:vMerge w:val="restart"/>
            <w:tcBorders>
              <w:left w:val="single" w:color="auto" w:sz="4" w:space="0"/>
              <w:right w:val="single" w:color="auto" w:sz="4" w:space="0"/>
            </w:tcBorders>
            <w:vAlign w:val="center"/>
          </w:tcPr>
          <w:p>
            <w:pPr>
              <w:pStyle w:val="6"/>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000000"/>
                <w:kern w:val="2"/>
                <w:sz w:val="24"/>
                <w:szCs w:val="24"/>
                <w:u w:val="none"/>
                <w:vertAlign w:val="baseline"/>
                <w:lang w:val="en-US" w:eastAsia="zh-CN" w:bidi="ar-SA"/>
              </w:rPr>
            </w:pPr>
            <w:r>
              <w:rPr>
                <w:rFonts w:hint="eastAsia" w:ascii="仿宋_GB2312" w:hAnsi="仿宋_GB2312" w:eastAsia="仿宋_GB2312" w:cs="仿宋_GB2312"/>
                <w:b w:val="0"/>
                <w:bCs w:val="0"/>
                <w:color w:val="000000"/>
                <w:kern w:val="2"/>
                <w:sz w:val="24"/>
                <w:szCs w:val="24"/>
                <w:u w:val="none"/>
                <w:vertAlign w:val="baseline"/>
                <w:lang w:val="en-US" w:eastAsia="zh-CN" w:bidi="ar-SA"/>
              </w:rPr>
              <w:t>聚焦重点领域，深化隐患治理</w:t>
            </w:r>
          </w:p>
          <w:p>
            <w:pPr>
              <w:pStyle w:val="6"/>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000000"/>
                <w:kern w:val="2"/>
                <w:sz w:val="24"/>
                <w:szCs w:val="24"/>
                <w:u w:val="none"/>
                <w:vertAlign w:val="baseline"/>
                <w:lang w:val="en-US" w:bidi="ar-SA"/>
              </w:rPr>
            </w:pPr>
          </w:p>
        </w:tc>
        <w:tc>
          <w:tcPr>
            <w:tcW w:w="2236" w:type="dxa"/>
            <w:vMerge w:val="restart"/>
            <w:tcBorders>
              <w:left w:val="single" w:color="auto" w:sz="4" w:space="0"/>
              <w:right w:val="single" w:color="auto" w:sz="4" w:space="0"/>
            </w:tcBorders>
            <w:vAlign w:val="center"/>
          </w:tcPr>
          <w:p>
            <w:pPr>
              <w:pStyle w:val="6"/>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仿宋_GB2312" w:hAnsi="仿宋_GB2312" w:eastAsia="仿宋_GB2312" w:cs="仿宋_GB2312"/>
                <w:b w:val="0"/>
                <w:bCs w:val="0"/>
                <w:color w:val="000000"/>
                <w:kern w:val="2"/>
                <w:sz w:val="24"/>
                <w:szCs w:val="24"/>
                <w:u w:val="none"/>
                <w:vertAlign w:val="baseline"/>
                <w:lang w:val="en-US" w:eastAsia="zh-CN" w:bidi="ar-SA"/>
              </w:rPr>
            </w:pPr>
            <w:r>
              <w:rPr>
                <w:rFonts w:hint="eastAsia" w:ascii="仿宋_GB2312" w:hAnsi="仿宋_GB2312" w:eastAsia="仿宋_GB2312" w:cs="仿宋_GB2312"/>
                <w:b w:val="0"/>
                <w:bCs w:val="0"/>
                <w:color w:val="000000"/>
                <w:kern w:val="2"/>
                <w:sz w:val="24"/>
                <w:szCs w:val="24"/>
                <w:u w:val="none"/>
                <w:vertAlign w:val="baseline"/>
                <w:lang w:val="en-US" w:eastAsia="zh-CN" w:bidi="ar-SA"/>
              </w:rPr>
              <w:t>11.破解重大问题，攻克安全发展难题。聚焦重点行业领域，采取有力措施，每年至少解决1—2项制约安全发展的突出问题，久久为功，持续发力。涉及跨部门、跨区域难以解决的重大问题要及时提请县委、县政府专题研究。</w:t>
            </w:r>
          </w:p>
        </w:tc>
        <w:tc>
          <w:tcPr>
            <w:tcW w:w="7099" w:type="dxa"/>
            <w:tcBorders>
              <w:top w:val="single" w:color="auto" w:sz="4" w:space="0"/>
              <w:left w:val="single" w:color="auto" w:sz="4" w:space="0"/>
              <w:right w:val="single" w:color="auto" w:sz="4" w:space="0"/>
            </w:tcBorders>
            <w:vAlign w:val="center"/>
          </w:tcPr>
          <w:p>
            <w:pPr>
              <w:pStyle w:val="6"/>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b w:val="0"/>
                <w:bCs w:val="0"/>
                <w:color w:val="000000"/>
                <w:kern w:val="2"/>
                <w:sz w:val="24"/>
                <w:szCs w:val="24"/>
                <w:u w:val="none"/>
                <w:vertAlign w:val="baseline"/>
                <w:lang w:val="en-US" w:eastAsia="zh-CN" w:bidi="ar-SA"/>
              </w:rPr>
            </w:pPr>
            <w:r>
              <w:rPr>
                <w:rFonts w:hint="eastAsia" w:ascii="仿宋_GB2312" w:hAnsi="仿宋_GB2312" w:eastAsia="仿宋_GB2312" w:cs="仿宋_GB2312"/>
                <w:b w:val="0"/>
                <w:bCs w:val="0"/>
                <w:color w:val="000000"/>
                <w:kern w:val="2"/>
                <w:sz w:val="24"/>
                <w:szCs w:val="24"/>
                <w:u w:val="none"/>
                <w:vertAlign w:val="baseline"/>
                <w:lang w:val="en-US" w:eastAsia="zh-CN" w:bidi="ar-SA"/>
              </w:rPr>
              <w:t>危险化学品方面，持续推动化工园区提级改造，验收达到D级，降低安全风险；聘请第三方专家团队对企业开展“体检式”精查专家指导服务，强化检维修、特殊作业环节的安全管控，对涉及高危细分领域、重点监管危险工艺、重大危险源企业进行专项安全风险评估，提升企业安全生产运行水平；着力推动解决油气长输管道项目手续办理问题；多角度深层次推动打非治违工作，加大部门协作，落实停产停业企业安全管控措施。</w:t>
            </w:r>
          </w:p>
        </w:tc>
        <w:tc>
          <w:tcPr>
            <w:tcW w:w="2090" w:type="dxa"/>
            <w:vAlign w:val="center"/>
          </w:tcPr>
          <w:p>
            <w:pPr>
              <w:pStyle w:val="6"/>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b w:val="0"/>
                <w:bCs w:val="0"/>
                <w:color w:val="000000"/>
                <w:kern w:val="2"/>
                <w:sz w:val="24"/>
                <w:szCs w:val="24"/>
                <w:u w:val="none"/>
                <w:vertAlign w:val="baseline"/>
                <w:lang w:val="en-US" w:eastAsia="zh-CN" w:bidi="ar-SA"/>
              </w:rPr>
            </w:pPr>
            <w:r>
              <w:rPr>
                <w:rFonts w:hint="eastAsia" w:ascii="仿宋_GB2312" w:hAnsi="仿宋_GB2312" w:eastAsia="仿宋_GB2312" w:cs="仿宋_GB2312"/>
                <w:b w:val="0"/>
                <w:bCs w:val="0"/>
                <w:color w:val="000000"/>
                <w:kern w:val="2"/>
                <w:sz w:val="24"/>
                <w:szCs w:val="24"/>
                <w:u w:val="none"/>
                <w:vertAlign w:val="baseline"/>
                <w:lang w:val="en-US" w:eastAsia="zh-CN" w:bidi="ar-SA"/>
              </w:rPr>
              <w:t>危险化学品安全专业委员会办公室牵头负责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jc w:val="center"/>
        </w:trPr>
        <w:tc>
          <w:tcPr>
            <w:tcW w:w="845" w:type="dxa"/>
            <w:vMerge w:val="continue"/>
            <w:vAlign w:val="center"/>
          </w:tcPr>
          <w:p>
            <w:pPr>
              <w:pStyle w:val="6"/>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000000"/>
                <w:kern w:val="2"/>
                <w:sz w:val="24"/>
                <w:szCs w:val="24"/>
                <w:u w:val="none"/>
                <w:vertAlign w:val="baseline"/>
                <w:lang w:val="en-US" w:eastAsia="zh-CN" w:bidi="ar-SA"/>
              </w:rPr>
            </w:pPr>
          </w:p>
        </w:tc>
        <w:tc>
          <w:tcPr>
            <w:tcW w:w="1048" w:type="dxa"/>
            <w:vMerge w:val="continue"/>
            <w:tcBorders>
              <w:left w:val="single" w:color="auto" w:sz="4" w:space="0"/>
              <w:right w:val="single" w:color="auto" w:sz="4" w:space="0"/>
            </w:tcBorders>
            <w:vAlign w:val="center"/>
          </w:tcPr>
          <w:p>
            <w:pPr>
              <w:pStyle w:val="6"/>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000000"/>
                <w:kern w:val="2"/>
                <w:sz w:val="24"/>
                <w:szCs w:val="24"/>
                <w:u w:val="none"/>
                <w:vertAlign w:val="baseline"/>
                <w:lang w:val="en-US" w:bidi="ar-SA"/>
              </w:rPr>
            </w:pPr>
          </w:p>
        </w:tc>
        <w:tc>
          <w:tcPr>
            <w:tcW w:w="2236" w:type="dxa"/>
            <w:vMerge w:val="continue"/>
            <w:tcBorders>
              <w:left w:val="single" w:color="auto" w:sz="4" w:space="0"/>
              <w:right w:val="single" w:color="auto" w:sz="4" w:space="0"/>
            </w:tcBorders>
            <w:vAlign w:val="center"/>
          </w:tcPr>
          <w:p>
            <w:pPr>
              <w:pStyle w:val="6"/>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仿宋_GB2312" w:hAnsi="仿宋_GB2312" w:eastAsia="仿宋_GB2312" w:cs="仿宋_GB2312"/>
                <w:b w:val="0"/>
                <w:bCs w:val="0"/>
                <w:color w:val="000000"/>
                <w:kern w:val="2"/>
                <w:sz w:val="24"/>
                <w:szCs w:val="24"/>
                <w:u w:val="none"/>
                <w:vertAlign w:val="baseline"/>
                <w:lang w:val="en-US" w:eastAsia="zh-CN" w:bidi="ar-SA"/>
              </w:rPr>
            </w:pPr>
          </w:p>
        </w:tc>
        <w:tc>
          <w:tcPr>
            <w:tcW w:w="7099" w:type="dxa"/>
            <w:tcBorders>
              <w:top w:val="single" w:color="auto" w:sz="4" w:space="0"/>
              <w:left w:val="single" w:color="auto" w:sz="4" w:space="0"/>
              <w:right w:val="single" w:color="auto" w:sz="4" w:space="0"/>
            </w:tcBorders>
            <w:vAlign w:val="center"/>
          </w:tcPr>
          <w:p>
            <w:pPr>
              <w:pStyle w:val="6"/>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b w:val="0"/>
                <w:bCs w:val="0"/>
                <w:color w:val="000000"/>
                <w:kern w:val="2"/>
                <w:sz w:val="24"/>
                <w:szCs w:val="24"/>
                <w:u w:val="none"/>
                <w:vertAlign w:val="baseline"/>
                <w:lang w:val="en-US" w:eastAsia="zh-CN" w:bidi="ar-SA"/>
              </w:rPr>
            </w:pPr>
            <w:r>
              <w:rPr>
                <w:rFonts w:hint="eastAsia" w:ascii="仿宋_GB2312" w:hAnsi="仿宋_GB2312" w:eastAsia="仿宋_GB2312" w:cs="仿宋_GB2312"/>
                <w:b w:val="0"/>
                <w:bCs w:val="0"/>
                <w:color w:val="000000"/>
                <w:kern w:val="2"/>
                <w:sz w:val="24"/>
                <w:szCs w:val="24"/>
                <w:u w:val="none"/>
                <w:vertAlign w:val="baseline"/>
                <w:lang w:val="en-US" w:eastAsia="zh-CN" w:bidi="ar-SA"/>
              </w:rPr>
              <w:t>建筑施工及燃气方面，着力解决建设工程转包、违法分包、盲目赶工期抢进度、不按方案施工、审批手续不全、违规动火作业、高处坠落等问题；着力解决燃气老旧管网带病运行、改造后的管网未接通运行、第三方盲目施工破坏以及气、瓶、阀、管、灶等方面问题。</w:t>
            </w:r>
          </w:p>
          <w:p>
            <w:pPr>
              <w:pStyle w:val="6"/>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b w:val="0"/>
                <w:bCs w:val="0"/>
                <w:color w:val="000000"/>
                <w:kern w:val="2"/>
                <w:sz w:val="24"/>
                <w:szCs w:val="24"/>
                <w:u w:val="none"/>
                <w:vertAlign w:val="baseline"/>
                <w:lang w:val="en-US" w:eastAsia="zh-CN" w:bidi="ar-SA"/>
              </w:rPr>
            </w:pPr>
          </w:p>
        </w:tc>
        <w:tc>
          <w:tcPr>
            <w:tcW w:w="2090" w:type="dxa"/>
            <w:vAlign w:val="center"/>
          </w:tcPr>
          <w:p>
            <w:pPr>
              <w:pStyle w:val="6"/>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b w:val="0"/>
                <w:bCs w:val="0"/>
                <w:color w:val="000000"/>
                <w:kern w:val="2"/>
                <w:sz w:val="24"/>
                <w:szCs w:val="24"/>
                <w:u w:val="none"/>
                <w:vertAlign w:val="baseline"/>
                <w:lang w:val="en-US" w:eastAsia="zh-CN" w:bidi="ar-SA"/>
              </w:rPr>
            </w:pPr>
            <w:r>
              <w:rPr>
                <w:rFonts w:hint="eastAsia" w:ascii="仿宋_GB2312" w:hAnsi="仿宋_GB2312" w:eastAsia="仿宋_GB2312" w:cs="仿宋_GB2312"/>
                <w:b w:val="0"/>
                <w:bCs w:val="0"/>
                <w:color w:val="000000"/>
                <w:kern w:val="2"/>
                <w:sz w:val="24"/>
                <w:szCs w:val="24"/>
                <w:u w:val="none"/>
                <w:vertAlign w:val="baseline"/>
                <w:lang w:val="en-US" w:eastAsia="zh-CN" w:bidi="ar-SA"/>
              </w:rPr>
              <w:t>建设与燃气安全专业委员会办公室牵头负责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b w:val="0"/>
                <w:bCs w:val="0"/>
                <w:sz w:val="24"/>
                <w:szCs w:val="24"/>
              </w:rPr>
            </w:pPr>
          </w:p>
        </w:tc>
        <w:tc>
          <w:tcPr>
            <w:tcW w:w="1048"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b w:val="0"/>
                <w:bCs w:val="0"/>
                <w:sz w:val="24"/>
                <w:szCs w:val="24"/>
              </w:rPr>
            </w:pPr>
          </w:p>
        </w:tc>
        <w:tc>
          <w:tcPr>
            <w:tcW w:w="2236" w:type="dxa"/>
            <w:vMerge w:val="continue"/>
            <w:tcBorders>
              <w:left w:val="single" w:color="auto" w:sz="4" w:space="0"/>
              <w:right w:val="single" w:color="auto" w:sz="4" w:space="0"/>
            </w:tcBorders>
            <w:vAlign w:val="center"/>
          </w:tcPr>
          <w:p>
            <w:pPr>
              <w:pStyle w:val="6"/>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b w:val="0"/>
                <w:bCs w:val="0"/>
                <w:color w:val="000000"/>
                <w:kern w:val="2"/>
                <w:sz w:val="24"/>
                <w:szCs w:val="24"/>
                <w:u w:val="none"/>
                <w:vertAlign w:val="baseline"/>
                <w:lang w:val="en-US" w:eastAsia="zh-CN" w:bidi="ar-SA"/>
              </w:rPr>
            </w:pPr>
          </w:p>
        </w:tc>
        <w:tc>
          <w:tcPr>
            <w:tcW w:w="7099" w:type="dxa"/>
            <w:tcBorders>
              <w:top w:val="single" w:color="auto" w:sz="4" w:space="0"/>
              <w:left w:val="single" w:color="auto" w:sz="4" w:space="0"/>
              <w:right w:val="single" w:color="auto" w:sz="4" w:space="0"/>
            </w:tcBorders>
            <w:vAlign w:val="center"/>
          </w:tcPr>
          <w:p>
            <w:pPr>
              <w:pStyle w:val="6"/>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b w:val="0"/>
                <w:bCs w:val="0"/>
                <w:color w:val="000000"/>
                <w:kern w:val="2"/>
                <w:sz w:val="24"/>
                <w:szCs w:val="24"/>
                <w:u w:val="none"/>
                <w:vertAlign w:val="baseline"/>
                <w:lang w:val="en-US" w:eastAsia="zh-CN" w:bidi="ar-SA"/>
              </w:rPr>
            </w:pPr>
            <w:r>
              <w:rPr>
                <w:rFonts w:hint="eastAsia" w:ascii="仿宋_GB2312" w:hAnsi="仿宋_GB2312" w:eastAsia="仿宋_GB2312" w:cs="仿宋_GB2312"/>
                <w:b w:val="0"/>
                <w:bCs w:val="0"/>
                <w:color w:val="000000"/>
                <w:kern w:val="2"/>
                <w:sz w:val="24"/>
                <w:szCs w:val="24"/>
                <w:u w:val="none"/>
                <w:vertAlign w:val="baseline"/>
                <w:lang w:val="en-US" w:eastAsia="zh-CN" w:bidi="ar-SA"/>
              </w:rPr>
              <w:t>道路交通方面，着力解决“两客一危一货一面”等重点车辆“三超一疲劳”、酒醉驾、客运车辆乘客不系安全带、大货车不按规定靠右行驶、农用车违法载人、旅游客车不按规定配备双驾驶人和不按规定路线行驶、重点营运车辆动态监控流于形式，以及隧道照明、临水临崖、长大桥隧、长陡下坡、校园门口基础防护设施不到位等问题。</w:t>
            </w:r>
          </w:p>
        </w:tc>
        <w:tc>
          <w:tcPr>
            <w:tcW w:w="2090" w:type="dxa"/>
            <w:vAlign w:val="center"/>
          </w:tcPr>
          <w:p>
            <w:pPr>
              <w:pStyle w:val="6"/>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b w:val="0"/>
                <w:bCs w:val="0"/>
                <w:color w:val="000000"/>
                <w:kern w:val="2"/>
                <w:sz w:val="24"/>
                <w:szCs w:val="24"/>
                <w:u w:val="none"/>
                <w:vertAlign w:val="baseline"/>
                <w:lang w:val="en-US" w:eastAsia="zh-CN" w:bidi="ar-SA"/>
              </w:rPr>
            </w:pPr>
            <w:r>
              <w:rPr>
                <w:rFonts w:hint="eastAsia" w:ascii="仿宋_GB2312" w:hAnsi="仿宋_GB2312" w:eastAsia="仿宋_GB2312" w:cs="仿宋_GB2312"/>
                <w:b w:val="0"/>
                <w:bCs w:val="0"/>
                <w:color w:val="000000"/>
                <w:kern w:val="2"/>
                <w:sz w:val="24"/>
                <w:szCs w:val="24"/>
                <w:u w:val="none"/>
                <w:vertAlign w:val="baseline"/>
                <w:lang w:val="en-US" w:eastAsia="zh-CN" w:bidi="ar-SA"/>
              </w:rPr>
              <w:t>交通安全专业委员会办公室牵头负责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b w:val="0"/>
                <w:bCs w:val="0"/>
                <w:sz w:val="24"/>
                <w:szCs w:val="24"/>
              </w:rPr>
            </w:pPr>
          </w:p>
        </w:tc>
        <w:tc>
          <w:tcPr>
            <w:tcW w:w="1048"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b w:val="0"/>
                <w:bCs w:val="0"/>
                <w:sz w:val="24"/>
                <w:szCs w:val="24"/>
              </w:rPr>
            </w:pPr>
          </w:p>
        </w:tc>
        <w:tc>
          <w:tcPr>
            <w:tcW w:w="2236" w:type="dxa"/>
            <w:vMerge w:val="continue"/>
            <w:tcBorders>
              <w:left w:val="single" w:color="auto" w:sz="4" w:space="0"/>
              <w:right w:val="single" w:color="auto" w:sz="4" w:space="0"/>
            </w:tcBorders>
            <w:vAlign w:val="center"/>
          </w:tcPr>
          <w:p>
            <w:pPr>
              <w:pStyle w:val="6"/>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b w:val="0"/>
                <w:bCs w:val="0"/>
                <w:color w:val="000000"/>
                <w:kern w:val="2"/>
                <w:sz w:val="24"/>
                <w:szCs w:val="24"/>
                <w:u w:val="none"/>
                <w:vertAlign w:val="baseline"/>
                <w:lang w:val="en-US" w:eastAsia="zh-CN" w:bidi="ar-SA"/>
              </w:rPr>
            </w:pPr>
          </w:p>
        </w:tc>
        <w:tc>
          <w:tcPr>
            <w:tcW w:w="7099" w:type="dxa"/>
            <w:tcBorders>
              <w:top w:val="single" w:color="auto" w:sz="4" w:space="0"/>
              <w:left w:val="single" w:color="auto" w:sz="4" w:space="0"/>
              <w:right w:val="single" w:color="auto" w:sz="4" w:space="0"/>
            </w:tcBorders>
            <w:vAlign w:val="center"/>
          </w:tcPr>
          <w:p>
            <w:pPr>
              <w:pStyle w:val="6"/>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b w:val="0"/>
                <w:bCs w:val="0"/>
                <w:color w:val="000000"/>
                <w:kern w:val="2"/>
                <w:sz w:val="24"/>
                <w:szCs w:val="24"/>
                <w:u w:val="none"/>
                <w:vertAlign w:val="baseline"/>
                <w:lang w:val="en-US" w:eastAsia="zh-CN" w:bidi="ar-SA"/>
              </w:rPr>
            </w:pPr>
            <w:r>
              <w:rPr>
                <w:rFonts w:hint="eastAsia" w:ascii="仿宋_GB2312" w:hAnsi="仿宋_GB2312" w:eastAsia="仿宋_GB2312" w:cs="仿宋_GB2312"/>
                <w:b w:val="0"/>
                <w:bCs w:val="0"/>
                <w:color w:val="000000"/>
                <w:kern w:val="2"/>
                <w:sz w:val="24"/>
                <w:szCs w:val="24"/>
                <w:u w:val="none"/>
                <w:vertAlign w:val="baseline"/>
                <w:lang w:val="en-US" w:eastAsia="zh-CN" w:bidi="ar-SA"/>
              </w:rPr>
              <w:t>农业农村方面，要进一步做好农业农村领域有限空间安全防范。紧盯养殖畜牧场所的菜（地）窖、化粪池、沼气池、果蔬库、冷库、储藏室、粮仓、料仓等有限空间和重点部位。严防窒息（缺氧）、中毒、燃爆、淹溺、高处坠落、触电、物体打击、机械伤害、灼烫、坍塌、掩埋和高温高湿等安全风险。督促责任单位和农户及时辨识存在的具体危险有害因素的类型并采取有效的安全防范措施。</w:t>
            </w:r>
          </w:p>
          <w:p>
            <w:pPr>
              <w:pStyle w:val="6"/>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b w:val="0"/>
                <w:bCs w:val="0"/>
                <w:color w:val="000000"/>
                <w:kern w:val="2"/>
                <w:sz w:val="24"/>
                <w:szCs w:val="24"/>
                <w:u w:val="none"/>
                <w:vertAlign w:val="baseline"/>
                <w:lang w:val="en-US" w:eastAsia="zh-CN" w:bidi="ar-SA"/>
              </w:rPr>
            </w:pPr>
          </w:p>
        </w:tc>
        <w:tc>
          <w:tcPr>
            <w:tcW w:w="2090" w:type="dxa"/>
            <w:vAlign w:val="center"/>
          </w:tcPr>
          <w:p>
            <w:pPr>
              <w:pStyle w:val="6"/>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b w:val="0"/>
                <w:bCs w:val="0"/>
                <w:color w:val="000000"/>
                <w:kern w:val="2"/>
                <w:sz w:val="24"/>
                <w:szCs w:val="24"/>
                <w:u w:val="none"/>
                <w:vertAlign w:val="baseline"/>
                <w:lang w:val="en-US" w:eastAsia="zh-CN" w:bidi="ar-SA"/>
              </w:rPr>
            </w:pPr>
            <w:r>
              <w:rPr>
                <w:rFonts w:hint="eastAsia" w:ascii="仿宋_GB2312" w:hAnsi="仿宋_GB2312" w:eastAsia="仿宋_GB2312" w:cs="仿宋_GB2312"/>
                <w:b w:val="0"/>
                <w:bCs w:val="0"/>
                <w:color w:val="000000"/>
                <w:kern w:val="2"/>
                <w:sz w:val="24"/>
                <w:szCs w:val="24"/>
                <w:u w:val="none"/>
                <w:vertAlign w:val="baseline"/>
                <w:lang w:val="en-US" w:eastAsia="zh-CN" w:bidi="ar-SA"/>
              </w:rPr>
              <w:t>农业安全专业委员会办公室牵头负责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845" w:type="dxa"/>
            <w:vAlign w:val="center"/>
          </w:tcPr>
          <w:p>
            <w:pPr>
              <w:pStyle w:val="6"/>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val="0"/>
                <w:color w:val="000000"/>
                <w:kern w:val="2"/>
                <w:sz w:val="24"/>
                <w:szCs w:val="24"/>
                <w:u w:val="none"/>
                <w:vertAlign w:val="baseline"/>
                <w:lang w:val="en-US" w:eastAsia="zh-CN" w:bidi="ar-SA"/>
              </w:rPr>
            </w:pPr>
            <w:r>
              <w:rPr>
                <w:rFonts w:hint="eastAsia" w:ascii="黑体" w:hAnsi="黑体" w:eastAsia="黑体" w:cs="黑体"/>
                <w:b w:val="0"/>
                <w:bCs w:val="0"/>
                <w:color w:val="000000"/>
                <w:kern w:val="2"/>
                <w:sz w:val="24"/>
                <w:szCs w:val="24"/>
                <w:u w:val="none"/>
                <w:vertAlign w:val="baseline"/>
                <w:lang w:val="en-US" w:eastAsia="zh-CN" w:bidi="ar-SA"/>
              </w:rPr>
              <w:t>序号</w:t>
            </w:r>
          </w:p>
        </w:tc>
        <w:tc>
          <w:tcPr>
            <w:tcW w:w="1048" w:type="dxa"/>
            <w:tcBorders>
              <w:left w:val="single" w:color="auto" w:sz="4" w:space="0"/>
              <w:right w:val="single" w:color="auto" w:sz="4" w:space="0"/>
            </w:tcBorders>
            <w:vAlign w:val="center"/>
          </w:tcPr>
          <w:p>
            <w:pPr>
              <w:pStyle w:val="6"/>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val="0"/>
                <w:color w:val="000000"/>
                <w:kern w:val="2"/>
                <w:sz w:val="24"/>
                <w:szCs w:val="24"/>
                <w:u w:val="none"/>
                <w:vertAlign w:val="baseline"/>
                <w:lang w:val="en-US" w:eastAsia="zh-CN" w:bidi="ar-SA"/>
              </w:rPr>
            </w:pPr>
            <w:r>
              <w:rPr>
                <w:rFonts w:hint="eastAsia" w:ascii="黑体" w:hAnsi="黑体" w:eastAsia="黑体" w:cs="黑体"/>
                <w:b w:val="0"/>
                <w:bCs w:val="0"/>
                <w:color w:val="000000"/>
                <w:kern w:val="2"/>
                <w:sz w:val="24"/>
                <w:szCs w:val="24"/>
                <w:u w:val="none"/>
                <w:vertAlign w:val="baseline"/>
                <w:lang w:val="en-US" w:eastAsia="zh-CN" w:bidi="ar-SA"/>
              </w:rPr>
              <w:t>任务</w:t>
            </w:r>
          </w:p>
        </w:tc>
        <w:tc>
          <w:tcPr>
            <w:tcW w:w="9335" w:type="dxa"/>
            <w:gridSpan w:val="2"/>
            <w:tcBorders>
              <w:top w:val="single" w:color="auto" w:sz="4" w:space="0"/>
              <w:left w:val="single" w:color="auto" w:sz="4" w:space="0"/>
              <w:right w:val="single" w:color="auto" w:sz="4" w:space="0"/>
            </w:tcBorders>
            <w:vAlign w:val="center"/>
          </w:tcPr>
          <w:p>
            <w:pPr>
              <w:pStyle w:val="6"/>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val="0"/>
                <w:color w:val="000000"/>
                <w:kern w:val="2"/>
                <w:sz w:val="24"/>
                <w:szCs w:val="24"/>
                <w:u w:val="none"/>
                <w:vertAlign w:val="baseline"/>
                <w:lang w:val="en-US" w:eastAsia="zh-CN" w:bidi="ar-SA"/>
              </w:rPr>
            </w:pPr>
            <w:r>
              <w:rPr>
                <w:rFonts w:hint="eastAsia" w:ascii="黑体" w:hAnsi="黑体" w:eastAsia="黑体" w:cs="黑体"/>
                <w:b w:val="0"/>
                <w:bCs w:val="0"/>
                <w:color w:val="000000"/>
                <w:kern w:val="2"/>
                <w:sz w:val="24"/>
                <w:szCs w:val="24"/>
                <w:u w:val="none"/>
                <w:vertAlign w:val="baseline"/>
                <w:lang w:val="en-US" w:eastAsia="zh-CN" w:bidi="ar-SA"/>
              </w:rPr>
              <w:t>主要内容</w:t>
            </w:r>
          </w:p>
        </w:tc>
        <w:tc>
          <w:tcPr>
            <w:tcW w:w="2090" w:type="dxa"/>
            <w:vAlign w:val="center"/>
          </w:tcPr>
          <w:p>
            <w:pPr>
              <w:pStyle w:val="6"/>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val="0"/>
                <w:color w:val="000000"/>
                <w:kern w:val="2"/>
                <w:sz w:val="24"/>
                <w:szCs w:val="24"/>
                <w:u w:val="none"/>
                <w:vertAlign w:val="baseline"/>
                <w:lang w:val="en-US" w:eastAsia="zh-CN" w:bidi="ar-SA"/>
              </w:rPr>
            </w:pPr>
            <w:r>
              <w:rPr>
                <w:rFonts w:hint="eastAsia" w:ascii="黑体" w:hAnsi="黑体" w:eastAsia="黑体" w:cs="黑体"/>
                <w:b w:val="0"/>
                <w:bCs w:val="0"/>
                <w:color w:val="000000"/>
                <w:kern w:val="2"/>
                <w:sz w:val="24"/>
                <w:szCs w:val="24"/>
                <w:u w:val="none"/>
                <w:vertAlign w:val="baseline"/>
                <w:lang w:val="en-US" w:eastAsia="zh-CN" w:bidi="ar-SA"/>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845" w:type="dxa"/>
            <w:vAlign w:val="center"/>
          </w:tcPr>
          <w:p>
            <w:pPr>
              <w:pStyle w:val="6"/>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000000"/>
                <w:kern w:val="2"/>
                <w:sz w:val="24"/>
                <w:szCs w:val="24"/>
                <w:u w:val="none"/>
                <w:vertAlign w:val="baseline"/>
                <w:lang w:val="en-US" w:eastAsia="zh-CN" w:bidi="ar-SA"/>
              </w:rPr>
            </w:pPr>
            <w:r>
              <w:rPr>
                <w:rFonts w:hint="eastAsia" w:ascii="仿宋_GB2312" w:hAnsi="仿宋_GB2312" w:eastAsia="仿宋_GB2312" w:cs="仿宋_GB2312"/>
                <w:b w:val="0"/>
                <w:bCs w:val="0"/>
                <w:color w:val="000000"/>
                <w:kern w:val="2"/>
                <w:sz w:val="24"/>
                <w:szCs w:val="24"/>
                <w:u w:val="none"/>
                <w:vertAlign w:val="baseline"/>
                <w:lang w:val="en-US" w:eastAsia="zh-CN" w:bidi="ar-SA"/>
              </w:rPr>
              <w:t>四</w:t>
            </w:r>
          </w:p>
          <w:p>
            <w:pPr>
              <w:pStyle w:val="6"/>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color w:val="000000"/>
                <w:kern w:val="2"/>
                <w:sz w:val="24"/>
                <w:szCs w:val="24"/>
                <w:u w:val="none"/>
                <w:vertAlign w:val="baseline"/>
                <w:lang w:val="en-US" w:eastAsia="zh-CN" w:bidi="ar-SA"/>
              </w:rPr>
            </w:pPr>
          </w:p>
        </w:tc>
        <w:tc>
          <w:tcPr>
            <w:tcW w:w="1048" w:type="dxa"/>
            <w:tcBorders>
              <w:left w:val="single" w:color="auto" w:sz="4" w:space="0"/>
              <w:right w:val="single" w:color="auto" w:sz="4" w:space="0"/>
            </w:tcBorders>
            <w:vAlign w:val="center"/>
          </w:tcPr>
          <w:p>
            <w:pPr>
              <w:pStyle w:val="6"/>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color w:val="000000"/>
                <w:kern w:val="2"/>
                <w:sz w:val="24"/>
                <w:szCs w:val="24"/>
                <w:u w:val="none"/>
                <w:vertAlign w:val="baseline"/>
                <w:lang w:val="en-US" w:eastAsia="zh-CN" w:bidi="ar-SA"/>
              </w:rPr>
            </w:pPr>
            <w:r>
              <w:rPr>
                <w:rFonts w:hint="eastAsia" w:ascii="仿宋_GB2312" w:hAnsi="仿宋_GB2312" w:eastAsia="仿宋_GB2312" w:cs="仿宋_GB2312"/>
                <w:b w:val="0"/>
                <w:bCs w:val="0"/>
                <w:color w:val="000000"/>
                <w:kern w:val="2"/>
                <w:sz w:val="24"/>
                <w:szCs w:val="24"/>
                <w:u w:val="none"/>
                <w:vertAlign w:val="baseline"/>
                <w:lang w:val="en-US" w:eastAsia="zh-CN" w:bidi="ar-SA"/>
              </w:rPr>
              <w:t>聚焦重点领域，深化隐患治理</w:t>
            </w:r>
          </w:p>
        </w:tc>
        <w:tc>
          <w:tcPr>
            <w:tcW w:w="9335" w:type="dxa"/>
            <w:gridSpan w:val="2"/>
            <w:tcBorders>
              <w:top w:val="single" w:color="auto" w:sz="4" w:space="0"/>
              <w:left w:val="single" w:color="auto" w:sz="4" w:space="0"/>
              <w:right w:val="single" w:color="auto" w:sz="4" w:space="0"/>
            </w:tcBorders>
            <w:vAlign w:val="center"/>
          </w:tcPr>
          <w:p>
            <w:pPr>
              <w:pStyle w:val="6"/>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b w:val="0"/>
                <w:bCs w:val="0"/>
                <w:color w:val="000000"/>
                <w:kern w:val="2"/>
                <w:sz w:val="24"/>
                <w:szCs w:val="24"/>
                <w:u w:val="none"/>
                <w:vertAlign w:val="baseline"/>
                <w:lang w:val="en-US" w:eastAsia="zh-CN" w:bidi="ar-SA"/>
              </w:rPr>
            </w:pPr>
            <w:r>
              <w:rPr>
                <w:rFonts w:hint="eastAsia" w:ascii="仿宋_GB2312" w:hAnsi="仿宋_GB2312" w:eastAsia="仿宋_GB2312" w:cs="仿宋_GB2312"/>
                <w:b w:val="0"/>
                <w:bCs w:val="0"/>
                <w:color w:val="000000"/>
                <w:kern w:val="2"/>
                <w:sz w:val="24"/>
                <w:szCs w:val="24"/>
                <w:u w:val="none"/>
                <w:vertAlign w:val="baseline"/>
                <w:lang w:val="en-US" w:eastAsia="zh-CN" w:bidi="ar-SA"/>
              </w:rPr>
              <w:t>12.杜绝重大隐患，强化源头风险防控。以安全生产治本攻坚三年行动为主线，持续推动矿山“1+4+4”行动方案的落地落实，推进燃气、人员密集场所动火作业、电动自行车、新能源充电基础设施、保温材料等“一件事”全链条安全监管，深入开展岁末年初安全生产和自然灾害风险隐患排查整治专项行动。着力解决建设工程消防审验历史遗留、使用易燃可燃保温材料等问题；着力解决高层建筑、人员密集场所、“九小场所”、文物古建、医疗机构等消防设施不完善，火源管控不到位，以及消防控制室操作人员未严格落实持证上岗制度等问题。加快推进停放充电设施建设，着力解决电动自行车进楼入户、飞线充电等违规停放充电行为，打击非法改装力度不大、充电费用未落实居民电价政策等问题。持续学好用好重大隐患判定标准及“一行业一清单”，落实重大隐患自查自改常态化机制，对企业自查发现并采取措施积极整改、主动上报的重大隐患，免予处罚，对风险隐患自查排查不力、隐患长期存在、整改不到位的企业加大处罚力度，推进重大隐患动态清零。健全落实事故隐患举报奖励制度，对群众举报经核查属实的、部门执法检查发现的重大隐患采取立案查处、公开曝光、追责问责，对主要负责人和企业“一案双罚”等措施。对严重违法行为依法采取限期整改、停产整顿、关闭取缔、上限处罚、联合惩戒，落实行刑衔接机制。</w:t>
            </w:r>
          </w:p>
        </w:tc>
        <w:tc>
          <w:tcPr>
            <w:tcW w:w="2090" w:type="dxa"/>
            <w:vAlign w:val="center"/>
          </w:tcPr>
          <w:p>
            <w:pPr>
              <w:pStyle w:val="6"/>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000000"/>
                <w:kern w:val="2"/>
                <w:sz w:val="24"/>
                <w:szCs w:val="24"/>
                <w:u w:val="none"/>
                <w:vertAlign w:val="baseline"/>
                <w:lang w:val="en-US" w:eastAsia="zh-CN" w:bidi="ar-SA"/>
              </w:rPr>
            </w:pPr>
            <w:r>
              <w:rPr>
                <w:rFonts w:hint="eastAsia" w:ascii="仿宋_GB2312" w:hAnsi="仿宋_GB2312" w:eastAsia="仿宋_GB2312" w:cs="仿宋_GB2312"/>
                <w:b w:val="0"/>
                <w:bCs w:val="0"/>
                <w:color w:val="000000"/>
                <w:kern w:val="2"/>
                <w:sz w:val="24"/>
                <w:szCs w:val="24"/>
                <w:u w:val="none"/>
                <w:vertAlign w:val="baseline"/>
                <w:lang w:val="en-US" w:eastAsia="zh-CN" w:bidi="ar-SA"/>
              </w:rPr>
              <w:t>县安委会有关</w:t>
            </w:r>
          </w:p>
          <w:p>
            <w:pPr>
              <w:pStyle w:val="6"/>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000000"/>
                <w:kern w:val="2"/>
                <w:sz w:val="24"/>
                <w:szCs w:val="24"/>
                <w:u w:val="none"/>
                <w:vertAlign w:val="baseline"/>
                <w:lang w:val="en-US" w:eastAsia="zh-CN" w:bidi="ar-SA"/>
              </w:rPr>
            </w:pPr>
            <w:r>
              <w:rPr>
                <w:rFonts w:hint="eastAsia" w:ascii="仿宋_GB2312" w:hAnsi="仿宋_GB2312" w:eastAsia="仿宋_GB2312" w:cs="仿宋_GB2312"/>
                <w:b w:val="0"/>
                <w:bCs w:val="0"/>
                <w:color w:val="000000"/>
                <w:kern w:val="2"/>
                <w:sz w:val="24"/>
                <w:szCs w:val="24"/>
                <w:u w:val="none"/>
                <w:vertAlign w:val="baseline"/>
                <w:lang w:val="en-US" w:eastAsia="zh-CN" w:bidi="ar-SA"/>
              </w:rPr>
              <w:t>成员单位负责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845" w:type="dxa"/>
            <w:vAlign w:val="center"/>
          </w:tcPr>
          <w:p>
            <w:pPr>
              <w:pStyle w:val="6"/>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000000"/>
                <w:kern w:val="2"/>
                <w:sz w:val="24"/>
                <w:szCs w:val="24"/>
                <w:u w:val="none"/>
                <w:vertAlign w:val="baseline"/>
                <w:lang w:val="en-US" w:eastAsia="zh-CN" w:bidi="ar-SA"/>
              </w:rPr>
            </w:pPr>
            <w:r>
              <w:rPr>
                <w:rFonts w:hint="eastAsia" w:ascii="仿宋_GB2312" w:hAnsi="仿宋_GB2312" w:eastAsia="仿宋_GB2312" w:cs="仿宋_GB2312"/>
                <w:b w:val="0"/>
                <w:bCs w:val="0"/>
                <w:color w:val="000000"/>
                <w:kern w:val="2"/>
                <w:sz w:val="24"/>
                <w:szCs w:val="24"/>
                <w:u w:val="none"/>
                <w:vertAlign w:val="baseline"/>
                <w:lang w:val="en-US" w:eastAsia="zh-CN" w:bidi="ar-SA"/>
              </w:rPr>
              <w:t>五</w:t>
            </w:r>
          </w:p>
          <w:p>
            <w:pPr>
              <w:pStyle w:val="6"/>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val="0"/>
                <w:color w:val="000000"/>
                <w:kern w:val="2"/>
                <w:sz w:val="24"/>
                <w:szCs w:val="24"/>
                <w:u w:val="none"/>
                <w:vertAlign w:val="baseline"/>
                <w:lang w:val="en-US" w:eastAsia="zh-CN" w:bidi="ar-SA"/>
              </w:rPr>
            </w:pPr>
          </w:p>
        </w:tc>
        <w:tc>
          <w:tcPr>
            <w:tcW w:w="1048" w:type="dxa"/>
            <w:tcBorders>
              <w:left w:val="single" w:color="auto" w:sz="4" w:space="0"/>
              <w:right w:val="single" w:color="auto" w:sz="4" w:space="0"/>
            </w:tcBorders>
            <w:vAlign w:val="center"/>
          </w:tcPr>
          <w:p>
            <w:pPr>
              <w:pStyle w:val="6"/>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000000"/>
                <w:kern w:val="2"/>
                <w:sz w:val="24"/>
                <w:szCs w:val="24"/>
                <w:u w:val="none"/>
                <w:vertAlign w:val="baseline"/>
                <w:lang w:val="en-US" w:eastAsia="zh-CN" w:bidi="ar-SA"/>
              </w:rPr>
            </w:pPr>
            <w:r>
              <w:rPr>
                <w:rFonts w:hint="eastAsia" w:ascii="仿宋_GB2312" w:hAnsi="仿宋_GB2312" w:eastAsia="仿宋_GB2312" w:cs="仿宋_GB2312"/>
                <w:b w:val="0"/>
                <w:bCs w:val="0"/>
                <w:color w:val="000000"/>
                <w:kern w:val="2"/>
                <w:sz w:val="24"/>
                <w:szCs w:val="24"/>
                <w:u w:val="none"/>
                <w:vertAlign w:val="baseline"/>
                <w:lang w:val="en-US" w:eastAsia="zh-CN" w:bidi="ar-SA"/>
              </w:rPr>
              <w:t>科技赋能安全，提升管理效能</w:t>
            </w:r>
          </w:p>
        </w:tc>
        <w:tc>
          <w:tcPr>
            <w:tcW w:w="9335" w:type="dxa"/>
            <w:gridSpan w:val="2"/>
            <w:tcBorders>
              <w:top w:val="single" w:color="auto" w:sz="4" w:space="0"/>
              <w:left w:val="single" w:color="auto" w:sz="4" w:space="0"/>
              <w:right w:val="single" w:color="auto" w:sz="4" w:space="0"/>
            </w:tcBorders>
            <w:vAlign w:val="center"/>
          </w:tcPr>
          <w:p>
            <w:pPr>
              <w:pStyle w:val="6"/>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b w:val="0"/>
                <w:bCs w:val="0"/>
                <w:color w:val="000000"/>
                <w:kern w:val="2"/>
                <w:sz w:val="24"/>
                <w:szCs w:val="24"/>
                <w:u w:val="none"/>
                <w:vertAlign w:val="baseline"/>
                <w:lang w:val="en-US" w:eastAsia="zh-CN" w:bidi="ar-SA"/>
              </w:rPr>
            </w:pPr>
            <w:r>
              <w:rPr>
                <w:rFonts w:hint="eastAsia" w:ascii="仿宋_GB2312" w:hAnsi="仿宋_GB2312" w:eastAsia="仿宋_GB2312" w:cs="仿宋_GB2312"/>
                <w:b w:val="0"/>
                <w:bCs w:val="0"/>
                <w:color w:val="000000"/>
                <w:kern w:val="2"/>
                <w:sz w:val="24"/>
                <w:szCs w:val="24"/>
                <w:u w:val="none"/>
                <w:vertAlign w:val="baseline"/>
                <w:lang w:val="en-US" w:eastAsia="zh-CN" w:bidi="ar-SA"/>
              </w:rPr>
              <w:t>13.推进信息化建设，实现智慧应急管理。推广“智慧应急”，以县应急部门应急指挥部为基础，汇聚融合公安、水利、林业、自然资源、气象、水文等部门基础信息数据，实现跨层级、跨部门的信息共享和业务协同；将视频指挥调度延伸至乡镇，实现应急指令直达基层；加快县应急指挥无线通信网建设，实现“三断”情况下的应急指挥调度。大力推进矿山智能化建设，推进赤峪煤矿实现智能化，井下人员高精度定位、AI视频智能监控、违法违规行为智能识别分析技术，实现重点作业流程智能监控、安全风险智能分级管控、隐患排查治理智能辅助。继续实施高清视频监控和AI智能事件监测工程，持续推进长隧道和中短隧道安装和应用。加大城市智慧消防、消防物联网监控系统预警中心建设应用和升级改造力度。年底前实现矿山、钢铁、铝加工（深井铸造）、重点粉尘涉爆等企业安全风险监测预警全覆盖，完成国有企业所属加油站视频智能分析系统安装应用，建成金属冶炼企业、化工和危险化学品重大危险源企业特殊作业审批与作业管理场景和人员定位等系统。</w:t>
            </w:r>
          </w:p>
        </w:tc>
        <w:tc>
          <w:tcPr>
            <w:tcW w:w="2090" w:type="dxa"/>
            <w:vAlign w:val="center"/>
          </w:tcPr>
          <w:p>
            <w:pPr>
              <w:pStyle w:val="6"/>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b w:val="0"/>
                <w:bCs w:val="0"/>
                <w:color w:val="000000"/>
                <w:kern w:val="2"/>
                <w:sz w:val="24"/>
                <w:szCs w:val="24"/>
                <w:u w:val="none"/>
                <w:vertAlign w:val="baseline"/>
                <w:lang w:val="en-US" w:eastAsia="zh-CN" w:bidi="ar-SA"/>
              </w:rPr>
            </w:pPr>
            <w:r>
              <w:rPr>
                <w:rFonts w:hint="eastAsia" w:ascii="仿宋_GB2312" w:hAnsi="仿宋_GB2312" w:eastAsia="仿宋_GB2312" w:cs="仿宋_GB2312"/>
                <w:b w:val="0"/>
                <w:bCs w:val="0"/>
                <w:color w:val="000000"/>
                <w:kern w:val="2"/>
                <w:sz w:val="24"/>
                <w:szCs w:val="24"/>
                <w:u w:val="none"/>
                <w:vertAlign w:val="baseline"/>
                <w:lang w:val="en-US" w:eastAsia="zh-CN" w:bidi="ar-SA"/>
              </w:rPr>
              <w:t>县应急局、县能源局、县交通运输局、县公安局、县水利局、县林业局、县自然资源局、县气象局、县消防救援大队、县财政局等部门分工负责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845" w:type="dxa"/>
            <w:vAlign w:val="center"/>
          </w:tcPr>
          <w:p>
            <w:pPr>
              <w:pStyle w:val="6"/>
              <w:keepNext w:val="0"/>
              <w:keepLines w:val="0"/>
              <w:pageBreakBefore w:val="0"/>
              <w:widowControl w:val="0"/>
              <w:kinsoku/>
              <w:wordWrap/>
              <w:overflowPunct/>
              <w:topLinePunct w:val="0"/>
              <w:autoSpaceDE/>
              <w:autoSpaceDN/>
              <w:bidi w:val="0"/>
              <w:adjustRightInd/>
              <w:snapToGrid/>
              <w:spacing w:line="300" w:lineRule="exact"/>
              <w:jc w:val="center"/>
              <w:textAlignment w:val="auto"/>
              <w:rPr>
                <w:b w:val="0"/>
                <w:bCs w:val="0"/>
                <w:sz w:val="24"/>
                <w:szCs w:val="24"/>
              </w:rPr>
            </w:pPr>
            <w:r>
              <w:rPr>
                <w:rFonts w:hint="eastAsia" w:ascii="黑体" w:hAnsi="黑体" w:eastAsia="黑体" w:cs="黑体"/>
                <w:b w:val="0"/>
                <w:bCs w:val="0"/>
                <w:color w:val="000000"/>
                <w:kern w:val="2"/>
                <w:sz w:val="24"/>
                <w:szCs w:val="24"/>
                <w:u w:val="none"/>
                <w:vertAlign w:val="baseline"/>
                <w:lang w:val="en-US" w:eastAsia="zh-CN" w:bidi="ar-SA"/>
              </w:rPr>
              <w:t>序号</w:t>
            </w:r>
          </w:p>
        </w:tc>
        <w:tc>
          <w:tcPr>
            <w:tcW w:w="1048" w:type="dxa"/>
            <w:tcBorders>
              <w:left w:val="single" w:color="auto" w:sz="4" w:space="0"/>
              <w:right w:val="single" w:color="auto" w:sz="4" w:space="0"/>
            </w:tcBorders>
            <w:vAlign w:val="center"/>
          </w:tcPr>
          <w:p>
            <w:pPr>
              <w:pStyle w:val="6"/>
              <w:keepNext w:val="0"/>
              <w:keepLines w:val="0"/>
              <w:pageBreakBefore w:val="0"/>
              <w:widowControl w:val="0"/>
              <w:kinsoku/>
              <w:wordWrap/>
              <w:overflowPunct/>
              <w:topLinePunct w:val="0"/>
              <w:autoSpaceDE/>
              <w:autoSpaceDN/>
              <w:bidi w:val="0"/>
              <w:adjustRightInd/>
              <w:snapToGrid/>
              <w:spacing w:line="300" w:lineRule="exact"/>
              <w:jc w:val="center"/>
              <w:textAlignment w:val="auto"/>
              <w:rPr>
                <w:b w:val="0"/>
                <w:bCs w:val="0"/>
                <w:sz w:val="24"/>
                <w:szCs w:val="24"/>
              </w:rPr>
            </w:pPr>
            <w:r>
              <w:rPr>
                <w:rFonts w:hint="eastAsia" w:ascii="黑体" w:hAnsi="黑体" w:eastAsia="黑体" w:cs="黑体"/>
                <w:b w:val="0"/>
                <w:bCs w:val="0"/>
                <w:color w:val="000000"/>
                <w:kern w:val="2"/>
                <w:sz w:val="24"/>
                <w:szCs w:val="24"/>
                <w:u w:val="none"/>
                <w:vertAlign w:val="baseline"/>
                <w:lang w:val="en-US" w:eastAsia="zh-CN" w:bidi="ar-SA"/>
              </w:rPr>
              <w:t>任务</w:t>
            </w:r>
          </w:p>
        </w:tc>
        <w:tc>
          <w:tcPr>
            <w:tcW w:w="9335" w:type="dxa"/>
            <w:gridSpan w:val="2"/>
            <w:tcBorders>
              <w:top w:val="single" w:color="auto" w:sz="4" w:space="0"/>
              <w:left w:val="single" w:color="auto" w:sz="4" w:space="0"/>
              <w:right w:val="single" w:color="auto" w:sz="4" w:space="0"/>
            </w:tcBorders>
            <w:vAlign w:val="center"/>
          </w:tcPr>
          <w:p>
            <w:pPr>
              <w:pStyle w:val="6"/>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000000"/>
                <w:kern w:val="2"/>
                <w:sz w:val="24"/>
                <w:szCs w:val="24"/>
                <w:u w:val="none"/>
                <w:vertAlign w:val="baseline"/>
                <w:lang w:val="en-US" w:eastAsia="zh-CN" w:bidi="ar-SA"/>
              </w:rPr>
            </w:pPr>
            <w:r>
              <w:rPr>
                <w:rFonts w:hint="eastAsia" w:ascii="黑体" w:hAnsi="黑体" w:eastAsia="黑体" w:cs="黑体"/>
                <w:b w:val="0"/>
                <w:bCs w:val="0"/>
                <w:color w:val="000000"/>
                <w:kern w:val="2"/>
                <w:sz w:val="24"/>
                <w:szCs w:val="24"/>
                <w:u w:val="none"/>
                <w:vertAlign w:val="baseline"/>
                <w:lang w:val="en-US" w:eastAsia="zh-CN" w:bidi="ar-SA"/>
              </w:rPr>
              <w:t>主要内容</w:t>
            </w:r>
          </w:p>
        </w:tc>
        <w:tc>
          <w:tcPr>
            <w:tcW w:w="2090" w:type="dxa"/>
            <w:vAlign w:val="center"/>
          </w:tcPr>
          <w:p>
            <w:pPr>
              <w:pStyle w:val="6"/>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000000"/>
                <w:kern w:val="2"/>
                <w:sz w:val="24"/>
                <w:szCs w:val="24"/>
                <w:u w:val="none"/>
                <w:vertAlign w:val="baseline"/>
                <w:lang w:val="en-US" w:eastAsia="zh-CN" w:bidi="ar-SA"/>
              </w:rPr>
            </w:pPr>
            <w:r>
              <w:rPr>
                <w:rFonts w:hint="eastAsia" w:ascii="黑体" w:hAnsi="黑体" w:eastAsia="黑体" w:cs="黑体"/>
                <w:b w:val="0"/>
                <w:bCs w:val="0"/>
                <w:color w:val="000000"/>
                <w:kern w:val="2"/>
                <w:sz w:val="24"/>
                <w:szCs w:val="24"/>
                <w:u w:val="none"/>
                <w:vertAlign w:val="baseline"/>
                <w:lang w:val="en-US" w:eastAsia="zh-CN" w:bidi="ar-SA"/>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8" w:hRule="atLeast"/>
          <w:jc w:val="center"/>
        </w:trPr>
        <w:tc>
          <w:tcPr>
            <w:tcW w:w="845" w:type="dxa"/>
            <w:vAlign w:val="center"/>
          </w:tcPr>
          <w:p>
            <w:pPr>
              <w:pStyle w:val="6"/>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000000"/>
                <w:kern w:val="2"/>
                <w:sz w:val="24"/>
                <w:szCs w:val="24"/>
                <w:u w:val="none"/>
                <w:vertAlign w:val="baseline"/>
                <w:lang w:val="en-US" w:eastAsia="zh-CN" w:bidi="ar-SA"/>
              </w:rPr>
            </w:pPr>
            <w:r>
              <w:rPr>
                <w:rFonts w:hint="eastAsia" w:ascii="仿宋_GB2312" w:hAnsi="仿宋_GB2312" w:eastAsia="仿宋_GB2312" w:cs="仿宋_GB2312"/>
                <w:b w:val="0"/>
                <w:bCs w:val="0"/>
                <w:color w:val="000000"/>
                <w:kern w:val="2"/>
                <w:sz w:val="24"/>
                <w:szCs w:val="24"/>
                <w:u w:val="none"/>
                <w:vertAlign w:val="baseline"/>
                <w:lang w:val="en-US" w:eastAsia="zh-CN" w:bidi="ar-SA"/>
              </w:rPr>
              <w:t>五</w:t>
            </w:r>
          </w:p>
          <w:p>
            <w:pPr>
              <w:pStyle w:val="6"/>
              <w:keepNext w:val="0"/>
              <w:keepLines w:val="0"/>
              <w:pageBreakBefore w:val="0"/>
              <w:widowControl w:val="0"/>
              <w:kinsoku/>
              <w:wordWrap/>
              <w:overflowPunct/>
              <w:topLinePunct w:val="0"/>
              <w:autoSpaceDE/>
              <w:autoSpaceDN/>
              <w:bidi w:val="0"/>
              <w:adjustRightInd/>
              <w:snapToGrid/>
              <w:spacing w:line="300" w:lineRule="exact"/>
              <w:jc w:val="center"/>
              <w:textAlignment w:val="auto"/>
              <w:rPr>
                <w:b w:val="0"/>
                <w:bCs w:val="0"/>
                <w:sz w:val="24"/>
                <w:szCs w:val="24"/>
              </w:rPr>
            </w:pPr>
          </w:p>
        </w:tc>
        <w:tc>
          <w:tcPr>
            <w:tcW w:w="1048" w:type="dxa"/>
            <w:tcBorders>
              <w:left w:val="single" w:color="auto" w:sz="4" w:space="0"/>
              <w:right w:val="single" w:color="auto" w:sz="4" w:space="0"/>
            </w:tcBorders>
            <w:vAlign w:val="center"/>
          </w:tcPr>
          <w:p>
            <w:pPr>
              <w:pStyle w:val="6"/>
              <w:keepNext w:val="0"/>
              <w:keepLines w:val="0"/>
              <w:pageBreakBefore w:val="0"/>
              <w:widowControl w:val="0"/>
              <w:kinsoku/>
              <w:wordWrap/>
              <w:overflowPunct/>
              <w:topLinePunct w:val="0"/>
              <w:autoSpaceDE/>
              <w:autoSpaceDN/>
              <w:bidi w:val="0"/>
              <w:adjustRightInd/>
              <w:snapToGrid/>
              <w:spacing w:line="300" w:lineRule="exact"/>
              <w:jc w:val="center"/>
              <w:textAlignment w:val="auto"/>
              <w:rPr>
                <w:b w:val="0"/>
                <w:bCs w:val="0"/>
                <w:sz w:val="24"/>
                <w:szCs w:val="24"/>
              </w:rPr>
            </w:pPr>
            <w:r>
              <w:rPr>
                <w:rFonts w:hint="eastAsia" w:ascii="仿宋_GB2312" w:hAnsi="仿宋_GB2312" w:eastAsia="仿宋_GB2312" w:cs="仿宋_GB2312"/>
                <w:b w:val="0"/>
                <w:bCs w:val="0"/>
                <w:color w:val="000000"/>
                <w:kern w:val="2"/>
                <w:sz w:val="24"/>
                <w:szCs w:val="24"/>
                <w:u w:val="none"/>
                <w:vertAlign w:val="baseline"/>
                <w:lang w:val="en-US" w:eastAsia="zh-CN" w:bidi="ar-SA"/>
              </w:rPr>
              <w:t>科技赋能安全，提升管理效能</w:t>
            </w:r>
          </w:p>
        </w:tc>
        <w:tc>
          <w:tcPr>
            <w:tcW w:w="9335" w:type="dxa"/>
            <w:gridSpan w:val="2"/>
            <w:tcBorders>
              <w:top w:val="single" w:color="auto" w:sz="4" w:space="0"/>
              <w:left w:val="single" w:color="auto" w:sz="4" w:space="0"/>
              <w:right w:val="single" w:color="auto" w:sz="4" w:space="0"/>
            </w:tcBorders>
            <w:vAlign w:val="center"/>
          </w:tcPr>
          <w:p>
            <w:pPr>
              <w:pStyle w:val="6"/>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b w:val="0"/>
                <w:bCs w:val="0"/>
                <w:color w:val="000000"/>
                <w:kern w:val="2"/>
                <w:sz w:val="24"/>
                <w:szCs w:val="24"/>
                <w:u w:val="none"/>
                <w:vertAlign w:val="baseline"/>
                <w:lang w:val="en-US" w:eastAsia="zh-CN" w:bidi="ar-SA"/>
              </w:rPr>
            </w:pPr>
            <w:r>
              <w:rPr>
                <w:rFonts w:hint="eastAsia" w:ascii="仿宋_GB2312" w:hAnsi="仿宋_GB2312" w:eastAsia="仿宋_GB2312" w:cs="仿宋_GB2312"/>
                <w:b w:val="0"/>
                <w:bCs w:val="0"/>
                <w:color w:val="000000"/>
                <w:kern w:val="2"/>
                <w:sz w:val="24"/>
                <w:szCs w:val="24"/>
                <w:u w:val="none"/>
                <w:vertAlign w:val="baseline"/>
                <w:lang w:val="en-US" w:eastAsia="zh-CN" w:bidi="ar-SA"/>
              </w:rPr>
              <w:t>14.开展安全工程治理，提升本质安全能力。依托国家“两重”“两新”政策，加快矿山升级改造，持续推进国有老矿大矿“一优三减”，推广沿空留巷、无煤柱开采、放顶煤改一次采全高等工艺。深入推进煤矿区域性隐蔽致灾因素普查，扎实开展重大水害、瓦斯等工程治理。推进老旧化工生产装置改造提升和油库储罐改造升级。加快推进老旧场所消防设施升级改造、公路安全生命防护工程建设、水库除险加固、电梯安全筑底、铁路平交道口改造、应急逃生出口和消防车通道打通等安全治理工程。开展地震灾害危险源和风险源探查，推进建设巨灾防范工程，参与实施“山西地震烈度速报与预警工程建设”，推进地球物理监测站点“一县一台”和县级信息平台建设，推进台站标准化建设工作，配合完成吕梁交城断裂（文水—汾阳段）活断层探测项目验收。</w:t>
            </w:r>
          </w:p>
        </w:tc>
        <w:tc>
          <w:tcPr>
            <w:tcW w:w="2090" w:type="dxa"/>
            <w:vAlign w:val="center"/>
          </w:tcPr>
          <w:p>
            <w:pPr>
              <w:pStyle w:val="6"/>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b w:val="0"/>
                <w:bCs w:val="0"/>
                <w:color w:val="000000"/>
                <w:kern w:val="2"/>
                <w:sz w:val="24"/>
                <w:szCs w:val="24"/>
                <w:u w:val="none"/>
                <w:vertAlign w:val="baseline"/>
                <w:lang w:val="en-US" w:eastAsia="zh-CN" w:bidi="ar-SA"/>
              </w:rPr>
            </w:pPr>
            <w:r>
              <w:rPr>
                <w:rFonts w:hint="eastAsia" w:ascii="仿宋_GB2312" w:hAnsi="仿宋_GB2312" w:eastAsia="仿宋_GB2312" w:cs="仿宋_GB2312"/>
                <w:b w:val="0"/>
                <w:bCs w:val="0"/>
                <w:color w:val="000000"/>
                <w:kern w:val="2"/>
                <w:sz w:val="24"/>
                <w:szCs w:val="24"/>
                <w:u w:val="none"/>
                <w:vertAlign w:val="baseline"/>
                <w:lang w:val="en-US" w:eastAsia="zh-CN" w:bidi="ar-SA"/>
              </w:rPr>
              <w:t>县住建局、县交通运输局、县水利局、县应急局、县市场监管局、县能源局、县消防救援大队、县防震减灾中心、公路段、县财政局等部门分工负责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6" w:hRule="atLeast"/>
          <w:jc w:val="center"/>
        </w:trPr>
        <w:tc>
          <w:tcPr>
            <w:tcW w:w="845" w:type="dxa"/>
            <w:vMerge w:val="restart"/>
            <w:vAlign w:val="center"/>
          </w:tcPr>
          <w:p>
            <w:pPr>
              <w:pStyle w:val="6"/>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color w:val="000000"/>
                <w:kern w:val="2"/>
                <w:sz w:val="24"/>
                <w:szCs w:val="24"/>
                <w:u w:val="none"/>
                <w:vertAlign w:val="baseline"/>
                <w:lang w:val="en-US" w:eastAsia="zh-CN" w:bidi="ar-SA"/>
              </w:rPr>
            </w:pPr>
            <w:r>
              <w:rPr>
                <w:rFonts w:hint="eastAsia" w:ascii="仿宋_GB2312" w:hAnsi="仿宋_GB2312" w:eastAsia="仿宋_GB2312" w:cs="仿宋_GB2312"/>
                <w:b w:val="0"/>
                <w:bCs w:val="0"/>
                <w:color w:val="000000"/>
                <w:kern w:val="2"/>
                <w:sz w:val="24"/>
                <w:szCs w:val="24"/>
                <w:u w:val="none"/>
                <w:vertAlign w:val="baseline"/>
                <w:lang w:val="en-US" w:eastAsia="zh-CN" w:bidi="ar-SA"/>
              </w:rPr>
              <w:t>六</w:t>
            </w:r>
          </w:p>
        </w:tc>
        <w:tc>
          <w:tcPr>
            <w:tcW w:w="1048" w:type="dxa"/>
            <w:vMerge w:val="restart"/>
            <w:tcBorders>
              <w:top w:val="single" w:color="auto" w:sz="4" w:space="0"/>
              <w:left w:val="single" w:color="auto" w:sz="4" w:space="0"/>
              <w:right w:val="single" w:color="auto" w:sz="4" w:space="0"/>
            </w:tcBorders>
            <w:vAlign w:val="center"/>
          </w:tcPr>
          <w:p>
            <w:pPr>
              <w:pStyle w:val="6"/>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color w:val="000000"/>
                <w:kern w:val="2"/>
                <w:sz w:val="24"/>
                <w:szCs w:val="24"/>
                <w:u w:val="none"/>
                <w:vertAlign w:val="baseline"/>
                <w:lang w:val="en-US" w:bidi="ar-SA"/>
              </w:rPr>
            </w:pPr>
            <w:r>
              <w:rPr>
                <w:rFonts w:hint="eastAsia" w:ascii="仿宋_GB2312" w:hAnsi="仿宋_GB2312" w:eastAsia="仿宋_GB2312" w:cs="仿宋_GB2312"/>
                <w:b w:val="0"/>
                <w:bCs w:val="0"/>
                <w:color w:val="000000"/>
                <w:kern w:val="2"/>
                <w:sz w:val="24"/>
                <w:szCs w:val="24"/>
                <w:u w:val="none"/>
                <w:vertAlign w:val="baseline"/>
                <w:lang w:val="en-US" w:eastAsia="zh-CN" w:bidi="ar-SA"/>
              </w:rPr>
              <w:t>加强应急准备，完善救援体系</w:t>
            </w:r>
          </w:p>
        </w:tc>
        <w:tc>
          <w:tcPr>
            <w:tcW w:w="9335" w:type="dxa"/>
            <w:gridSpan w:val="2"/>
            <w:tcBorders>
              <w:top w:val="single" w:color="auto" w:sz="4" w:space="0"/>
              <w:left w:val="single" w:color="auto" w:sz="4" w:space="0"/>
              <w:right w:val="single" w:color="auto" w:sz="4" w:space="0"/>
            </w:tcBorders>
            <w:vAlign w:val="center"/>
          </w:tcPr>
          <w:p>
            <w:pPr>
              <w:pStyle w:val="6"/>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b w:val="0"/>
                <w:bCs w:val="0"/>
                <w:color w:val="000000"/>
                <w:kern w:val="2"/>
                <w:sz w:val="24"/>
                <w:szCs w:val="24"/>
                <w:u w:val="none"/>
                <w:vertAlign w:val="baseline"/>
                <w:lang w:val="en-US" w:eastAsia="zh-CN" w:bidi="ar-SA"/>
              </w:rPr>
            </w:pPr>
            <w:r>
              <w:rPr>
                <w:rFonts w:hint="eastAsia" w:ascii="仿宋_GB2312" w:hAnsi="仿宋_GB2312" w:eastAsia="仿宋_GB2312" w:cs="仿宋_GB2312"/>
                <w:b w:val="0"/>
                <w:bCs w:val="0"/>
                <w:color w:val="000000"/>
                <w:kern w:val="2"/>
                <w:sz w:val="24"/>
                <w:szCs w:val="24"/>
                <w:u w:val="none"/>
                <w:vertAlign w:val="baseline"/>
                <w:lang w:val="en-US" w:eastAsia="zh-CN" w:bidi="ar-SA"/>
              </w:rPr>
              <w:t>15.修订应急预案，优化应急响应流程。以灾害事故处置实战为导向，优化分级响应流程，各乡镇各部门按照《突发事件应急预案管理办法》适时修编安全生产、自然灾害、公共卫生、社会安全、应急保障类专项预案。制定应急响应手册，明确各个响应级别的职责任务、流程措施、资源保障等具体内容，进一步推动应急指挥调度指挥、应对处置等工作的科学化、规范化、程序化。督促县有关部门结合当地灾害事故风险特点，指导乡镇和各类功能区编制并动态修订上下衔接的综合应急预案、专项应急预案和简明实用的村“一制三案”（突发事件应急包保责任制和防火、防汛、防地震地质灾害应急预案），制定重点岗位应急处置卡，实现应急培训手册化、应急处置图表化、应急指挥卡片化。加强对生产经营单位生产安全事故应急预案备案、培训、演练、修订、评估的监督检查。</w:t>
            </w:r>
          </w:p>
        </w:tc>
        <w:tc>
          <w:tcPr>
            <w:tcW w:w="2090" w:type="dxa"/>
            <w:vAlign w:val="center"/>
          </w:tcPr>
          <w:p>
            <w:pPr>
              <w:pStyle w:val="6"/>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000000"/>
                <w:kern w:val="2"/>
                <w:sz w:val="24"/>
                <w:szCs w:val="24"/>
                <w:u w:val="none"/>
                <w:vertAlign w:val="baseline"/>
                <w:lang w:val="en-US" w:eastAsia="zh-CN" w:bidi="ar-SA"/>
              </w:rPr>
            </w:pPr>
            <w:r>
              <w:rPr>
                <w:rFonts w:hint="eastAsia" w:ascii="仿宋_GB2312" w:hAnsi="仿宋_GB2312" w:eastAsia="仿宋_GB2312" w:cs="仿宋_GB2312"/>
                <w:b w:val="0"/>
                <w:bCs w:val="0"/>
                <w:color w:val="000000"/>
                <w:kern w:val="2"/>
                <w:sz w:val="24"/>
                <w:szCs w:val="24"/>
                <w:u w:val="none"/>
                <w:vertAlign w:val="baseline"/>
                <w:lang w:val="en-US" w:eastAsia="zh-CN" w:bidi="ar-SA"/>
              </w:rPr>
              <w:t>县安委会有关</w:t>
            </w:r>
          </w:p>
          <w:p>
            <w:pPr>
              <w:pStyle w:val="6"/>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000000"/>
                <w:kern w:val="2"/>
                <w:sz w:val="24"/>
                <w:szCs w:val="24"/>
                <w:u w:val="none"/>
                <w:vertAlign w:val="baseline"/>
                <w:lang w:val="en-US" w:eastAsia="zh-CN" w:bidi="ar-SA"/>
              </w:rPr>
            </w:pPr>
            <w:r>
              <w:rPr>
                <w:rFonts w:hint="eastAsia" w:ascii="仿宋_GB2312" w:hAnsi="仿宋_GB2312" w:eastAsia="仿宋_GB2312" w:cs="仿宋_GB2312"/>
                <w:b w:val="0"/>
                <w:bCs w:val="0"/>
                <w:color w:val="000000"/>
                <w:kern w:val="2"/>
                <w:sz w:val="24"/>
                <w:szCs w:val="24"/>
                <w:u w:val="none"/>
                <w:vertAlign w:val="baseline"/>
                <w:lang w:val="en-US" w:eastAsia="zh-CN" w:bidi="ar-SA"/>
              </w:rPr>
              <w:t>成员单位负责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jc w:val="center"/>
        </w:trPr>
        <w:tc>
          <w:tcPr>
            <w:tcW w:w="845"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b w:val="0"/>
                <w:bCs w:val="0"/>
                <w:sz w:val="24"/>
                <w:szCs w:val="24"/>
              </w:rPr>
            </w:pPr>
          </w:p>
        </w:tc>
        <w:tc>
          <w:tcPr>
            <w:tcW w:w="1048"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b w:val="0"/>
                <w:bCs w:val="0"/>
                <w:sz w:val="24"/>
                <w:szCs w:val="24"/>
              </w:rPr>
            </w:pPr>
          </w:p>
        </w:tc>
        <w:tc>
          <w:tcPr>
            <w:tcW w:w="9335" w:type="dxa"/>
            <w:gridSpan w:val="2"/>
            <w:tcBorders>
              <w:top w:val="single" w:color="auto" w:sz="4" w:space="0"/>
              <w:left w:val="single" w:color="auto" w:sz="4" w:space="0"/>
              <w:right w:val="single" w:color="auto" w:sz="4" w:space="0"/>
            </w:tcBorders>
            <w:vAlign w:val="center"/>
          </w:tcPr>
          <w:p>
            <w:pPr>
              <w:pStyle w:val="6"/>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b w:val="0"/>
                <w:bCs w:val="0"/>
                <w:color w:val="000000"/>
                <w:kern w:val="2"/>
                <w:sz w:val="24"/>
                <w:szCs w:val="24"/>
                <w:u w:val="none"/>
                <w:vertAlign w:val="baseline"/>
                <w:lang w:val="en-US" w:eastAsia="zh-CN" w:bidi="ar-SA"/>
              </w:rPr>
            </w:pPr>
            <w:r>
              <w:rPr>
                <w:rFonts w:hint="eastAsia" w:ascii="仿宋_GB2312" w:hAnsi="仿宋_GB2312" w:eastAsia="仿宋_GB2312" w:cs="仿宋_GB2312"/>
                <w:b w:val="0"/>
                <w:bCs w:val="0"/>
                <w:color w:val="000000"/>
                <w:kern w:val="2"/>
                <w:sz w:val="24"/>
                <w:szCs w:val="24"/>
                <w:u w:val="none"/>
                <w:vertAlign w:val="baseline"/>
                <w:lang w:val="en-US" w:eastAsia="zh-CN" w:bidi="ar-SA"/>
              </w:rPr>
              <w:t>16.加强应急队伍建设。完善基层应急救援力量体系，强化专职救援队伍规范化管理和“一专多能”建设；统筹乡镇灾害信息员、网格员、民兵、医务人员、志愿者等应急力量，组建不少于30人的应急救援队伍；按照《社会应急力量分类分级测评实施办法（试行）》开展测评工作，不断完善“综合+专业+社会”应急救援力量体系。整合乡镇安全生产、防灾减灾救灾、应急管理、消防救援人员，按照有机构、有场所、有职责、有制度、有经费、有队伍、有装备“七有”标准，依托消防工作所完成应急消防管理站组建工作。采取理论培训、技能培训、案例教学、岗位练兵和比武竞赛等方式，不断提高专业技能；支持救援队伍队员考取应急救援员职业资格。</w:t>
            </w:r>
          </w:p>
        </w:tc>
        <w:tc>
          <w:tcPr>
            <w:tcW w:w="2090" w:type="dxa"/>
            <w:vAlign w:val="center"/>
          </w:tcPr>
          <w:p>
            <w:pPr>
              <w:pStyle w:val="6"/>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b w:val="0"/>
                <w:bCs w:val="0"/>
                <w:color w:val="000000"/>
                <w:kern w:val="2"/>
                <w:sz w:val="24"/>
                <w:szCs w:val="24"/>
                <w:u w:val="none"/>
                <w:vertAlign w:val="baseline"/>
                <w:lang w:val="en-US" w:eastAsia="zh-CN" w:bidi="ar-SA"/>
              </w:rPr>
            </w:pPr>
            <w:r>
              <w:rPr>
                <w:rFonts w:hint="eastAsia" w:ascii="仿宋_GB2312" w:hAnsi="仿宋_GB2312" w:eastAsia="仿宋_GB2312" w:cs="仿宋_GB2312"/>
                <w:b w:val="0"/>
                <w:bCs w:val="0"/>
                <w:color w:val="000000"/>
                <w:kern w:val="2"/>
                <w:sz w:val="24"/>
                <w:szCs w:val="24"/>
                <w:u w:val="none"/>
                <w:vertAlign w:val="baseline"/>
                <w:lang w:val="en-US" w:eastAsia="zh-CN" w:bidi="ar-SA"/>
              </w:rPr>
              <w:t>县应急局、县林业局、县自然资源局、县消防救援大队、县防震减灾中心、县财政局等部门分工负责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45" w:type="dxa"/>
            <w:vAlign w:val="center"/>
          </w:tcPr>
          <w:p>
            <w:pPr>
              <w:pStyle w:val="6"/>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val="0"/>
                <w:color w:val="000000"/>
                <w:kern w:val="2"/>
                <w:sz w:val="24"/>
                <w:szCs w:val="24"/>
                <w:u w:val="none"/>
                <w:vertAlign w:val="baseline"/>
                <w:lang w:val="en-US" w:eastAsia="zh-CN" w:bidi="ar-SA"/>
              </w:rPr>
            </w:pPr>
            <w:r>
              <w:rPr>
                <w:rFonts w:hint="eastAsia" w:ascii="黑体" w:hAnsi="黑体" w:eastAsia="黑体" w:cs="黑体"/>
                <w:b w:val="0"/>
                <w:bCs w:val="0"/>
                <w:color w:val="000000"/>
                <w:kern w:val="2"/>
                <w:sz w:val="24"/>
                <w:szCs w:val="24"/>
                <w:u w:val="none"/>
                <w:vertAlign w:val="baseline"/>
                <w:lang w:val="en-US" w:eastAsia="zh-CN" w:bidi="ar-SA"/>
              </w:rPr>
              <w:t>序号</w:t>
            </w:r>
          </w:p>
        </w:tc>
        <w:tc>
          <w:tcPr>
            <w:tcW w:w="1048" w:type="dxa"/>
            <w:tcBorders>
              <w:left w:val="single" w:color="auto" w:sz="4" w:space="0"/>
              <w:right w:val="single" w:color="auto" w:sz="4" w:space="0"/>
            </w:tcBorders>
            <w:vAlign w:val="center"/>
          </w:tcPr>
          <w:p>
            <w:pPr>
              <w:pStyle w:val="6"/>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val="0"/>
                <w:color w:val="000000"/>
                <w:kern w:val="2"/>
                <w:sz w:val="24"/>
                <w:szCs w:val="24"/>
                <w:u w:val="none"/>
                <w:vertAlign w:val="baseline"/>
                <w:lang w:val="en-US" w:eastAsia="zh-CN" w:bidi="ar-SA"/>
              </w:rPr>
            </w:pPr>
            <w:r>
              <w:rPr>
                <w:rFonts w:hint="eastAsia" w:ascii="黑体" w:hAnsi="黑体" w:eastAsia="黑体" w:cs="黑体"/>
                <w:b w:val="0"/>
                <w:bCs w:val="0"/>
                <w:color w:val="000000"/>
                <w:kern w:val="2"/>
                <w:sz w:val="24"/>
                <w:szCs w:val="24"/>
                <w:u w:val="none"/>
                <w:vertAlign w:val="baseline"/>
                <w:lang w:val="en-US" w:eastAsia="zh-CN" w:bidi="ar-SA"/>
              </w:rPr>
              <w:t>任务</w:t>
            </w:r>
          </w:p>
        </w:tc>
        <w:tc>
          <w:tcPr>
            <w:tcW w:w="9335" w:type="dxa"/>
            <w:gridSpan w:val="2"/>
            <w:tcBorders>
              <w:top w:val="single" w:color="auto" w:sz="4" w:space="0"/>
              <w:left w:val="single" w:color="auto" w:sz="4" w:space="0"/>
              <w:right w:val="single" w:color="auto" w:sz="4" w:space="0"/>
            </w:tcBorders>
            <w:vAlign w:val="center"/>
          </w:tcPr>
          <w:p>
            <w:pPr>
              <w:pStyle w:val="6"/>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val="0"/>
                <w:color w:val="000000"/>
                <w:kern w:val="2"/>
                <w:sz w:val="24"/>
                <w:szCs w:val="24"/>
                <w:u w:val="none"/>
                <w:vertAlign w:val="baseline"/>
                <w:lang w:val="en-US" w:eastAsia="zh-CN" w:bidi="ar-SA"/>
              </w:rPr>
            </w:pPr>
            <w:r>
              <w:rPr>
                <w:rFonts w:hint="eastAsia" w:ascii="黑体" w:hAnsi="黑体" w:eastAsia="黑体" w:cs="黑体"/>
                <w:b w:val="0"/>
                <w:bCs w:val="0"/>
                <w:color w:val="000000"/>
                <w:kern w:val="2"/>
                <w:sz w:val="24"/>
                <w:szCs w:val="24"/>
                <w:u w:val="none"/>
                <w:vertAlign w:val="baseline"/>
                <w:lang w:val="en-US" w:eastAsia="zh-CN" w:bidi="ar-SA"/>
              </w:rPr>
              <w:t>主要内容</w:t>
            </w:r>
          </w:p>
        </w:tc>
        <w:tc>
          <w:tcPr>
            <w:tcW w:w="2090" w:type="dxa"/>
            <w:vAlign w:val="center"/>
          </w:tcPr>
          <w:p>
            <w:pPr>
              <w:pStyle w:val="6"/>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val="0"/>
                <w:color w:val="000000"/>
                <w:kern w:val="2"/>
                <w:sz w:val="24"/>
                <w:szCs w:val="24"/>
                <w:u w:val="none"/>
                <w:vertAlign w:val="baseline"/>
                <w:lang w:val="en-US" w:eastAsia="zh-CN" w:bidi="ar-SA"/>
              </w:rPr>
            </w:pPr>
            <w:r>
              <w:rPr>
                <w:rFonts w:hint="eastAsia" w:ascii="黑体" w:hAnsi="黑体" w:eastAsia="黑体" w:cs="黑体"/>
                <w:b w:val="0"/>
                <w:bCs w:val="0"/>
                <w:color w:val="000000"/>
                <w:kern w:val="2"/>
                <w:sz w:val="24"/>
                <w:szCs w:val="24"/>
                <w:u w:val="none"/>
                <w:vertAlign w:val="baseline"/>
                <w:lang w:val="en-US" w:eastAsia="zh-CN" w:bidi="ar-SA"/>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jc w:val="center"/>
        </w:trPr>
        <w:tc>
          <w:tcPr>
            <w:tcW w:w="845" w:type="dxa"/>
            <w:vMerge w:val="restart"/>
            <w:vAlign w:val="center"/>
          </w:tcPr>
          <w:p>
            <w:pPr>
              <w:pStyle w:val="6"/>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color w:val="000000"/>
                <w:kern w:val="2"/>
                <w:sz w:val="24"/>
                <w:szCs w:val="24"/>
                <w:u w:val="none"/>
                <w:vertAlign w:val="baseline"/>
                <w:lang w:val="en-US" w:bidi="ar-SA"/>
              </w:rPr>
            </w:pPr>
            <w:r>
              <w:rPr>
                <w:rFonts w:hint="eastAsia" w:ascii="仿宋_GB2312" w:hAnsi="仿宋_GB2312" w:eastAsia="仿宋_GB2312" w:cs="仿宋_GB2312"/>
                <w:b w:val="0"/>
                <w:bCs w:val="0"/>
                <w:color w:val="000000"/>
                <w:kern w:val="2"/>
                <w:sz w:val="24"/>
                <w:szCs w:val="24"/>
                <w:u w:val="none"/>
                <w:vertAlign w:val="baseline"/>
                <w:lang w:val="en-US" w:eastAsia="zh-CN" w:bidi="ar-SA"/>
              </w:rPr>
              <w:t>六</w:t>
            </w:r>
          </w:p>
        </w:tc>
        <w:tc>
          <w:tcPr>
            <w:tcW w:w="1048" w:type="dxa"/>
            <w:vMerge w:val="restart"/>
            <w:tcBorders>
              <w:top w:val="single" w:color="auto" w:sz="4" w:space="0"/>
              <w:left w:val="single" w:color="auto" w:sz="4" w:space="0"/>
              <w:right w:val="single" w:color="auto" w:sz="4" w:space="0"/>
            </w:tcBorders>
            <w:vAlign w:val="center"/>
          </w:tcPr>
          <w:p>
            <w:pPr>
              <w:pStyle w:val="6"/>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color w:val="000000"/>
                <w:kern w:val="2"/>
                <w:sz w:val="24"/>
                <w:szCs w:val="24"/>
                <w:u w:val="none"/>
                <w:vertAlign w:val="baseline"/>
                <w:lang w:val="en-US" w:bidi="ar-SA"/>
              </w:rPr>
            </w:pPr>
            <w:r>
              <w:rPr>
                <w:rFonts w:hint="eastAsia" w:ascii="仿宋_GB2312" w:hAnsi="仿宋_GB2312" w:eastAsia="仿宋_GB2312" w:cs="仿宋_GB2312"/>
                <w:b w:val="0"/>
                <w:bCs w:val="0"/>
                <w:color w:val="000000"/>
                <w:kern w:val="2"/>
                <w:sz w:val="24"/>
                <w:szCs w:val="24"/>
                <w:u w:val="none"/>
                <w:vertAlign w:val="baseline"/>
                <w:lang w:val="en-US" w:eastAsia="zh-CN" w:bidi="ar-SA"/>
              </w:rPr>
              <w:t>强化应急救援准备，加强应急体系建设</w:t>
            </w:r>
          </w:p>
        </w:tc>
        <w:tc>
          <w:tcPr>
            <w:tcW w:w="9335" w:type="dxa"/>
            <w:gridSpan w:val="2"/>
            <w:tcBorders>
              <w:top w:val="single" w:color="auto" w:sz="4" w:space="0"/>
              <w:left w:val="single" w:color="auto" w:sz="4" w:space="0"/>
              <w:right w:val="single" w:color="auto" w:sz="4" w:space="0"/>
            </w:tcBorders>
            <w:vAlign w:val="center"/>
          </w:tcPr>
          <w:p>
            <w:pPr>
              <w:pStyle w:val="6"/>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b w:val="0"/>
                <w:bCs w:val="0"/>
                <w:color w:val="000000"/>
                <w:kern w:val="2"/>
                <w:sz w:val="24"/>
                <w:szCs w:val="24"/>
                <w:u w:val="none"/>
                <w:vertAlign w:val="baseline"/>
                <w:lang w:val="en-US" w:eastAsia="zh-CN" w:bidi="ar-SA"/>
              </w:rPr>
            </w:pPr>
            <w:r>
              <w:rPr>
                <w:rFonts w:hint="eastAsia" w:ascii="仿宋_GB2312" w:hAnsi="仿宋_GB2312" w:eastAsia="仿宋_GB2312" w:cs="仿宋_GB2312"/>
                <w:b w:val="0"/>
                <w:bCs w:val="0"/>
                <w:color w:val="000000"/>
                <w:kern w:val="2"/>
                <w:sz w:val="24"/>
                <w:szCs w:val="24"/>
                <w:u w:val="none"/>
                <w:vertAlign w:val="baseline"/>
                <w:lang w:val="en-US" w:eastAsia="zh-CN" w:bidi="ar-SA"/>
              </w:rPr>
              <w:t>17.强化装备配备，夯实应急保障基础。持续巩固基层防灾工程项目实施成果，不断提升基层应急救援队伍装备使用水平和救援能力。采取政府支持、企业资助、社会援助等方式，统筹规划为县乡级应急救援队伍配备应急叫应、灭火救援、防汛排涝、应急通信等必要物资装备，切实提高应急处置实战能力。</w:t>
            </w:r>
          </w:p>
        </w:tc>
        <w:tc>
          <w:tcPr>
            <w:tcW w:w="2090" w:type="dxa"/>
            <w:vAlign w:val="center"/>
          </w:tcPr>
          <w:p>
            <w:pPr>
              <w:pStyle w:val="6"/>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000000"/>
                <w:kern w:val="2"/>
                <w:sz w:val="24"/>
                <w:szCs w:val="24"/>
                <w:u w:val="none"/>
                <w:vertAlign w:val="baseline"/>
                <w:lang w:val="en-US" w:eastAsia="zh-CN" w:bidi="ar-SA"/>
              </w:rPr>
            </w:pPr>
            <w:r>
              <w:rPr>
                <w:rFonts w:hint="eastAsia" w:ascii="仿宋_GB2312" w:hAnsi="仿宋_GB2312" w:eastAsia="仿宋_GB2312" w:cs="仿宋_GB2312"/>
                <w:b w:val="0"/>
                <w:bCs w:val="0"/>
                <w:color w:val="000000"/>
                <w:kern w:val="2"/>
                <w:sz w:val="24"/>
                <w:szCs w:val="24"/>
                <w:u w:val="none"/>
                <w:vertAlign w:val="baseline"/>
                <w:lang w:val="en-US" w:eastAsia="zh-CN" w:bidi="ar-SA"/>
              </w:rPr>
              <w:t>县安委会有关</w:t>
            </w:r>
          </w:p>
          <w:p>
            <w:pPr>
              <w:pStyle w:val="6"/>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000000"/>
                <w:kern w:val="2"/>
                <w:sz w:val="24"/>
                <w:szCs w:val="24"/>
                <w:u w:val="none"/>
                <w:vertAlign w:val="baseline"/>
                <w:lang w:val="en-US" w:eastAsia="zh-CN" w:bidi="ar-SA"/>
              </w:rPr>
            </w:pPr>
            <w:r>
              <w:rPr>
                <w:rFonts w:hint="eastAsia" w:ascii="仿宋_GB2312" w:hAnsi="仿宋_GB2312" w:eastAsia="仿宋_GB2312" w:cs="仿宋_GB2312"/>
                <w:b w:val="0"/>
                <w:bCs w:val="0"/>
                <w:color w:val="000000"/>
                <w:kern w:val="2"/>
                <w:sz w:val="24"/>
                <w:szCs w:val="24"/>
                <w:u w:val="none"/>
                <w:vertAlign w:val="baseline"/>
                <w:lang w:val="en-US" w:eastAsia="zh-CN" w:bidi="ar-SA"/>
              </w:rPr>
              <w:t>成员单位负责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0" w:hRule="atLeast"/>
          <w:jc w:val="center"/>
        </w:trPr>
        <w:tc>
          <w:tcPr>
            <w:tcW w:w="845" w:type="dxa"/>
            <w:vMerge w:val="continue"/>
            <w:vAlign w:val="center"/>
          </w:tcPr>
          <w:p>
            <w:pPr>
              <w:pStyle w:val="6"/>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color w:val="000000"/>
                <w:kern w:val="2"/>
                <w:sz w:val="24"/>
                <w:szCs w:val="24"/>
                <w:u w:val="none"/>
                <w:vertAlign w:val="baseline"/>
                <w:lang w:val="en-US" w:bidi="ar-SA"/>
              </w:rPr>
            </w:pPr>
          </w:p>
        </w:tc>
        <w:tc>
          <w:tcPr>
            <w:tcW w:w="1048" w:type="dxa"/>
            <w:vMerge w:val="continue"/>
            <w:tcBorders>
              <w:left w:val="single" w:color="auto" w:sz="4" w:space="0"/>
              <w:right w:val="single" w:color="auto" w:sz="4" w:space="0"/>
            </w:tcBorders>
            <w:vAlign w:val="center"/>
          </w:tcPr>
          <w:p>
            <w:pPr>
              <w:pStyle w:val="6"/>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color w:val="000000"/>
                <w:kern w:val="2"/>
                <w:sz w:val="24"/>
                <w:szCs w:val="24"/>
                <w:u w:val="none"/>
                <w:vertAlign w:val="baseline"/>
                <w:lang w:val="en-US" w:bidi="ar-SA"/>
              </w:rPr>
            </w:pPr>
          </w:p>
        </w:tc>
        <w:tc>
          <w:tcPr>
            <w:tcW w:w="9335" w:type="dxa"/>
            <w:gridSpan w:val="2"/>
            <w:tcBorders>
              <w:top w:val="single" w:color="auto" w:sz="4" w:space="0"/>
              <w:left w:val="single" w:color="auto" w:sz="4" w:space="0"/>
              <w:right w:val="single" w:color="auto" w:sz="4" w:space="0"/>
            </w:tcBorders>
            <w:vAlign w:val="center"/>
          </w:tcPr>
          <w:p>
            <w:pPr>
              <w:pStyle w:val="6"/>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b w:val="0"/>
                <w:bCs w:val="0"/>
                <w:color w:val="000000"/>
                <w:kern w:val="2"/>
                <w:sz w:val="24"/>
                <w:szCs w:val="24"/>
                <w:u w:val="none"/>
                <w:vertAlign w:val="baseline"/>
                <w:lang w:val="en-US" w:eastAsia="zh-CN" w:bidi="ar-SA"/>
              </w:rPr>
            </w:pPr>
            <w:r>
              <w:rPr>
                <w:rFonts w:hint="eastAsia" w:ascii="仿宋_GB2312" w:hAnsi="仿宋_GB2312" w:eastAsia="仿宋_GB2312" w:cs="仿宋_GB2312"/>
                <w:b w:val="0"/>
                <w:bCs w:val="0"/>
                <w:color w:val="000000"/>
                <w:kern w:val="2"/>
                <w:sz w:val="24"/>
                <w:szCs w:val="24"/>
                <w:u w:val="none"/>
                <w:vertAlign w:val="baseline"/>
                <w:lang w:val="en-US" w:eastAsia="zh-CN" w:bidi="ar-SA"/>
              </w:rPr>
              <w:t>18.加强基地建设，提升物资保障水平。健全县应急物资统一调拨制度和跨部门应急物资调拨协调机制，完善调拨流程。做好冬春救助和应急救助工作，督促各乡（镇）严格按照“专款专用、重点使用”原则和“户报、村评、乡审、县定”程序，及时下拨救助资金，保障受灾群众基本生活。指导各乡（镇）使用“自然灾害资金管理系统”。科学规划并推动重点林区建设能够满足森林火灾救援的停机坪、取水点、防火应急通道。2025年底前，完成县应急避难场所专项规划编制发布工作，至少完成一处县级综合性长期应急避难场所试点项目，乡镇、村（社区）至少建立一处应急避难场所。合理规划应急物资储备点布局，县级应急物资储备库（点）建设覆盖率达到100%。</w:t>
            </w:r>
          </w:p>
        </w:tc>
        <w:tc>
          <w:tcPr>
            <w:tcW w:w="2090" w:type="dxa"/>
            <w:vAlign w:val="center"/>
          </w:tcPr>
          <w:p>
            <w:pPr>
              <w:pStyle w:val="6"/>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b w:val="0"/>
                <w:bCs w:val="0"/>
                <w:color w:val="000000"/>
                <w:kern w:val="2"/>
                <w:sz w:val="24"/>
                <w:szCs w:val="24"/>
                <w:u w:val="none"/>
                <w:vertAlign w:val="baseline"/>
                <w:lang w:val="en-US" w:eastAsia="zh-CN" w:bidi="ar-SA"/>
              </w:rPr>
            </w:pPr>
            <w:r>
              <w:rPr>
                <w:rFonts w:hint="eastAsia" w:ascii="仿宋_GB2312" w:hAnsi="仿宋_GB2312" w:eastAsia="仿宋_GB2312" w:cs="仿宋_GB2312"/>
                <w:b w:val="0"/>
                <w:bCs w:val="0"/>
                <w:color w:val="000000"/>
                <w:kern w:val="2"/>
                <w:sz w:val="24"/>
                <w:szCs w:val="24"/>
                <w:u w:val="none"/>
                <w:vertAlign w:val="baseline"/>
                <w:lang w:val="en-US" w:eastAsia="zh-CN" w:bidi="ar-SA"/>
              </w:rPr>
              <w:t>县发改局、县交通运输局、县财政局、县应急局、县林业局、县自然资源局等部门分工负责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5" w:hRule="atLeast"/>
          <w:jc w:val="center"/>
        </w:trPr>
        <w:tc>
          <w:tcPr>
            <w:tcW w:w="845" w:type="dxa"/>
            <w:vAlign w:val="center"/>
          </w:tcPr>
          <w:p>
            <w:pPr>
              <w:pStyle w:val="6"/>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color w:val="000000"/>
                <w:kern w:val="2"/>
                <w:sz w:val="24"/>
                <w:szCs w:val="24"/>
                <w:u w:val="none"/>
                <w:vertAlign w:val="baseline"/>
                <w:lang w:val="en-US" w:eastAsia="zh-CN" w:bidi="ar-SA"/>
              </w:rPr>
            </w:pPr>
            <w:r>
              <w:rPr>
                <w:rFonts w:hint="eastAsia" w:ascii="仿宋_GB2312" w:hAnsi="仿宋_GB2312" w:eastAsia="仿宋_GB2312" w:cs="仿宋_GB2312"/>
                <w:b w:val="0"/>
                <w:bCs w:val="0"/>
                <w:color w:val="000000"/>
                <w:kern w:val="2"/>
                <w:sz w:val="24"/>
                <w:szCs w:val="24"/>
                <w:u w:val="none"/>
                <w:vertAlign w:val="baseline"/>
                <w:lang w:val="en-US" w:eastAsia="zh-CN" w:bidi="ar-SA"/>
              </w:rPr>
              <w:t>七</w:t>
            </w:r>
          </w:p>
        </w:tc>
        <w:tc>
          <w:tcPr>
            <w:tcW w:w="1048" w:type="dxa"/>
            <w:tcBorders>
              <w:top w:val="single" w:color="auto" w:sz="4" w:space="0"/>
              <w:left w:val="single" w:color="auto" w:sz="4" w:space="0"/>
              <w:right w:val="single" w:color="auto" w:sz="4" w:space="0"/>
            </w:tcBorders>
            <w:vAlign w:val="center"/>
          </w:tcPr>
          <w:p>
            <w:pPr>
              <w:pStyle w:val="6"/>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color w:val="000000"/>
                <w:kern w:val="2"/>
                <w:sz w:val="24"/>
                <w:szCs w:val="24"/>
                <w:u w:val="none"/>
                <w:vertAlign w:val="baseline"/>
                <w:lang w:val="en-US" w:bidi="ar-SA"/>
              </w:rPr>
            </w:pPr>
            <w:r>
              <w:rPr>
                <w:rFonts w:hint="eastAsia" w:ascii="仿宋_GB2312" w:hAnsi="仿宋_GB2312" w:eastAsia="仿宋_GB2312" w:cs="仿宋_GB2312"/>
                <w:b w:val="0"/>
                <w:bCs w:val="0"/>
                <w:color w:val="000000"/>
                <w:kern w:val="2"/>
                <w:sz w:val="24"/>
                <w:szCs w:val="24"/>
                <w:u w:val="none"/>
                <w:vertAlign w:val="baseline"/>
                <w:lang w:val="en-US" w:bidi="ar-SA"/>
              </w:rPr>
              <w:t>提升人员素质，锻造过硬队伍</w:t>
            </w:r>
          </w:p>
        </w:tc>
        <w:tc>
          <w:tcPr>
            <w:tcW w:w="9335" w:type="dxa"/>
            <w:gridSpan w:val="2"/>
            <w:tcBorders>
              <w:top w:val="single" w:color="auto" w:sz="4" w:space="0"/>
              <w:left w:val="single" w:color="auto" w:sz="4" w:space="0"/>
              <w:right w:val="single" w:color="auto" w:sz="4" w:space="0"/>
            </w:tcBorders>
            <w:vAlign w:val="center"/>
          </w:tcPr>
          <w:p>
            <w:pPr>
              <w:pStyle w:val="6"/>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b w:val="0"/>
                <w:bCs w:val="0"/>
                <w:color w:val="000000"/>
                <w:kern w:val="2"/>
                <w:sz w:val="24"/>
                <w:szCs w:val="24"/>
                <w:u w:val="none"/>
                <w:vertAlign w:val="baseline"/>
                <w:lang w:val="en-US" w:eastAsia="zh-CN" w:bidi="ar-SA"/>
              </w:rPr>
            </w:pPr>
            <w:r>
              <w:rPr>
                <w:rFonts w:hint="eastAsia" w:ascii="仿宋_GB2312" w:hAnsi="仿宋_GB2312" w:eastAsia="仿宋_GB2312" w:cs="仿宋_GB2312"/>
                <w:b w:val="0"/>
                <w:bCs w:val="0"/>
                <w:color w:val="000000"/>
                <w:kern w:val="2"/>
                <w:sz w:val="24"/>
                <w:szCs w:val="24"/>
                <w:u w:val="none"/>
                <w:vertAlign w:val="baseline"/>
                <w:lang w:val="en-US" w:eastAsia="zh-CN" w:bidi="ar-SA"/>
              </w:rPr>
              <w:t>19.开展实战练兵，提升应急救援能力。坚持实战导向，加强县消防救援队伍与乡镇消防站、企业专职救援队伍、武警、基层应急救援力量、社会救援力量的联勤、联训、联演、联战。结合实际，从矿山、危化、冶金工贸、建筑施工、道路交通、消防、森林火灾、洪涝灾害、地质灾害、地震等重点行业领域中选取一个，至少组织开展一次示范性综合应急演练。督促各类生产经营单位针对本单位易发事故种类，组织企业专兼职队伍和职工开展疏散逃生和应急救援演练，熟悉应急逃生疏散通道，提升职工自救互救能力。</w:t>
            </w:r>
          </w:p>
        </w:tc>
        <w:tc>
          <w:tcPr>
            <w:tcW w:w="2090" w:type="dxa"/>
            <w:vAlign w:val="center"/>
          </w:tcPr>
          <w:p>
            <w:pPr>
              <w:pStyle w:val="6"/>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b w:val="0"/>
                <w:bCs w:val="0"/>
                <w:color w:val="000000"/>
                <w:kern w:val="2"/>
                <w:sz w:val="24"/>
                <w:szCs w:val="24"/>
                <w:u w:val="none"/>
                <w:vertAlign w:val="baseline"/>
                <w:lang w:val="en-US" w:eastAsia="zh-CN" w:bidi="ar-SA"/>
              </w:rPr>
            </w:pPr>
            <w:r>
              <w:rPr>
                <w:rFonts w:hint="eastAsia" w:ascii="仿宋_GB2312" w:hAnsi="仿宋_GB2312" w:eastAsia="仿宋_GB2312" w:cs="仿宋_GB2312"/>
                <w:b w:val="0"/>
                <w:bCs w:val="0"/>
                <w:color w:val="000000"/>
                <w:kern w:val="2"/>
                <w:sz w:val="24"/>
                <w:szCs w:val="24"/>
                <w:u w:val="none"/>
                <w:vertAlign w:val="baseline"/>
                <w:lang w:val="en-US" w:eastAsia="zh-CN" w:bidi="ar-SA"/>
              </w:rPr>
              <w:t>县住建局、县交通运输局、县水利局、县应急局、县林业局、县自然资源局、县消防救援大队等部门分工负责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845" w:type="dxa"/>
            <w:vAlign w:val="center"/>
          </w:tcPr>
          <w:p>
            <w:pPr>
              <w:pStyle w:val="6"/>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val="0"/>
                <w:color w:val="000000"/>
                <w:kern w:val="2"/>
                <w:sz w:val="24"/>
                <w:szCs w:val="24"/>
                <w:u w:val="none"/>
                <w:vertAlign w:val="baseline"/>
                <w:lang w:val="en-US" w:eastAsia="zh-CN" w:bidi="ar-SA"/>
              </w:rPr>
            </w:pPr>
            <w:r>
              <w:rPr>
                <w:rFonts w:hint="eastAsia" w:ascii="黑体" w:hAnsi="黑体" w:eastAsia="黑体" w:cs="黑体"/>
                <w:b w:val="0"/>
                <w:bCs w:val="0"/>
                <w:color w:val="000000"/>
                <w:kern w:val="2"/>
                <w:sz w:val="24"/>
                <w:szCs w:val="24"/>
                <w:u w:val="none"/>
                <w:vertAlign w:val="baseline"/>
                <w:lang w:val="en-US" w:eastAsia="zh-CN" w:bidi="ar-SA"/>
              </w:rPr>
              <w:t>序号</w:t>
            </w:r>
          </w:p>
        </w:tc>
        <w:tc>
          <w:tcPr>
            <w:tcW w:w="1048" w:type="dxa"/>
            <w:tcBorders>
              <w:top w:val="single" w:color="auto" w:sz="4" w:space="0"/>
              <w:left w:val="single" w:color="auto" w:sz="4" w:space="0"/>
              <w:right w:val="single" w:color="auto" w:sz="4" w:space="0"/>
            </w:tcBorders>
            <w:vAlign w:val="center"/>
          </w:tcPr>
          <w:p>
            <w:pPr>
              <w:pStyle w:val="6"/>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val="0"/>
                <w:color w:val="000000"/>
                <w:kern w:val="2"/>
                <w:sz w:val="24"/>
                <w:szCs w:val="24"/>
                <w:u w:val="none"/>
                <w:vertAlign w:val="baseline"/>
                <w:lang w:val="en-US" w:eastAsia="zh-CN" w:bidi="ar-SA"/>
              </w:rPr>
            </w:pPr>
            <w:r>
              <w:rPr>
                <w:rFonts w:hint="eastAsia" w:ascii="黑体" w:hAnsi="黑体" w:eastAsia="黑体" w:cs="黑体"/>
                <w:b w:val="0"/>
                <w:bCs w:val="0"/>
                <w:color w:val="000000"/>
                <w:kern w:val="2"/>
                <w:sz w:val="24"/>
                <w:szCs w:val="24"/>
                <w:u w:val="none"/>
                <w:vertAlign w:val="baseline"/>
                <w:lang w:val="en-US" w:eastAsia="zh-CN" w:bidi="ar-SA"/>
              </w:rPr>
              <w:t>任务</w:t>
            </w:r>
          </w:p>
        </w:tc>
        <w:tc>
          <w:tcPr>
            <w:tcW w:w="9335" w:type="dxa"/>
            <w:gridSpan w:val="2"/>
            <w:tcBorders>
              <w:top w:val="single" w:color="auto" w:sz="4" w:space="0"/>
              <w:left w:val="single" w:color="auto" w:sz="4" w:space="0"/>
              <w:right w:val="single" w:color="auto" w:sz="4" w:space="0"/>
            </w:tcBorders>
            <w:vAlign w:val="center"/>
          </w:tcPr>
          <w:p>
            <w:pPr>
              <w:pStyle w:val="6"/>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val="0"/>
                <w:color w:val="000000"/>
                <w:kern w:val="2"/>
                <w:sz w:val="24"/>
                <w:szCs w:val="24"/>
                <w:u w:val="none"/>
                <w:vertAlign w:val="baseline"/>
                <w:lang w:val="en-US" w:eastAsia="zh-CN" w:bidi="ar-SA"/>
              </w:rPr>
            </w:pPr>
            <w:r>
              <w:rPr>
                <w:rFonts w:hint="eastAsia" w:ascii="黑体" w:hAnsi="黑体" w:eastAsia="黑体" w:cs="黑体"/>
                <w:b w:val="0"/>
                <w:bCs w:val="0"/>
                <w:color w:val="000000"/>
                <w:kern w:val="2"/>
                <w:sz w:val="24"/>
                <w:szCs w:val="24"/>
                <w:u w:val="none"/>
                <w:vertAlign w:val="baseline"/>
                <w:lang w:val="en-US" w:eastAsia="zh-CN" w:bidi="ar-SA"/>
              </w:rPr>
              <w:t>主要内容</w:t>
            </w:r>
          </w:p>
        </w:tc>
        <w:tc>
          <w:tcPr>
            <w:tcW w:w="2090" w:type="dxa"/>
            <w:vAlign w:val="center"/>
          </w:tcPr>
          <w:p>
            <w:pPr>
              <w:pStyle w:val="6"/>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val="0"/>
                <w:color w:val="000000"/>
                <w:kern w:val="2"/>
                <w:sz w:val="24"/>
                <w:szCs w:val="24"/>
                <w:u w:val="none"/>
                <w:vertAlign w:val="baseline"/>
                <w:lang w:val="en-US" w:eastAsia="zh-CN" w:bidi="ar-SA"/>
              </w:rPr>
            </w:pPr>
            <w:r>
              <w:rPr>
                <w:rFonts w:hint="eastAsia" w:ascii="黑体" w:hAnsi="黑体" w:eastAsia="黑体" w:cs="黑体"/>
                <w:b w:val="0"/>
                <w:bCs w:val="0"/>
                <w:color w:val="000000"/>
                <w:kern w:val="2"/>
                <w:sz w:val="24"/>
                <w:szCs w:val="24"/>
                <w:u w:val="none"/>
                <w:vertAlign w:val="baseline"/>
                <w:lang w:val="en-US" w:eastAsia="zh-CN" w:bidi="ar-SA"/>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8" w:hRule="atLeast"/>
          <w:jc w:val="center"/>
        </w:trPr>
        <w:tc>
          <w:tcPr>
            <w:tcW w:w="845" w:type="dxa"/>
            <w:vMerge w:val="restart"/>
            <w:vAlign w:val="center"/>
          </w:tcPr>
          <w:p>
            <w:pPr>
              <w:pStyle w:val="6"/>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color w:val="000000"/>
                <w:sz w:val="24"/>
                <w:szCs w:val="24"/>
                <w:u w:val="none"/>
              </w:rPr>
            </w:pPr>
            <w:r>
              <w:rPr>
                <w:rFonts w:hint="eastAsia" w:ascii="仿宋_GB2312" w:hAnsi="仿宋_GB2312" w:eastAsia="仿宋_GB2312" w:cs="仿宋_GB2312"/>
                <w:b w:val="0"/>
                <w:bCs w:val="0"/>
                <w:color w:val="000000"/>
                <w:kern w:val="2"/>
                <w:sz w:val="24"/>
                <w:szCs w:val="24"/>
                <w:u w:val="none"/>
                <w:vertAlign w:val="baseline"/>
                <w:lang w:val="en-US" w:eastAsia="zh-CN" w:bidi="ar-SA"/>
              </w:rPr>
              <w:t>七</w:t>
            </w:r>
          </w:p>
        </w:tc>
        <w:tc>
          <w:tcPr>
            <w:tcW w:w="1048" w:type="dxa"/>
            <w:vMerge w:val="restart"/>
            <w:tcBorders>
              <w:top w:val="single" w:color="auto" w:sz="4" w:space="0"/>
              <w:left w:val="single" w:color="auto" w:sz="4" w:space="0"/>
              <w:right w:val="single" w:color="auto" w:sz="4" w:space="0"/>
            </w:tcBorders>
            <w:vAlign w:val="center"/>
          </w:tcPr>
          <w:p>
            <w:pPr>
              <w:pStyle w:val="6"/>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color w:val="000000"/>
                <w:sz w:val="24"/>
                <w:szCs w:val="24"/>
                <w:u w:val="none"/>
              </w:rPr>
            </w:pPr>
            <w:r>
              <w:rPr>
                <w:rFonts w:hint="eastAsia" w:ascii="仿宋_GB2312" w:hAnsi="仿宋_GB2312" w:eastAsia="仿宋_GB2312" w:cs="仿宋_GB2312"/>
                <w:b w:val="0"/>
                <w:bCs w:val="0"/>
                <w:color w:val="000000"/>
                <w:kern w:val="2"/>
                <w:sz w:val="24"/>
                <w:szCs w:val="24"/>
                <w:u w:val="none"/>
                <w:vertAlign w:val="baseline"/>
                <w:lang w:val="en-US" w:bidi="ar-SA"/>
              </w:rPr>
              <w:t>强化人员能力素质，扎实锤炼过硬本领</w:t>
            </w:r>
          </w:p>
        </w:tc>
        <w:tc>
          <w:tcPr>
            <w:tcW w:w="9335" w:type="dxa"/>
            <w:gridSpan w:val="2"/>
            <w:tcBorders>
              <w:top w:val="single" w:color="auto" w:sz="4" w:space="0"/>
              <w:left w:val="single" w:color="auto" w:sz="4" w:space="0"/>
              <w:right w:val="single" w:color="auto" w:sz="4" w:space="0"/>
            </w:tcBorders>
            <w:vAlign w:val="center"/>
          </w:tcPr>
          <w:p>
            <w:pPr>
              <w:pStyle w:val="6"/>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b w:val="0"/>
                <w:bCs w:val="0"/>
                <w:color w:val="000000"/>
                <w:kern w:val="2"/>
                <w:sz w:val="24"/>
                <w:szCs w:val="24"/>
                <w:u w:val="none"/>
                <w:vertAlign w:val="baseline"/>
                <w:lang w:val="en-US" w:eastAsia="zh-CN" w:bidi="ar-SA"/>
              </w:rPr>
            </w:pPr>
            <w:r>
              <w:rPr>
                <w:rFonts w:hint="eastAsia" w:ascii="仿宋_GB2312" w:hAnsi="仿宋_GB2312" w:eastAsia="仿宋_GB2312" w:cs="仿宋_GB2312"/>
                <w:b w:val="0"/>
                <w:bCs w:val="0"/>
                <w:color w:val="000000"/>
                <w:kern w:val="2"/>
                <w:sz w:val="24"/>
                <w:szCs w:val="24"/>
                <w:u w:val="none"/>
                <w:vertAlign w:val="baseline"/>
                <w:lang w:val="en-US" w:eastAsia="zh-CN" w:bidi="ar-SA"/>
              </w:rPr>
              <w:t>20.组织技能竞赛，提高职工安全素质。积极组织各行业领域生产经营单位开展全员分工种、分岗位针对性培训，严格“三项岗位人员”考核，从业人员未经培训合格不得上岗。构建“工会＋行业”协同模式，分行业推动“安康杯”知识竞赛、职工技能比武工作，营造崇尚专业、崇尚安全的良好风气。</w:t>
            </w:r>
          </w:p>
        </w:tc>
        <w:tc>
          <w:tcPr>
            <w:tcW w:w="2090" w:type="dxa"/>
            <w:vAlign w:val="center"/>
          </w:tcPr>
          <w:p>
            <w:pPr>
              <w:pStyle w:val="6"/>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000000"/>
                <w:kern w:val="2"/>
                <w:sz w:val="24"/>
                <w:szCs w:val="24"/>
                <w:u w:val="none"/>
                <w:vertAlign w:val="baseline"/>
                <w:lang w:val="en-US" w:eastAsia="zh-CN" w:bidi="ar-SA"/>
              </w:rPr>
            </w:pPr>
            <w:r>
              <w:rPr>
                <w:rFonts w:hint="eastAsia" w:ascii="仿宋_GB2312" w:hAnsi="仿宋_GB2312" w:eastAsia="仿宋_GB2312" w:cs="仿宋_GB2312"/>
                <w:b w:val="0"/>
                <w:bCs w:val="0"/>
                <w:color w:val="000000"/>
                <w:kern w:val="2"/>
                <w:sz w:val="24"/>
                <w:szCs w:val="24"/>
                <w:u w:val="none"/>
                <w:vertAlign w:val="baseline"/>
                <w:lang w:val="en-US" w:eastAsia="zh-CN" w:bidi="ar-SA"/>
              </w:rPr>
              <w:t>县安委会有关</w:t>
            </w:r>
          </w:p>
          <w:p>
            <w:pPr>
              <w:pStyle w:val="6"/>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000000"/>
                <w:kern w:val="2"/>
                <w:sz w:val="24"/>
                <w:szCs w:val="24"/>
                <w:u w:val="none"/>
                <w:vertAlign w:val="baseline"/>
                <w:lang w:val="en-US" w:eastAsia="zh-CN" w:bidi="ar-SA"/>
              </w:rPr>
            </w:pPr>
            <w:r>
              <w:rPr>
                <w:rFonts w:hint="eastAsia" w:ascii="仿宋_GB2312" w:hAnsi="仿宋_GB2312" w:eastAsia="仿宋_GB2312" w:cs="仿宋_GB2312"/>
                <w:b w:val="0"/>
                <w:bCs w:val="0"/>
                <w:color w:val="000000"/>
                <w:kern w:val="2"/>
                <w:sz w:val="24"/>
                <w:szCs w:val="24"/>
                <w:u w:val="none"/>
                <w:vertAlign w:val="baseline"/>
                <w:lang w:val="en-US" w:eastAsia="zh-CN" w:bidi="ar-SA"/>
              </w:rPr>
              <w:t>成员单位负责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3" w:hRule="atLeast"/>
          <w:jc w:val="center"/>
        </w:trPr>
        <w:tc>
          <w:tcPr>
            <w:tcW w:w="845" w:type="dxa"/>
            <w:vMerge w:val="continue"/>
          </w:tcPr>
          <w:p>
            <w:pPr>
              <w:keepNext w:val="0"/>
              <w:keepLines w:val="0"/>
              <w:pageBreakBefore w:val="0"/>
              <w:widowControl w:val="0"/>
              <w:kinsoku/>
              <w:wordWrap/>
              <w:overflowPunct/>
              <w:topLinePunct w:val="0"/>
              <w:autoSpaceDE/>
              <w:autoSpaceDN/>
              <w:bidi w:val="0"/>
              <w:adjustRightInd/>
              <w:snapToGrid/>
              <w:spacing w:line="320" w:lineRule="exact"/>
              <w:textAlignment w:val="auto"/>
              <w:rPr>
                <w:b w:val="0"/>
                <w:bCs w:val="0"/>
                <w:sz w:val="24"/>
                <w:szCs w:val="24"/>
              </w:rPr>
            </w:pPr>
          </w:p>
        </w:tc>
        <w:tc>
          <w:tcPr>
            <w:tcW w:w="1048" w:type="dxa"/>
            <w:vMerge w:val="continue"/>
            <w:tcBorders>
              <w:left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20" w:lineRule="exact"/>
              <w:textAlignment w:val="auto"/>
              <w:rPr>
                <w:b w:val="0"/>
                <w:bCs w:val="0"/>
                <w:sz w:val="24"/>
                <w:szCs w:val="24"/>
              </w:rPr>
            </w:pPr>
          </w:p>
        </w:tc>
        <w:tc>
          <w:tcPr>
            <w:tcW w:w="9335" w:type="dxa"/>
            <w:gridSpan w:val="2"/>
            <w:tcBorders>
              <w:top w:val="single" w:color="auto" w:sz="4" w:space="0"/>
              <w:left w:val="single" w:color="auto" w:sz="4" w:space="0"/>
              <w:right w:val="single" w:color="auto" w:sz="4" w:space="0"/>
            </w:tcBorders>
            <w:vAlign w:val="center"/>
          </w:tcPr>
          <w:p>
            <w:pPr>
              <w:pStyle w:val="6"/>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b w:val="0"/>
                <w:bCs w:val="0"/>
                <w:color w:val="000000"/>
                <w:kern w:val="2"/>
                <w:sz w:val="24"/>
                <w:szCs w:val="24"/>
                <w:u w:val="none"/>
                <w:vertAlign w:val="baseline"/>
                <w:lang w:val="en-US" w:eastAsia="zh-CN" w:bidi="ar-SA"/>
              </w:rPr>
            </w:pPr>
            <w:r>
              <w:rPr>
                <w:rFonts w:hint="eastAsia" w:ascii="仿宋_GB2312" w:hAnsi="仿宋_GB2312" w:eastAsia="仿宋_GB2312" w:cs="仿宋_GB2312"/>
                <w:b w:val="0"/>
                <w:bCs w:val="0"/>
                <w:color w:val="000000"/>
                <w:kern w:val="2"/>
                <w:sz w:val="24"/>
                <w:szCs w:val="24"/>
                <w:u w:val="none"/>
                <w:vertAlign w:val="baseline"/>
                <w:lang w:val="en-US" w:eastAsia="zh-CN" w:bidi="ar-SA"/>
              </w:rPr>
              <w:t>21.举办执法比武，增强监管执法水平。对标对表先进地区经验做法，采取“走出去看、进校园学、请进来教”等方式，加强干部队伍能力素质建设。以“岗位大练兵、业务大比武”为抓手，综合运用“理论+实操”“严培+严考”“线上+线下”等方式，结合行业领域实际开展负有安全生产监管职责人员执法比武和实战大练兵，应用“互联网＋执法”系统等开展案卷评查，不断推动队伍素质与能力的全面提升。</w:t>
            </w:r>
          </w:p>
        </w:tc>
        <w:tc>
          <w:tcPr>
            <w:tcW w:w="2090" w:type="dxa"/>
            <w:vAlign w:val="center"/>
          </w:tcPr>
          <w:p>
            <w:pPr>
              <w:pStyle w:val="6"/>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b w:val="0"/>
                <w:bCs w:val="0"/>
                <w:color w:val="000000"/>
                <w:kern w:val="2"/>
                <w:sz w:val="24"/>
                <w:szCs w:val="24"/>
                <w:u w:val="none"/>
                <w:vertAlign w:val="baseline"/>
                <w:lang w:val="en-US" w:eastAsia="zh-CN" w:bidi="ar-SA"/>
              </w:rPr>
            </w:pPr>
            <w:r>
              <w:rPr>
                <w:rFonts w:hint="eastAsia" w:ascii="仿宋_GB2312" w:hAnsi="仿宋_GB2312" w:eastAsia="仿宋_GB2312" w:cs="仿宋_GB2312"/>
                <w:b w:val="0"/>
                <w:bCs w:val="0"/>
                <w:color w:val="000000"/>
                <w:kern w:val="2"/>
                <w:sz w:val="24"/>
                <w:szCs w:val="24"/>
                <w:u w:val="none"/>
                <w:vertAlign w:val="baseline"/>
                <w:lang w:val="en-US" w:eastAsia="zh-CN" w:bidi="ar-SA"/>
              </w:rPr>
              <w:t>负有安全生产监管职责的部门分工负责</w:t>
            </w:r>
          </w:p>
        </w:tc>
      </w:tr>
    </w:tbl>
    <w:p>
      <w:pPr>
        <w:pStyle w:val="6"/>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黑体" w:hAnsi="黑体" w:eastAsia="黑体" w:cs="黑体"/>
          <w:color w:val="000000"/>
          <w:kern w:val="2"/>
          <w:sz w:val="32"/>
          <w:szCs w:val="32"/>
          <w:u w:val="none"/>
          <w:lang w:val="en-US" w:bidi="ar-SA"/>
        </w:rPr>
      </w:pPr>
    </w:p>
    <w:p>
      <w:pPr>
        <w:pStyle w:val="6"/>
        <w:keepNext w:val="0"/>
        <w:keepLines w:val="0"/>
        <w:pageBreakBefore w:val="0"/>
        <w:widowControl w:val="0"/>
        <w:tabs>
          <w:tab w:val="left" w:pos="7350"/>
          <w:tab w:val="left" w:pos="7560"/>
        </w:tabs>
        <w:kinsoku/>
        <w:wordWrap/>
        <w:overflowPunct/>
        <w:topLinePunct w:val="0"/>
        <w:autoSpaceDE/>
        <w:autoSpaceDN/>
        <w:bidi w:val="0"/>
        <w:adjustRightInd/>
        <w:snapToGrid/>
        <w:spacing w:line="570" w:lineRule="exact"/>
        <w:jc w:val="both"/>
        <w:textAlignment w:val="auto"/>
        <w:rPr>
          <w:rFonts w:hint="eastAsia" w:ascii="仿宋_GB2312" w:hAnsi="楷体_GB2312" w:eastAsia="仿宋_GB2312" w:cs="楷体_GB2312"/>
          <w:color w:val="000000"/>
          <w:kern w:val="2"/>
          <w:sz w:val="32"/>
          <w:szCs w:val="32"/>
          <w:u w:val="none"/>
          <w:lang w:val="en-US" w:eastAsia="zh-CN" w:bidi="ar-SA"/>
        </w:rPr>
      </w:pPr>
    </w:p>
    <w:p>
      <w:pPr>
        <w:pStyle w:val="6"/>
        <w:keepNext w:val="0"/>
        <w:keepLines w:val="0"/>
        <w:pageBreakBefore w:val="0"/>
        <w:widowControl w:val="0"/>
        <w:tabs>
          <w:tab w:val="left" w:pos="7350"/>
          <w:tab w:val="left" w:pos="7560"/>
        </w:tabs>
        <w:kinsoku/>
        <w:wordWrap/>
        <w:overflowPunct/>
        <w:topLinePunct w:val="0"/>
        <w:autoSpaceDE/>
        <w:autoSpaceDN/>
        <w:bidi w:val="0"/>
        <w:adjustRightInd/>
        <w:snapToGrid/>
        <w:spacing w:line="578" w:lineRule="exact"/>
        <w:jc w:val="both"/>
        <w:textAlignment w:val="auto"/>
        <w:rPr>
          <w:rFonts w:hint="eastAsia" w:ascii="仿宋_GB2312" w:hAnsi="楷体_GB2312" w:eastAsia="仿宋_GB2312" w:cs="楷体_GB2312"/>
          <w:color w:val="000000"/>
          <w:kern w:val="2"/>
          <w:sz w:val="32"/>
          <w:szCs w:val="32"/>
          <w:u w:val="none"/>
          <w:lang w:val="en-US" w:eastAsia="zh-CN" w:bidi="ar-SA"/>
        </w:rPr>
      </w:pPr>
    </w:p>
    <w:p>
      <w:pPr>
        <w:keepNext w:val="0"/>
        <w:keepLines w:val="0"/>
        <w:pageBreakBefore w:val="0"/>
        <w:widowControl w:val="0"/>
        <w:kinsoku/>
        <w:overflowPunct/>
        <w:topLinePunct w:val="0"/>
        <w:autoSpaceDE/>
        <w:autoSpaceDN/>
        <w:bidi w:val="0"/>
        <w:adjustRightInd/>
        <w:snapToGrid/>
        <w:spacing w:before="0" w:beforeLines="0" w:beforeAutospacing="0" w:line="578" w:lineRule="exact"/>
        <w:jc w:val="both"/>
        <w:textAlignment w:val="auto"/>
        <w:rPr>
          <w:rFonts w:hint="eastAsia" w:ascii="仿宋_GB2312" w:hAnsi="仿宋_GB2312" w:eastAsia="仿宋_GB2312" w:cs="仿宋_GB2312"/>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仿宋_GB2312" w:hAnsi="仿宋_GB2312" w:eastAsia="仿宋_GB2312" w:cs="仿宋_GB2312"/>
          <w:sz w:val="32"/>
          <w:szCs w:val="32"/>
          <w:lang w:val="en-US"/>
        </w:rPr>
        <w:sectPr>
          <w:footerReference r:id="rId3" w:type="default"/>
          <w:pgSz w:w="16838" w:h="11906" w:orient="landscape"/>
          <w:pgMar w:top="1587" w:right="2098" w:bottom="1474" w:left="1984" w:header="851" w:footer="992" w:gutter="0"/>
          <w:pgNumType w:fmt="decimal"/>
          <w:cols w:space="425" w:num="1"/>
          <w:docGrid w:type="lines" w:linePitch="312" w:charSpace="0"/>
        </w:sectPr>
      </w:pPr>
    </w:p>
    <w:p>
      <w:pPr>
        <w:pStyle w:val="5"/>
        <w:rPr>
          <w:rFonts w:hint="default"/>
          <w:lang w:val="en-US"/>
        </w:rPr>
      </w:pPr>
    </w:p>
    <w:p>
      <w:pPr>
        <w:rPr>
          <w:rFonts w:hint="default"/>
          <w:lang w:val="en-US"/>
        </w:rPr>
      </w:pPr>
    </w:p>
    <w:p>
      <w:pPr>
        <w:pStyle w:val="5"/>
        <w:rPr>
          <w:rFonts w:hint="default"/>
          <w:lang w:val="en-US"/>
        </w:rPr>
      </w:pPr>
    </w:p>
    <w:p>
      <w:pPr>
        <w:rPr>
          <w:rFonts w:hint="default"/>
          <w:lang w:val="en-US"/>
        </w:rPr>
      </w:pPr>
    </w:p>
    <w:p>
      <w:pPr>
        <w:pStyle w:val="5"/>
        <w:rPr>
          <w:rFonts w:hint="default"/>
          <w:lang w:val="en-US"/>
        </w:rPr>
      </w:pPr>
    </w:p>
    <w:p>
      <w:pPr>
        <w:rPr>
          <w:rFonts w:hint="default"/>
          <w:lang w:val="en-US"/>
        </w:rPr>
      </w:pPr>
    </w:p>
    <w:p>
      <w:pPr>
        <w:pStyle w:val="5"/>
        <w:rPr>
          <w:rFonts w:hint="default"/>
          <w:lang w:val="en-US"/>
        </w:rPr>
      </w:pPr>
    </w:p>
    <w:p>
      <w:pPr>
        <w:rPr>
          <w:rFonts w:hint="default"/>
          <w:lang w:val="en-US"/>
        </w:rPr>
      </w:pPr>
    </w:p>
    <w:p>
      <w:pPr>
        <w:pStyle w:val="5"/>
        <w:rPr>
          <w:rFonts w:hint="default"/>
          <w:lang w:val="en-US"/>
        </w:rPr>
      </w:pPr>
    </w:p>
    <w:p>
      <w:pPr>
        <w:rPr>
          <w:rFonts w:hint="default"/>
          <w:lang w:val="en-US"/>
        </w:rPr>
      </w:pPr>
    </w:p>
    <w:p>
      <w:pPr>
        <w:pStyle w:val="5"/>
        <w:rPr>
          <w:rFonts w:hint="default"/>
          <w:lang w:val="en-US"/>
        </w:rPr>
      </w:pPr>
    </w:p>
    <w:p>
      <w:pPr>
        <w:rPr>
          <w:rFonts w:hint="default"/>
          <w:lang w:val="en-US"/>
        </w:rPr>
      </w:pPr>
    </w:p>
    <w:p>
      <w:pPr>
        <w:pStyle w:val="5"/>
        <w:rPr>
          <w:rFonts w:hint="default"/>
          <w:lang w:val="en-US"/>
        </w:rPr>
      </w:pPr>
    </w:p>
    <w:p>
      <w:pPr>
        <w:rPr>
          <w:rFonts w:hint="default"/>
          <w:lang w:val="en-US"/>
        </w:rPr>
      </w:pPr>
    </w:p>
    <w:p>
      <w:pPr>
        <w:pStyle w:val="5"/>
        <w:rPr>
          <w:rFonts w:hint="default"/>
          <w:lang w:val="en-US"/>
        </w:rPr>
      </w:pPr>
    </w:p>
    <w:p>
      <w:pPr>
        <w:rPr>
          <w:rFonts w:hint="default"/>
          <w:lang w:val="en-US"/>
        </w:rPr>
      </w:pPr>
    </w:p>
    <w:p>
      <w:pPr>
        <w:pStyle w:val="5"/>
        <w:rPr>
          <w:rFonts w:hint="default"/>
          <w:lang w:val="en-US"/>
        </w:rPr>
      </w:pPr>
    </w:p>
    <w:p>
      <w:pPr>
        <w:rPr>
          <w:rFonts w:hint="default"/>
          <w:lang w:val="en-US"/>
        </w:rPr>
      </w:pPr>
    </w:p>
    <w:p>
      <w:pPr>
        <w:pStyle w:val="5"/>
        <w:rPr>
          <w:rFonts w:hint="default"/>
          <w:lang w:val="en-US"/>
        </w:rPr>
      </w:pPr>
    </w:p>
    <w:p>
      <w:pPr>
        <w:rPr>
          <w:rFonts w:hint="default"/>
          <w:lang w:val="en-US"/>
        </w:rPr>
      </w:pPr>
    </w:p>
    <w:p>
      <w:pPr>
        <w:pStyle w:val="5"/>
        <w:rPr>
          <w:rFonts w:hint="default"/>
          <w:lang w:val="en-US"/>
        </w:rPr>
      </w:pPr>
    </w:p>
    <w:p>
      <w:pPr>
        <w:rPr>
          <w:rFonts w:hint="default"/>
          <w:lang w:val="en-US"/>
        </w:rPr>
      </w:pPr>
    </w:p>
    <w:p>
      <w:pPr>
        <w:pStyle w:val="5"/>
        <w:rPr>
          <w:rFonts w:hint="default"/>
          <w:lang w:val="en-US"/>
        </w:rPr>
      </w:pPr>
    </w:p>
    <w:p>
      <w:pPr>
        <w:rPr>
          <w:rFonts w:hint="default"/>
          <w:lang w:val="en-US"/>
        </w:rPr>
      </w:pPr>
    </w:p>
    <w:p>
      <w:pPr>
        <w:pStyle w:val="5"/>
        <w:rPr>
          <w:rFonts w:hint="default"/>
          <w:lang w:val="en-US"/>
        </w:rPr>
      </w:pPr>
    </w:p>
    <w:p>
      <w:pPr>
        <w:rPr>
          <w:rFonts w:hint="default"/>
          <w:lang w:val="en-US"/>
        </w:rPr>
      </w:pPr>
    </w:p>
    <w:p>
      <w:pPr>
        <w:pStyle w:val="5"/>
        <w:rPr>
          <w:rFonts w:hint="default"/>
          <w:lang w:val="en-US"/>
        </w:rPr>
      </w:pPr>
    </w:p>
    <w:p>
      <w:pPr>
        <w:rPr>
          <w:rFonts w:hint="default"/>
          <w:lang w:val="en-US"/>
        </w:rPr>
      </w:pPr>
    </w:p>
    <w:p>
      <w:pPr>
        <w:rPr>
          <w:rFonts w:hint="default"/>
          <w:lang w:val="en-US"/>
        </w:rPr>
      </w:pPr>
    </w:p>
    <w:p>
      <w:pPr>
        <w:pStyle w:val="5"/>
        <w:rPr>
          <w:rFonts w:hint="default"/>
          <w:lang w:val="en-US"/>
        </w:rPr>
      </w:pPr>
    </w:p>
    <w:p>
      <w:pPr>
        <w:rPr>
          <w:rFonts w:hint="default"/>
          <w:lang w:val="en-US"/>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eastAsia="仿宋_GB2312" w:cs="Times New Roman"/>
          <w:sz w:val="32"/>
          <w:szCs w:val="32"/>
          <w:u w:val="thick"/>
        </w:rPr>
      </w:pPr>
      <w:r>
        <w:rPr>
          <w:rFonts w:hint="eastAsia" w:ascii="仿宋_GB2312" w:eastAsia="仿宋_GB2312" w:cs="Times New Roman"/>
          <w:sz w:val="32"/>
          <w:szCs w:val="32"/>
          <w:u w:val="thick"/>
        </w:rPr>
        <w:t xml:space="preserve">    </w:t>
      </w:r>
      <w:r>
        <w:rPr>
          <w:rFonts w:hint="eastAsia" w:ascii="仿宋_GB2312" w:eastAsia="仿宋_GB2312" w:cs="Times New Roman"/>
          <w:sz w:val="32"/>
          <w:szCs w:val="32"/>
          <w:u w:val="thick"/>
          <w:lang w:val="en-US" w:eastAsia="zh-CN"/>
        </w:rPr>
        <w:t xml:space="preserve"> </w:t>
      </w:r>
      <w:r>
        <w:rPr>
          <w:rFonts w:hint="eastAsia" w:ascii="仿宋_GB2312" w:eastAsia="仿宋_GB2312" w:cs="Times New Roman"/>
          <w:sz w:val="32"/>
          <w:szCs w:val="32"/>
          <w:u w:val="thick"/>
        </w:rPr>
        <w:t xml:space="preserve">                                                  </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仿宋_GB2312" w:hAnsi="仿宋_GB2312" w:eastAsia="仿宋_GB2312" w:cs="仿宋_GB2312"/>
          <w:sz w:val="32"/>
          <w:szCs w:val="32"/>
          <w:lang w:val="en-US"/>
        </w:rPr>
      </w:pPr>
      <w:r>
        <w:rPr>
          <w:rFonts w:hint="eastAsia" w:ascii="仿宋_GB2312" w:eastAsia="仿宋_GB2312" w:cs="Times New Roman"/>
          <w:sz w:val="28"/>
          <w:szCs w:val="28"/>
          <w:u w:val="thick"/>
        </w:rPr>
        <w:t xml:space="preserve">  文水县人民政府办公室                    20</w:t>
      </w:r>
      <w:r>
        <w:rPr>
          <w:rFonts w:hint="eastAsia" w:ascii="仿宋_GB2312" w:eastAsia="仿宋_GB2312" w:cs="Times New Roman"/>
          <w:sz w:val="28"/>
          <w:szCs w:val="28"/>
          <w:u w:val="thick"/>
          <w:lang w:val="en-US" w:eastAsia="zh-CN"/>
        </w:rPr>
        <w:t>21</w:t>
      </w:r>
      <w:r>
        <w:rPr>
          <w:rFonts w:hint="eastAsia" w:ascii="仿宋_GB2312" w:eastAsia="仿宋_GB2312" w:cs="Times New Roman"/>
          <w:sz w:val="28"/>
          <w:szCs w:val="28"/>
          <w:u w:val="thick"/>
        </w:rPr>
        <w:t>年</w:t>
      </w:r>
      <w:r>
        <w:rPr>
          <w:rFonts w:hint="eastAsia" w:ascii="仿宋_GB2312" w:eastAsia="仿宋_GB2312" w:cs="Times New Roman"/>
          <w:sz w:val="28"/>
          <w:szCs w:val="28"/>
          <w:u w:val="thick"/>
          <w:lang w:val="en-US" w:eastAsia="zh-CN"/>
        </w:rPr>
        <w:t>5</w:t>
      </w:r>
      <w:r>
        <w:rPr>
          <w:rFonts w:hint="eastAsia" w:ascii="仿宋_GB2312" w:eastAsia="仿宋_GB2312" w:cs="Times New Roman"/>
          <w:sz w:val="28"/>
          <w:szCs w:val="28"/>
          <w:u w:val="thick"/>
        </w:rPr>
        <w:t>月</w:t>
      </w:r>
      <w:r>
        <w:rPr>
          <w:rFonts w:hint="eastAsia" w:ascii="仿宋_GB2312" w:eastAsia="仿宋_GB2312" w:cs="Times New Roman"/>
          <w:sz w:val="28"/>
          <w:szCs w:val="28"/>
          <w:u w:val="thick"/>
          <w:lang w:val="en-US" w:eastAsia="zh-CN"/>
        </w:rPr>
        <w:t>8</w:t>
      </w:r>
      <w:r>
        <w:rPr>
          <w:rFonts w:hint="eastAsia" w:ascii="仿宋_GB2312" w:eastAsia="仿宋_GB2312" w:cs="Times New Roman"/>
          <w:sz w:val="28"/>
          <w:szCs w:val="28"/>
          <w:u w:val="thick"/>
        </w:rPr>
        <w:t>日印发</w:t>
      </w:r>
      <w:r>
        <w:rPr>
          <w:rFonts w:hint="eastAsia" w:ascii="仿宋_GB2312" w:eastAsia="仿宋_GB2312" w:cs="Times New Roman"/>
          <w:sz w:val="28"/>
          <w:szCs w:val="28"/>
          <w:u w:val="thick"/>
          <w:lang w:val="en-US" w:eastAsia="zh-CN"/>
        </w:rPr>
        <w:t xml:space="preserve">   </w:t>
      </w:r>
    </w:p>
    <w:sectPr>
      <w:footerReference r:id="rId4" w:type="default"/>
      <w:pgSz w:w="11906" w:h="16838"/>
      <w:pgMar w:top="2098" w:right="1474" w:bottom="1984" w:left="1587"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微软雅黑">
    <w:altName w:val="黑体"/>
    <w:panose1 w:val="020B0503020204020204"/>
    <w:charset w:val="86"/>
    <w:family w:val="auto"/>
    <w:pitch w:val="default"/>
    <w:sig w:usb0="00000000" w:usb1="0000000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EdcmWhMCAAATBAAADgAAAAAAAAABACAAAAA1AQAAZHJzL2Uyb0RvYy54bWxQSwUGAAAAAAYABgBZ&#10;AQAAugUAAAAA&#10;">
              <v:fill on="f" focussize="0,0"/>
              <v:stroke on="f" weight="0.5pt"/>
              <v:imagedata o:title=""/>
              <o:lock v:ext="edit" aspectratio="f"/>
              <v:textbox inset="0mm,0mm,0mm,0mm" style="mso-fit-shape-to-text:t;">
                <w:txbxContent>
                  <w:p>
                    <w:pPr>
                      <w:pStyle w:val="1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dit="readOnly"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ZmMWU4ZDI3MmQ5NzRiNTMzNmVlMTNkNDUzNGY0NmMifQ=="/>
    <w:docVar w:name="DocumentID" w:val="{765C3DF3-4D4E-4D16-930C-32BC7B498282}"/>
    <w:docVar w:name="DocumentName" w:val="文字文稿1"/>
  </w:docVars>
  <w:rsids>
    <w:rsidRoot w:val="720B35CE"/>
    <w:rsid w:val="02481EFE"/>
    <w:rsid w:val="041350DA"/>
    <w:rsid w:val="06177F03"/>
    <w:rsid w:val="094A08AD"/>
    <w:rsid w:val="0A864EAC"/>
    <w:rsid w:val="0A896A30"/>
    <w:rsid w:val="0C21524D"/>
    <w:rsid w:val="11D84431"/>
    <w:rsid w:val="127E6305"/>
    <w:rsid w:val="12EF37E0"/>
    <w:rsid w:val="13EB4F1B"/>
    <w:rsid w:val="145F4038"/>
    <w:rsid w:val="17045380"/>
    <w:rsid w:val="174E3148"/>
    <w:rsid w:val="17C82591"/>
    <w:rsid w:val="18262E56"/>
    <w:rsid w:val="188D5F0D"/>
    <w:rsid w:val="18E65685"/>
    <w:rsid w:val="20424538"/>
    <w:rsid w:val="20EE3503"/>
    <w:rsid w:val="21BD7C31"/>
    <w:rsid w:val="228573A3"/>
    <w:rsid w:val="232D5F59"/>
    <w:rsid w:val="24A14F37"/>
    <w:rsid w:val="24AC7783"/>
    <w:rsid w:val="25631C14"/>
    <w:rsid w:val="26763937"/>
    <w:rsid w:val="26FA6D05"/>
    <w:rsid w:val="271D1BDA"/>
    <w:rsid w:val="285604D8"/>
    <w:rsid w:val="287E5CB8"/>
    <w:rsid w:val="28D41552"/>
    <w:rsid w:val="29F9482B"/>
    <w:rsid w:val="2A047968"/>
    <w:rsid w:val="2A542508"/>
    <w:rsid w:val="2D1A0C7C"/>
    <w:rsid w:val="30B46377"/>
    <w:rsid w:val="31980E26"/>
    <w:rsid w:val="33B5523B"/>
    <w:rsid w:val="34CF4BEE"/>
    <w:rsid w:val="366F4930"/>
    <w:rsid w:val="37035877"/>
    <w:rsid w:val="37611E5A"/>
    <w:rsid w:val="390D2D9D"/>
    <w:rsid w:val="3AB137A9"/>
    <w:rsid w:val="3C771FCD"/>
    <w:rsid w:val="3D385C00"/>
    <w:rsid w:val="3E1C4427"/>
    <w:rsid w:val="3E1C72D0"/>
    <w:rsid w:val="3EEA5052"/>
    <w:rsid w:val="3F190645"/>
    <w:rsid w:val="40065C72"/>
    <w:rsid w:val="41087E7C"/>
    <w:rsid w:val="41B01688"/>
    <w:rsid w:val="43D45F57"/>
    <w:rsid w:val="446862FD"/>
    <w:rsid w:val="44D51300"/>
    <w:rsid w:val="462A606C"/>
    <w:rsid w:val="46C45225"/>
    <w:rsid w:val="47AA12ED"/>
    <w:rsid w:val="483D2D4F"/>
    <w:rsid w:val="48AC38CF"/>
    <w:rsid w:val="4C852557"/>
    <w:rsid w:val="4D5102BC"/>
    <w:rsid w:val="513B693A"/>
    <w:rsid w:val="522160D7"/>
    <w:rsid w:val="52884ADC"/>
    <w:rsid w:val="54FF4F8F"/>
    <w:rsid w:val="57C97AE9"/>
    <w:rsid w:val="5D753CA2"/>
    <w:rsid w:val="5F333D74"/>
    <w:rsid w:val="5F644832"/>
    <w:rsid w:val="5FD30F79"/>
    <w:rsid w:val="60C413D5"/>
    <w:rsid w:val="61D125F5"/>
    <w:rsid w:val="640661B3"/>
    <w:rsid w:val="65482D2A"/>
    <w:rsid w:val="67596EBF"/>
    <w:rsid w:val="6A11611B"/>
    <w:rsid w:val="6C9648AC"/>
    <w:rsid w:val="6D697014"/>
    <w:rsid w:val="6F947A05"/>
    <w:rsid w:val="70ED532F"/>
    <w:rsid w:val="720B35CE"/>
    <w:rsid w:val="73DF4F74"/>
    <w:rsid w:val="73FB34AB"/>
    <w:rsid w:val="747A5527"/>
    <w:rsid w:val="752B34A7"/>
    <w:rsid w:val="761F7D60"/>
    <w:rsid w:val="7725451E"/>
    <w:rsid w:val="7A472FA0"/>
    <w:rsid w:val="7BFE0875"/>
    <w:rsid w:val="7CCD3415"/>
    <w:rsid w:val="EF3B08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3"/>
    <w:next w:val="1"/>
    <w:qFormat/>
    <w:uiPriority w:val="0"/>
    <w:pPr>
      <w:tabs>
        <w:tab w:val="right" w:pos="8490"/>
      </w:tabs>
      <w:spacing w:beforeAutospacing="1" w:afterAutospacing="1"/>
      <w:jc w:val="left"/>
      <w:outlineLvl w:val="0"/>
    </w:pPr>
    <w:rPr>
      <w:rFonts w:ascii="宋体" w:hAnsi="宋体" w:eastAsia="宋体" w:cs="Times New Roman"/>
      <w:kern w:val="44"/>
      <w:sz w:val="48"/>
      <w:szCs w:val="48"/>
    </w:rPr>
  </w:style>
  <w:style w:type="paragraph" w:styleId="4">
    <w:name w:val="heading 2"/>
    <w:basedOn w:val="1"/>
    <w:next w:val="1"/>
    <w:link w:val="18"/>
    <w:qFormat/>
    <w:uiPriority w:val="0"/>
    <w:pPr>
      <w:keepNext/>
      <w:keepLines/>
      <w:widowControl w:val="0"/>
      <w:spacing w:line="413" w:lineRule="auto"/>
      <w:outlineLvl w:val="1"/>
    </w:pPr>
    <w:rPr>
      <w:rFonts w:ascii="Arial" w:hAnsi="Arial" w:eastAsia="黑体"/>
      <w:sz w:val="32"/>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3">
    <w:name w:val="Title"/>
    <w:basedOn w:val="1"/>
    <w:next w:val="1"/>
    <w:qFormat/>
    <w:uiPriority w:val="0"/>
    <w:pPr>
      <w:tabs>
        <w:tab w:val="right" w:pos="8490"/>
      </w:tabs>
      <w:spacing w:before="240" w:after="60"/>
      <w:jc w:val="center"/>
      <w:outlineLvl w:val="0"/>
    </w:pPr>
    <w:rPr>
      <w:rFonts w:ascii="Arial" w:hAnsi="Arial" w:eastAsia="宋体" w:cs="Arial"/>
      <w:b/>
      <w:bCs/>
      <w:snapToGrid w:val="0"/>
      <w:sz w:val="32"/>
      <w:szCs w:val="32"/>
    </w:rPr>
  </w:style>
  <w:style w:type="paragraph" w:styleId="5">
    <w:name w:val="toa heading"/>
    <w:next w:val="1"/>
    <w:qFormat/>
    <w:uiPriority w:val="0"/>
    <w:pPr>
      <w:widowControl w:val="0"/>
      <w:spacing w:before="120" w:beforeLines="0" w:beforeAutospacing="0"/>
      <w:jc w:val="both"/>
    </w:pPr>
    <w:rPr>
      <w:rFonts w:ascii="Arial" w:hAnsi="Arial" w:eastAsia="宋体" w:cs="Times New Roman"/>
      <w:kern w:val="2"/>
      <w:sz w:val="24"/>
      <w:szCs w:val="22"/>
      <w:lang w:val="en-US" w:eastAsia="zh-CN" w:bidi="ar-SA"/>
    </w:rPr>
  </w:style>
  <w:style w:type="paragraph" w:styleId="6">
    <w:name w:val="Body Text"/>
    <w:basedOn w:val="1"/>
    <w:unhideWhenUsed/>
    <w:qFormat/>
    <w:uiPriority w:val="0"/>
    <w:pPr>
      <w:spacing w:after="120"/>
    </w:pPr>
    <w:rPr>
      <w:kern w:val="0"/>
      <w:sz w:val="20"/>
    </w:rPr>
  </w:style>
  <w:style w:type="paragraph" w:styleId="7">
    <w:name w:val="Body Text Indent"/>
    <w:basedOn w:val="1"/>
    <w:next w:val="8"/>
    <w:qFormat/>
    <w:uiPriority w:val="0"/>
    <w:pPr>
      <w:spacing w:after="120"/>
      <w:ind w:left="200" w:leftChars="200"/>
    </w:p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Body Text Indent 2"/>
    <w:qFormat/>
    <w:uiPriority w:val="0"/>
    <w:pPr>
      <w:widowControl w:val="0"/>
      <w:spacing w:after="120" w:afterLines="0" w:afterAutospacing="0" w:line="480" w:lineRule="auto"/>
      <w:ind w:left="420" w:leftChars="200"/>
      <w:jc w:val="both"/>
    </w:pPr>
    <w:rPr>
      <w:rFonts w:asciiTheme="minorHAnsi" w:hAnsiTheme="minorHAnsi" w:eastAsiaTheme="minorEastAsia" w:cstheme="minorBidi"/>
      <w:kern w:val="2"/>
      <w:sz w:val="21"/>
      <w:szCs w:val="24"/>
      <w:lang w:val="en-US" w:eastAsia="zh-CN" w:bidi="ar-SA"/>
    </w:rPr>
  </w:style>
  <w:style w:type="paragraph" w:styleId="10">
    <w:name w:val="footer"/>
    <w:basedOn w:val="1"/>
    <w:unhideWhenUsed/>
    <w:qFormat/>
    <w:uiPriority w:val="99"/>
    <w:pPr>
      <w:tabs>
        <w:tab w:val="center" w:pos="4153"/>
        <w:tab w:val="right" w:pos="8306"/>
      </w:tabs>
      <w:snapToGrid w:val="0"/>
      <w:jc w:val="left"/>
    </w:pPr>
    <w:rPr>
      <w:sz w:val="18"/>
      <w:szCs w:val="18"/>
    </w:rPr>
  </w:style>
  <w:style w:type="paragraph" w:styleId="11">
    <w:name w:val="Normal (Web)"/>
    <w:basedOn w:val="1"/>
    <w:unhideWhenUsed/>
    <w:qFormat/>
    <w:uiPriority w:val="99"/>
    <w:pPr>
      <w:spacing w:before="100" w:beforeAutospacing="1" w:after="100" w:afterAutospacing="1"/>
    </w:pPr>
    <w:rPr>
      <w:rFonts w:ascii="宋体" w:hAnsi="宋体" w:eastAsia="宋体" w:cs="宋体"/>
      <w:sz w:val="24"/>
      <w:szCs w:val="24"/>
    </w:rPr>
  </w:style>
  <w:style w:type="paragraph" w:styleId="12">
    <w:name w:val="index 1"/>
    <w:basedOn w:val="1"/>
    <w:next w:val="1"/>
    <w:qFormat/>
    <w:uiPriority w:val="0"/>
    <w:rPr>
      <w:szCs w:val="20"/>
    </w:rPr>
  </w:style>
  <w:style w:type="paragraph" w:styleId="13">
    <w:name w:val="Body Text First Indent 2"/>
    <w:basedOn w:val="7"/>
    <w:next w:val="1"/>
    <w:qFormat/>
    <w:uiPriority w:val="0"/>
    <w:pPr>
      <w:spacing w:after="0"/>
      <w:ind w:firstLine="200" w:firstLineChars="200"/>
    </w:p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qFormat/>
    <w:uiPriority w:val="0"/>
    <w:rPr>
      <w:b/>
    </w:rPr>
  </w:style>
  <w:style w:type="character" w:customStyle="1" w:styleId="18">
    <w:name w:val="heading 2 Char"/>
    <w:basedOn w:val="16"/>
    <w:link w:val="4"/>
    <w:qFormat/>
    <w:uiPriority w:val="0"/>
    <w:rPr>
      <w:rFonts w:ascii="Arial" w:hAnsi="Arial" w:eastAsia="黑体"/>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9704</Words>
  <Characters>9751</Characters>
  <Lines>0</Lines>
  <Paragraphs>0</Paragraphs>
  <TotalTime>10</TotalTime>
  <ScaleCrop>false</ScaleCrop>
  <LinksUpToDate>false</LinksUpToDate>
  <CharactersWithSpaces>9756</CharactersWithSpaces>
  <Application>WPS Office_11.8.2.9339_F1E327BC-269C-435d-A152-05C5408002CA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2022-05-25T22:28:00Z</dcterms:created>
  <dc:creator>文水县政府办公室主任（齐树亮）</dc:creator>
  <cp:lastModifiedBy>greatwall</cp:lastModifiedBy>
  <cp:lastPrinted>2025-05-16T10:38:00Z</cp:lastPrinted>
  <dcterms:modified xsi:type="dcterms:W3CDTF">2025-06-18T17:28:15Z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2052-11.8.2.9339</vt:lpwstr>
  </property>
  <property fmtid="{D5CDD505-2E9C-101B-9397-08002B2CF9AE}" pid="3" name="ICV">
    <vt:lpwstr>AF0FA04DAD694C32A5A5355B64D74EAE_13</vt:lpwstr>
  </property>
  <property fmtid="{D5CDD505-2E9C-101B-9397-08002B2CF9AE}" pid="4" name="KSOTemplateDocerSaveRecord">
    <vt:lpwstr>eyJoZGlkIjoiYzQ4ZjE0ZjVmNWY4NmQ4MWFhMjhkZjEzYjUwNDM5ZTUiLCJ1c2VySWQiOiIxNjE2NjkwNzg2In0=</vt:lpwstr>
  </property>
</Properties>
</file>