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line="550" w:lineRule="exact"/>
        <w:ind w:left="0" w:leftChars="0" w:right="0" w:rightChars="0"/>
        <w:jc w:val="both"/>
        <w:textAlignment w:val="auto"/>
        <w:outlineLvl w:val="9"/>
        <w:rPr>
          <w:rFonts w:hint="eastAsia" w:ascii="黑体" w:hAnsi="黑体" w:eastAsia="黑体" w:cs="黑体"/>
          <w:color w:val="000000"/>
          <w:kern w:val="2"/>
          <w:sz w:val="32"/>
          <w:szCs w:val="32"/>
          <w:lang w:val="en-US" w:eastAsia="zh-CN" w:bidi="ar-SA"/>
        </w:rPr>
      </w:pPr>
      <w:r>
        <w:rPr>
          <w:sz w:val="32"/>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-431800</wp:posOffset>
                </wp:positionV>
                <wp:extent cx="1183640" cy="475615"/>
                <wp:effectExtent l="0" t="0" r="16510" b="635"/>
                <wp:wrapNone/>
                <wp:docPr id="1" name="文本框 1"/>
                <wp:cNvGraphicFramePr/>
                <a:graphic xmlns:a="http://schemas.openxmlformats.org/drawingml/2006/main">
                  <a:graphicData uri="http://schemas.microsoft.com/office/word/2010/wordprocessingShape">
                    <wps:wsp>
                      <wps:cNvSpPr txBox="1"/>
                      <wps:spPr>
                        <a:xfrm>
                          <a:off x="0" y="0"/>
                          <a:ext cx="1183640" cy="475615"/>
                        </a:xfrm>
                        <a:prstGeom prst="rect">
                          <a:avLst/>
                        </a:prstGeom>
                        <a:solidFill>
                          <a:srgbClr val="FFFFFF"/>
                        </a:solidFill>
                        <a:ln>
                          <a:noFill/>
                        </a:ln>
                      </wps:spPr>
                      <wps:txbx>
                        <w:txbxContent>
                          <w:p>
                            <w:r>
                              <w:rPr>
                                <w:rFonts w:hint="eastAsia" w:ascii="黑体" w:hAnsi="黑体" w:eastAsia="黑体" w:cs="黑体"/>
                                <w:color w:val="000000"/>
                                <w:kern w:val="2"/>
                                <w:sz w:val="32"/>
                                <w:szCs w:val="32"/>
                                <w:lang w:val="en-US" w:eastAsia="zh-CN" w:bidi="ar-SA"/>
                              </w:rPr>
                              <w:t>附件2</w:t>
                            </w:r>
                          </w:p>
                        </w:txbxContent>
                      </wps:txbx>
                      <wps:bodyPr upright="1"/>
                    </wps:wsp>
                  </a:graphicData>
                </a:graphic>
              </wp:anchor>
            </w:drawing>
          </mc:Choice>
          <mc:Fallback>
            <w:pict>
              <v:shape id="_x0000_s1026" o:spid="_x0000_s1026" o:spt="202" type="#_x0000_t202" style="position:absolute;left:0pt;margin-left:-8.1pt;margin-top:-34pt;height:37.45pt;width:93.2pt;z-index:251659264;mso-width-relative:page;mso-height-relative:page;" fillcolor="#FFFFFF" filled="t" stroked="f" coordsize="21600,21600" o:gfxdata="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SD/3tYAAAAJAQAADwAAAAAAAAABACAAAAAiAAAAZHJzL2Rvd25yZXYueG1sUEsB&#10;AhQAFAAAAAgAh07iQH7u5KO+AQAAdwMAAA4AAAAAAAAAAQAgAAAAJQEAAGRycy9lMm9Eb2MueG1s&#10;UEsFBgAAAAAGAAYAWQEAAFUFAAAAAA==&#10;">
                <v:path/>
                <v:fill on="t" focussize="0,0"/>
                <v:stroke on="f"/>
                <v:imagedata o:title=""/>
                <o:lock v:ext="edit" aspectratio="f"/>
                <v:textbox>
                  <w:txbxContent>
                    <w:p>
                      <w:r>
                        <w:rPr>
                          <w:rFonts w:hint="eastAsia" w:ascii="黑体" w:hAnsi="黑体" w:eastAsia="黑体" w:cs="黑体"/>
                          <w:color w:val="000000"/>
                          <w:kern w:val="2"/>
                          <w:sz w:val="32"/>
                          <w:szCs w:val="32"/>
                          <w:lang w:val="en-US" w:eastAsia="zh-CN" w:bidi="ar-SA"/>
                        </w:rPr>
                        <w:t>附件2</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jc w:val="center"/>
        <w:textAlignment w:val="auto"/>
        <w:outlineLvl w:val="9"/>
        <w:rPr>
          <w:rFonts w:hint="eastAsia" w:asciiTheme="majorEastAsia" w:hAnsiTheme="majorEastAsia" w:eastAsiaTheme="majorEastAsia" w:cstheme="majorEastAsia"/>
          <w:color w:val="000000"/>
          <w:sz w:val="44"/>
          <w:szCs w:val="44"/>
          <w:highlight w:val="none"/>
          <w:lang w:eastAsia="zh-CN"/>
        </w:rPr>
      </w:pPr>
      <w:r>
        <w:rPr>
          <w:rFonts w:hint="eastAsia" w:asciiTheme="majorEastAsia" w:hAnsiTheme="majorEastAsia" w:eastAsiaTheme="majorEastAsia" w:cstheme="majorEastAsia"/>
          <w:color w:val="000000"/>
          <w:sz w:val="44"/>
          <w:szCs w:val="44"/>
          <w:highlight w:val="none"/>
          <w:lang w:val="en-US" w:eastAsia="zh-CN"/>
        </w:rPr>
        <w:t>露天煤矿</w:t>
      </w:r>
      <w:r>
        <w:rPr>
          <w:rFonts w:hint="eastAsia" w:asciiTheme="majorEastAsia" w:hAnsiTheme="majorEastAsia" w:eastAsiaTheme="majorEastAsia" w:cstheme="majorEastAsia"/>
          <w:color w:val="000000"/>
          <w:sz w:val="44"/>
          <w:szCs w:val="44"/>
          <w:highlight w:val="none"/>
        </w:rPr>
        <w:t>防治水</w:t>
      </w:r>
      <w:r>
        <w:rPr>
          <w:rFonts w:hint="eastAsia" w:asciiTheme="majorEastAsia" w:hAnsiTheme="majorEastAsia" w:eastAsiaTheme="majorEastAsia" w:cstheme="majorEastAsia"/>
          <w:color w:val="000000"/>
          <w:sz w:val="44"/>
          <w:szCs w:val="44"/>
          <w:highlight w:val="none"/>
          <w:lang w:eastAsia="zh-CN"/>
        </w:rPr>
        <w:t>“</w:t>
      </w:r>
      <w:r>
        <w:rPr>
          <w:rFonts w:hint="eastAsia" w:asciiTheme="majorEastAsia" w:hAnsiTheme="majorEastAsia" w:eastAsiaTheme="majorEastAsia" w:cstheme="majorEastAsia"/>
          <w:color w:val="000000"/>
          <w:sz w:val="44"/>
          <w:szCs w:val="44"/>
          <w:highlight w:val="none"/>
          <w:lang w:val="en-US" w:eastAsia="zh-CN"/>
        </w:rPr>
        <w:t>三区</w:t>
      </w:r>
      <w:r>
        <w:rPr>
          <w:rFonts w:hint="eastAsia" w:asciiTheme="majorEastAsia" w:hAnsiTheme="majorEastAsia" w:eastAsiaTheme="majorEastAsia" w:cstheme="majorEastAsia"/>
          <w:color w:val="000000"/>
          <w:sz w:val="44"/>
          <w:szCs w:val="44"/>
          <w:highlight w:val="none"/>
          <w:lang w:eastAsia="zh-CN"/>
        </w:rPr>
        <w:t>”</w:t>
      </w:r>
      <w:r>
        <w:rPr>
          <w:rFonts w:hint="eastAsia" w:asciiTheme="majorEastAsia" w:hAnsiTheme="majorEastAsia" w:eastAsiaTheme="majorEastAsia" w:cstheme="majorEastAsia"/>
          <w:color w:val="000000"/>
          <w:sz w:val="44"/>
          <w:szCs w:val="44"/>
          <w:highlight w:val="none"/>
        </w:rPr>
        <w:t>管理报告</w:t>
      </w:r>
      <w:r>
        <w:rPr>
          <w:rFonts w:hint="eastAsia" w:asciiTheme="majorEastAsia" w:hAnsiTheme="majorEastAsia" w:eastAsiaTheme="majorEastAsia" w:cstheme="majorEastAsia"/>
          <w:color w:val="000000"/>
          <w:sz w:val="44"/>
          <w:szCs w:val="44"/>
          <w:highlight w:val="none"/>
          <w:lang w:val="en-US" w:eastAsia="zh-CN"/>
        </w:rPr>
        <w:t>编制</w:t>
      </w:r>
      <w:r>
        <w:rPr>
          <w:rFonts w:hint="eastAsia" w:asciiTheme="majorEastAsia" w:hAnsiTheme="majorEastAsia" w:eastAsiaTheme="majorEastAsia" w:cstheme="majorEastAsia"/>
          <w:color w:val="000000"/>
          <w:sz w:val="44"/>
          <w:szCs w:val="44"/>
          <w:highlight w:val="none"/>
        </w:rPr>
        <w:t>提纲</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textAlignment w:val="auto"/>
        <w:outlineLvl w:val="9"/>
        <w:rPr>
          <w:rFonts w:hint="eastAsia" w:ascii="宋体" w:hAnsi="宋体" w:cs="新宋体"/>
          <w:color w:val="000000"/>
          <w:kern w:val="0"/>
          <w:sz w:val="24"/>
          <w:highlight w:val="none"/>
        </w:rPr>
      </w:pPr>
      <w:r>
        <w:rPr>
          <w:rFonts w:hint="eastAsia" w:ascii="宋体" w:hAnsi="宋体" w:cs="新宋体"/>
          <w:color w:val="000000"/>
          <w:kern w:val="0"/>
          <w:sz w:val="24"/>
          <w:highlight w:val="none"/>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前言</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简要叙述编制本报告的目的、任务、编制依据。</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1.煤矿概况</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1.1煤矿基本情况</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简述煤矿采矿许可证、安全生产许可证、生产能力核定或生产要素公告的井田范围、批采煤层、批采标高、有效期等。</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简述煤矿位置，所在行政辖区，自然地理，地形地貌，水文气象，交通概况，四邻关系。附交通位置图、四邻关系示意图。</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1.2煤矿生产建设概况</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煤矿生产建设历史（包括历次资源整合前后的开采情况）、现状和煤矿整体开采设计。</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1.3煤矿以往地质及水文地质工作</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简述以往地质调查和钻探、水文地质调查和钻探、物探工作开展情况；简述煤矿各类地质及水文地质报告编制情况。详细叙述煤矿生产建设中防排水设施情况，涌水量观测情况及开展的疏干排水工程。</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b/>
          <w:bCs/>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2.地质及水文地质概况</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2.1煤矿地质</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2.1.1地层</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由老到新简述井田内地层情况（无需叙述区域地层）。</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2.1.2地质构造及陷落柱</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详细叙述井田内地质构造、陷落柱发育情况。（附构造纲要示意图及陷落柱分布图，无需叙述区域构造）。</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2.2可采煤层</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简述各可采煤层特征，包括煤层分叉合并、尖灭、冲刷带发育情况（附煤层等厚线图，无需叙述煤质特征）。</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2.3煤矿水文地质</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简述井田所处水文地质单元的位置（补给区、径流区、排泄区）。</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简述井田内的主要含水层、隔水层，分析各含水层之间的水力联系，地下水的补径排条件。</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3.煤矿水患分析及评价</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3.1充水水源</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3.1.1地表水</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详细叙述地表河流所在的流域，河流、湖泊、水库、水塘、泄洪渠、塌陷坑积水在井田的分布发育特征（长度、宽度、容量、流量、历史最高洪水位标高、排泄情况等），</w:t>
      </w:r>
      <w:r>
        <w:rPr>
          <w:rFonts w:hint="eastAsia" w:ascii="仿宋_GB2312" w:hAnsi="仿宋_GB2312" w:eastAsia="仿宋_GB2312" w:cs="仿宋_GB2312"/>
          <w:color w:val="000000"/>
          <w:kern w:val="0"/>
          <w:sz w:val="32"/>
          <w:szCs w:val="32"/>
          <w:lang w:val="en-US" w:eastAsia="zh-CN"/>
        </w:rPr>
        <w:t>说明</w:t>
      </w:r>
      <w:r>
        <w:rPr>
          <w:rFonts w:hint="eastAsia" w:ascii="仿宋_GB2312" w:hAnsi="仿宋_GB2312" w:eastAsia="仿宋_GB2312" w:cs="仿宋_GB2312"/>
          <w:color w:val="000000"/>
          <w:kern w:val="0"/>
          <w:sz w:val="32"/>
          <w:szCs w:val="32"/>
          <w:highlight w:val="none"/>
          <w:lang w:val="en-US" w:eastAsia="zh-CN"/>
        </w:rPr>
        <w:t>大气降水对煤矿开采的影响</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highlight w:val="none"/>
          <w:lang w:val="en-US" w:eastAsia="zh-CN"/>
        </w:rPr>
        <w:t>露天矿工业广场、各种设施及采场与当地历史最高洪水位的关系及影响。对</w:t>
      </w:r>
      <w:r>
        <w:rPr>
          <w:rFonts w:hint="eastAsia" w:ascii="仿宋_GB2312" w:hAnsi="仿宋_GB2312" w:eastAsia="仿宋_GB2312" w:cs="仿宋_GB2312"/>
          <w:color w:val="000000"/>
          <w:kern w:val="0"/>
          <w:sz w:val="32"/>
          <w:szCs w:val="32"/>
          <w:highlight w:val="none"/>
        </w:rPr>
        <w:t>地表水和降水可能对</w:t>
      </w:r>
      <w:r>
        <w:rPr>
          <w:rFonts w:hint="eastAsia" w:ascii="仿宋_GB2312" w:hAnsi="仿宋_GB2312" w:eastAsia="仿宋_GB2312" w:cs="仿宋_GB2312"/>
          <w:color w:val="000000"/>
          <w:kern w:val="0"/>
          <w:sz w:val="32"/>
          <w:szCs w:val="32"/>
          <w:highlight w:val="none"/>
          <w:lang w:val="en-US" w:eastAsia="zh-CN"/>
        </w:rPr>
        <w:t>边坡</w:t>
      </w:r>
      <w:r>
        <w:rPr>
          <w:rFonts w:hint="eastAsia" w:ascii="仿宋_GB2312" w:hAnsi="仿宋_GB2312" w:eastAsia="仿宋_GB2312" w:cs="仿宋_GB2312"/>
          <w:color w:val="000000"/>
          <w:kern w:val="0"/>
          <w:sz w:val="32"/>
          <w:szCs w:val="32"/>
          <w:highlight w:val="none"/>
        </w:rPr>
        <w:t>、工业广场、采场等区域造成的危害进行风险评估。</w:t>
      </w:r>
      <w:r>
        <w:rPr>
          <w:rFonts w:hint="eastAsia" w:ascii="仿宋_GB2312" w:hAnsi="仿宋_GB2312" w:eastAsia="仿宋_GB2312" w:cs="仿宋_GB2312"/>
          <w:color w:val="000000"/>
          <w:kern w:val="0"/>
          <w:sz w:val="32"/>
          <w:szCs w:val="32"/>
          <w:highlight w:val="none"/>
          <w:lang w:val="en-US" w:eastAsia="zh-CN"/>
        </w:rPr>
        <w:t>附井田地表水系图。</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地表是否存在泥石流、滑坡等地质灾害，并说明其具体位置、范围、规模、影响程度等。</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 xml:space="preserve">    3.1.2顶板水</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叙述开采煤层与上覆含水层的距离，含水层的厚度、水文参数（q、k）、水化学类型等。明确开采煤层顶板是否存在强含水层和松散层水（或煤层风氧化带、煤层露头）等水害的威胁。</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3.1.3底板水</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收集、整理、综合分析以往勘探资料，要说明勘查程度和带压安全性评价。已经治理过的详细叙述治理范围、过程、评价结果。已经确定治理方案的，叙述治理设计。附煤层底板隔水层等厚线图、富水性分区图。</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3.1.4老空水</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highlight w:val="none"/>
          <w:lang w:val="en-US" w:eastAsia="zh-CN"/>
        </w:rPr>
        <w:t>叙述井田及周边煤矿（200m范围内）采（古）空积水的位置、范围、积水面积、积水量、积水标高、形成时间等，特别是有越界开采的情况要详细叙述。老空水查明程度及对煤矿生产建设威胁程度的结论要明确、依据要充分。</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3.1.5构造水</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lang w:val="en-US" w:eastAsia="zh-CN"/>
        </w:rPr>
        <w:t>根据井田地质构造、陷落柱、溶洞等发育规律，重点阐述其富水性、含水性，</w:t>
      </w:r>
      <w:r>
        <w:rPr>
          <w:rFonts w:hint="eastAsia" w:ascii="仿宋_GB2312" w:hAnsi="仿宋_GB2312" w:eastAsia="仿宋_GB2312" w:cs="仿宋_GB2312"/>
          <w:color w:val="000000"/>
          <w:kern w:val="0"/>
          <w:sz w:val="32"/>
          <w:szCs w:val="32"/>
          <w:highlight w:val="none"/>
        </w:rPr>
        <w:t>说明</w:t>
      </w:r>
      <w:r>
        <w:rPr>
          <w:rFonts w:hint="eastAsia" w:ascii="仿宋_GB2312" w:hAnsi="仿宋_GB2312" w:eastAsia="仿宋_GB2312" w:cs="仿宋_GB2312"/>
          <w:color w:val="000000"/>
          <w:kern w:val="0"/>
          <w:sz w:val="32"/>
          <w:szCs w:val="32"/>
          <w:highlight w:val="none"/>
          <w:lang w:val="en-US" w:eastAsia="zh-CN"/>
        </w:rPr>
        <w:t>其对露天煤矿的充水作用</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叙述本矿及周边煤矿曾发生的构造导通下伏承压含水层水造成突水的情况，或已在带压区域开采而构造未导通承压含水层水的情况。附相关插图。</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3.2充水通道</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详细叙述井田内导水裂隙带、断层、裂隙、陷落柱、废弃井筒、封闭不良钻孔等。附导水裂隙带发育高度示意图。</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3.3煤矿水患</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明确煤矿的主要水害隐患。</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4.防治水“三区”划分</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4.1露天煤矿防治水“三区”划分标准</w:t>
      </w:r>
    </w:p>
    <w:p>
      <w:pPr>
        <w:pStyle w:val="2"/>
        <w:jc w:val="center"/>
        <w:rPr>
          <w:rFonts w:hint="eastAsia" w:ascii="方正小标宋简体" w:hAnsi="方正小标宋简体" w:eastAsia="方正小标宋简体" w:cs="方正小标宋简体"/>
          <w:color w:val="000000"/>
          <w:kern w:val="0"/>
          <w:sz w:val="32"/>
          <w:szCs w:val="32"/>
          <w:highlight w:val="none"/>
          <w:lang w:val="en-US" w:eastAsia="zh-CN"/>
        </w:rPr>
      </w:pPr>
      <w:r>
        <w:rPr>
          <w:rFonts w:hint="eastAsia" w:ascii="方正小标宋简体" w:hAnsi="方正小标宋简体" w:eastAsia="方正小标宋简体" w:cs="方正小标宋简体"/>
          <w:color w:val="000000"/>
          <w:kern w:val="0"/>
          <w:sz w:val="32"/>
          <w:szCs w:val="32"/>
          <w:highlight w:val="none"/>
          <w:lang w:val="en-US" w:eastAsia="zh-CN"/>
        </w:rPr>
        <w:t>露天煤矿防治水“三区”划分标准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59"/>
        <w:gridCol w:w="2460"/>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7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黑体" w:hAnsi="黑体" w:eastAsia="黑体" w:cs="黑体"/>
                <w:color w:val="000000"/>
                <w:kern w:val="0"/>
                <w:sz w:val="15"/>
                <w:szCs w:val="15"/>
                <w:highlight w:val="none"/>
                <w:vertAlign w:val="baseline"/>
                <w:lang w:val="en-US" w:eastAsia="zh-CN"/>
              </w:rPr>
            </w:pPr>
            <w:r>
              <w:rPr>
                <w:rFonts w:hint="eastAsia" w:ascii="黑体" w:hAnsi="黑体" w:eastAsia="黑体" w:cs="黑体"/>
                <w:color w:val="000000"/>
                <w:kern w:val="0"/>
                <w:sz w:val="15"/>
                <w:szCs w:val="15"/>
                <w:highlight w:val="none"/>
                <w:vertAlign w:val="baseline"/>
                <w:lang w:val="en-US" w:eastAsia="zh-CN"/>
              </w:rPr>
              <w:t>水患</w:t>
            </w:r>
          </w:p>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黑体" w:hAnsi="黑体" w:eastAsia="黑体" w:cs="黑体"/>
                <w:color w:val="000000"/>
                <w:kern w:val="0"/>
                <w:sz w:val="15"/>
                <w:szCs w:val="15"/>
                <w:highlight w:val="none"/>
                <w:vertAlign w:val="baseline"/>
                <w:lang w:val="en-US" w:eastAsia="zh-CN"/>
              </w:rPr>
            </w:pPr>
            <w:r>
              <w:rPr>
                <w:rFonts w:hint="eastAsia" w:ascii="黑体" w:hAnsi="黑体" w:eastAsia="黑体" w:cs="黑体"/>
                <w:color w:val="000000"/>
                <w:kern w:val="0"/>
                <w:sz w:val="15"/>
                <w:szCs w:val="15"/>
                <w:highlight w:val="none"/>
                <w:vertAlign w:val="baseline"/>
                <w:lang w:val="en-US" w:eastAsia="zh-CN"/>
              </w:rPr>
              <w:t>类型</w:t>
            </w:r>
          </w:p>
        </w:tc>
        <w:tc>
          <w:tcPr>
            <w:tcW w:w="2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黑体" w:hAnsi="黑体" w:eastAsia="黑体" w:cs="黑体"/>
                <w:color w:val="000000"/>
                <w:kern w:val="0"/>
                <w:sz w:val="15"/>
                <w:szCs w:val="15"/>
                <w:highlight w:val="none"/>
                <w:vertAlign w:val="baseline"/>
                <w:lang w:val="en-US" w:eastAsia="zh-CN"/>
              </w:rPr>
            </w:pPr>
            <w:r>
              <w:rPr>
                <w:rFonts w:hint="eastAsia" w:ascii="黑体" w:hAnsi="黑体" w:eastAsia="黑体" w:cs="黑体"/>
                <w:color w:val="000000"/>
                <w:kern w:val="0"/>
                <w:sz w:val="15"/>
                <w:szCs w:val="15"/>
                <w:highlight w:val="none"/>
                <w:vertAlign w:val="baseline"/>
                <w:lang w:val="en-US" w:eastAsia="zh-CN"/>
              </w:rPr>
              <w:t>可采区</w:t>
            </w:r>
          </w:p>
        </w:tc>
        <w:tc>
          <w:tcPr>
            <w:tcW w:w="2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黑体" w:hAnsi="黑体" w:eastAsia="黑体" w:cs="黑体"/>
                <w:color w:val="000000"/>
                <w:kern w:val="0"/>
                <w:sz w:val="15"/>
                <w:szCs w:val="15"/>
                <w:highlight w:val="none"/>
                <w:vertAlign w:val="baseline"/>
                <w:lang w:val="en-US" w:eastAsia="zh-CN"/>
              </w:rPr>
            </w:pPr>
            <w:r>
              <w:rPr>
                <w:rFonts w:hint="eastAsia" w:ascii="黑体" w:hAnsi="黑体" w:eastAsia="黑体" w:cs="黑体"/>
                <w:color w:val="000000"/>
                <w:kern w:val="0"/>
                <w:sz w:val="15"/>
                <w:szCs w:val="15"/>
                <w:highlight w:val="none"/>
                <w:vertAlign w:val="baseline"/>
                <w:lang w:val="en-US" w:eastAsia="zh-CN"/>
              </w:rPr>
              <w:t>缓采区</w:t>
            </w:r>
          </w:p>
        </w:tc>
        <w:tc>
          <w:tcPr>
            <w:tcW w:w="2686"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黑体" w:hAnsi="黑体" w:eastAsia="黑体" w:cs="黑体"/>
                <w:color w:val="000000"/>
                <w:kern w:val="0"/>
                <w:sz w:val="15"/>
                <w:szCs w:val="15"/>
                <w:highlight w:val="none"/>
                <w:vertAlign w:val="baseline"/>
                <w:lang w:val="en-US" w:eastAsia="zh-CN"/>
              </w:rPr>
            </w:pPr>
            <w:r>
              <w:rPr>
                <w:rFonts w:hint="eastAsia" w:ascii="黑体" w:hAnsi="黑体" w:eastAsia="黑体" w:cs="黑体"/>
                <w:color w:val="000000"/>
                <w:kern w:val="0"/>
                <w:sz w:val="15"/>
                <w:szCs w:val="15"/>
                <w:highlight w:val="none"/>
                <w:vertAlign w:val="baseline"/>
                <w:lang w:val="en-US" w:eastAsia="zh-CN"/>
              </w:rPr>
              <w:t>禁采区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jc w:val="center"/>
        </w:trPr>
        <w:tc>
          <w:tcPr>
            <w:tcW w:w="7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default"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地表水威胁区域</w:t>
            </w:r>
          </w:p>
        </w:tc>
        <w:tc>
          <w:tcPr>
            <w:tcW w:w="2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u w:val="none"/>
                <w:vertAlign w:val="baseline"/>
                <w:lang w:val="en-US" w:eastAsia="zh-CN"/>
              </w:rPr>
            </w:pPr>
            <w:r>
              <w:rPr>
                <w:rFonts w:hint="eastAsia" w:ascii="仿宋" w:hAnsi="仿宋" w:eastAsia="仿宋" w:cs="仿宋"/>
                <w:color w:val="000000"/>
                <w:kern w:val="0"/>
                <w:sz w:val="15"/>
                <w:szCs w:val="15"/>
                <w:highlight w:val="none"/>
                <w:u w:val="none"/>
                <w:vertAlign w:val="baseline"/>
                <w:lang w:val="en-US" w:eastAsia="zh-CN"/>
              </w:rPr>
              <w:t>同时满足以下条件：</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（一）露天矿工业广场、各种设施标高高于当地历史最高洪水位，或者低于最高洪水位但采取了可靠的防御洪水措施；</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（二）开采影响范围内不存在河流、湖泊、水库、塌陷积水区等地表水体，或者存在地表水体但已采取措施消除威胁的；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（三）不受洪水、泥石流、滑坡等威胁的；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default"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（四）</w:t>
            </w:r>
            <w:r>
              <w:rPr>
                <w:rFonts w:hint="default" w:ascii="仿宋" w:hAnsi="仿宋" w:eastAsia="仿宋" w:cs="仿宋"/>
                <w:color w:val="000000"/>
                <w:kern w:val="0"/>
                <w:sz w:val="15"/>
                <w:szCs w:val="15"/>
                <w:highlight w:val="none"/>
                <w:vertAlign w:val="baseline"/>
                <w:lang w:val="en-US" w:eastAsia="zh-CN"/>
              </w:rPr>
              <w:t>开采浅埋深煤层或者急倾斜煤层</w:t>
            </w:r>
            <w:r>
              <w:rPr>
                <w:rFonts w:hint="eastAsia" w:ascii="仿宋" w:hAnsi="仿宋" w:eastAsia="仿宋" w:cs="仿宋"/>
                <w:color w:val="000000"/>
                <w:kern w:val="0"/>
                <w:sz w:val="15"/>
                <w:szCs w:val="15"/>
                <w:highlight w:val="none"/>
                <w:vertAlign w:val="baseline"/>
                <w:lang w:val="en-US" w:eastAsia="zh-CN"/>
              </w:rPr>
              <w:t>煤矿</w:t>
            </w:r>
            <w:r>
              <w:rPr>
                <w:rFonts w:hint="default" w:ascii="仿宋" w:hAnsi="仿宋" w:eastAsia="仿宋" w:cs="仿宋"/>
                <w:color w:val="000000"/>
                <w:kern w:val="0"/>
                <w:sz w:val="15"/>
                <w:szCs w:val="15"/>
                <w:highlight w:val="none"/>
                <w:vertAlign w:val="baseline"/>
                <w:lang w:val="en-US" w:eastAsia="zh-CN"/>
              </w:rPr>
              <w:t>采取了防止季节性地表积水、洪水溃入</w:t>
            </w:r>
            <w:r>
              <w:rPr>
                <w:rFonts w:hint="eastAsia" w:ascii="仿宋" w:hAnsi="仿宋" w:eastAsia="仿宋" w:cs="仿宋"/>
                <w:color w:val="000000"/>
                <w:kern w:val="0"/>
                <w:sz w:val="15"/>
                <w:szCs w:val="15"/>
                <w:highlight w:val="none"/>
                <w:vertAlign w:val="baseline"/>
                <w:lang w:val="en-US" w:eastAsia="zh-CN"/>
              </w:rPr>
              <w:t>矿坑</w:t>
            </w:r>
            <w:r>
              <w:rPr>
                <w:rFonts w:hint="default" w:ascii="仿宋" w:hAnsi="仿宋" w:eastAsia="仿宋" w:cs="仿宋"/>
                <w:color w:val="000000"/>
                <w:kern w:val="0"/>
                <w:sz w:val="15"/>
                <w:szCs w:val="15"/>
                <w:highlight w:val="none"/>
                <w:vertAlign w:val="baseline"/>
                <w:lang w:val="en-US" w:eastAsia="zh-CN"/>
              </w:rPr>
              <w:t>措施的</w:t>
            </w:r>
            <w:r>
              <w:rPr>
                <w:rFonts w:hint="eastAsia" w:ascii="仿宋" w:hAnsi="仿宋" w:eastAsia="仿宋" w:cs="仿宋"/>
                <w:color w:val="000000"/>
                <w:kern w:val="0"/>
                <w:sz w:val="15"/>
                <w:szCs w:val="15"/>
                <w:highlight w:val="none"/>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（五）地表水和降水对边坡、工业广场、采场等区域无威胁或有威胁的已采取有效的防治措施。</w:t>
            </w:r>
          </w:p>
        </w:tc>
        <w:tc>
          <w:tcPr>
            <w:tcW w:w="2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（一）开采影响范围内存在河流、湖泊、水库、塌陷积水区等地表水体，对开采存在水害威胁的；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（二）受洪水、泥石流、滑坡等威胁未采取有效措施的。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default"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（三）地表水和降水对边坡、工业广场、采场等区域有威胁未采取有效的防治措施。</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p>
        </w:tc>
        <w:tc>
          <w:tcPr>
            <w:tcW w:w="268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default"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根据露天矿实际，划分禁采区上部岩土平盘可能仍需剥离，故不建议露天矿划分禁采区。如确存在现有技术水平无法开采区域，划入禁采区。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7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vertAlign w:val="baseline"/>
                <w:lang w:val="en-US" w:eastAsia="zh-CN"/>
              </w:rPr>
              <w:t>顶板水威胁区域</w:t>
            </w:r>
          </w:p>
        </w:tc>
        <w:tc>
          <w:tcPr>
            <w:tcW w:w="2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有下列情形：</w:t>
            </w:r>
          </w:p>
          <w:p>
            <w:pPr>
              <w:pStyle w:val="2"/>
              <w:keepNext w:val="0"/>
              <w:keepLines w:val="0"/>
              <w:pageBreakBefore w:val="0"/>
              <w:widowControl w:val="0"/>
              <w:kinsoku/>
              <w:wordWrap/>
              <w:overflowPunct/>
              <w:topLinePunct w:val="0"/>
              <w:autoSpaceDE/>
              <w:autoSpaceDN/>
              <w:bidi w:val="0"/>
              <w:adjustRightInd/>
              <w:snapToGrid/>
              <w:spacing w:after="0" w:line="200" w:lineRule="exact"/>
              <w:ind w:firstLine="150" w:firstLineChars="100"/>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开采煤层上覆含水层不存在富水性强或者极强含水层、富水性中等但静储量丰富含水层的，或者采取可靠措施消除含水层威胁的。</w:t>
            </w:r>
          </w:p>
        </w:tc>
        <w:tc>
          <w:tcPr>
            <w:tcW w:w="2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有下列情形：</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 xml:space="preserve">  煤层上覆含水层存在富水性强、极强含水层或者富水性中等但静储量丰富的含水层，且未采取有效措施治理的。</w:t>
            </w:r>
          </w:p>
        </w:tc>
        <w:tc>
          <w:tcPr>
            <w:tcW w:w="268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7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vertAlign w:val="baseline"/>
                <w:lang w:val="en-US" w:eastAsia="zh-CN"/>
              </w:rPr>
              <w:t>底板水威胁区域</w:t>
            </w:r>
          </w:p>
        </w:tc>
        <w:tc>
          <w:tcPr>
            <w:tcW w:w="2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vertAlign w:val="baseline"/>
                <w:lang w:val="en-US" w:eastAsia="zh-CN"/>
              </w:rPr>
            </w:pPr>
            <w:r>
              <w:rPr>
                <w:rFonts w:hint="eastAsia" w:ascii="仿宋" w:hAnsi="仿宋" w:eastAsia="仿宋" w:cs="仿宋"/>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vertAlign w:val="baseline"/>
                <w:lang w:val="en-US" w:eastAsia="zh-CN"/>
              </w:rPr>
            </w:pPr>
            <w:r>
              <w:rPr>
                <w:rFonts w:hint="eastAsia" w:ascii="仿宋" w:hAnsi="仿宋" w:eastAsia="仿宋" w:cs="仿宋"/>
                <w:color w:val="000000"/>
                <w:kern w:val="0"/>
                <w:sz w:val="15"/>
                <w:szCs w:val="15"/>
                <w:vertAlign w:val="baseline"/>
                <w:lang w:val="en-US" w:eastAsia="zh-CN"/>
              </w:rPr>
              <w:t>（一）经评价底板隔水层厚度满足安全开采需要的；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vertAlign w:val="baseline"/>
                <w:lang w:val="en-US" w:eastAsia="zh-CN"/>
              </w:rPr>
              <w:t>（二）采取地面治理或者改造含水层、疏水降压等防治水措施后</w:t>
            </w:r>
            <w:r>
              <w:rPr>
                <w:rFonts w:hint="eastAsia" w:ascii="仿宋" w:hAnsi="仿宋" w:eastAsia="仿宋" w:cs="仿宋"/>
                <w:color w:val="000000"/>
                <w:kern w:val="0"/>
                <w:sz w:val="15"/>
                <w:szCs w:val="15"/>
                <w:shd w:val="clear" w:color="auto" w:fill="auto"/>
                <w:vertAlign w:val="baseline"/>
                <w:lang w:val="en-US" w:eastAsia="zh-CN"/>
              </w:rPr>
              <w:t>，经评价满足安全开采需要的。</w:t>
            </w:r>
          </w:p>
        </w:tc>
        <w:tc>
          <w:tcPr>
            <w:tcW w:w="2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有下列情形：</w:t>
            </w:r>
          </w:p>
          <w:p>
            <w:pPr>
              <w:pStyle w:val="2"/>
              <w:keepNext w:val="0"/>
              <w:keepLines w:val="0"/>
              <w:pageBreakBefore w:val="0"/>
              <w:widowControl w:val="0"/>
              <w:kinsoku/>
              <w:wordWrap/>
              <w:overflowPunct/>
              <w:topLinePunct w:val="0"/>
              <w:autoSpaceDE/>
              <w:autoSpaceDN/>
              <w:bidi w:val="0"/>
              <w:adjustRightInd/>
              <w:snapToGrid/>
              <w:spacing w:after="0" w:line="200" w:lineRule="exact"/>
              <w:ind w:firstLine="150" w:firstLineChars="100"/>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vertAlign w:val="baseline"/>
                <w:lang w:val="en-US" w:eastAsia="zh-CN"/>
              </w:rPr>
              <w:t>底板隔水层厚度不满足安全开采需求，可以采用地面治理、改造含水层、疏水降压等防治水措施满足安全开采需要，但尚未开展的。</w:t>
            </w:r>
          </w:p>
        </w:tc>
        <w:tc>
          <w:tcPr>
            <w:tcW w:w="268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jc w:val="center"/>
        </w:trPr>
        <w:tc>
          <w:tcPr>
            <w:tcW w:w="7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老空水威胁区域</w:t>
            </w:r>
          </w:p>
        </w:tc>
        <w:tc>
          <w:tcPr>
            <w:tcW w:w="2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同时满足以下条件：</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（一）老空积水情况清楚且防治措施落实到位的；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（二）煤矿存在老窑或者曾被周边煤矿越界开采，其老空分布、开采边界、积水情况经地面综合勘探已经查明，或通过现有技术手段评价为老空水易于疏干不影响正常生产，且防治措施落实到位的。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p>
        </w:tc>
        <w:tc>
          <w:tcPr>
            <w:tcW w:w="2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（一）煤矿存在老窑或者周边煤矿越界开采形成的老空区，其位置、分布范围或者积水量情况不清楚的区域，但通过现有技术手段可查明，且防治措施落实到位后能够保证安全开采的。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（二）煤矿开采形成的老空区，其位置、分布范围或者积水量情况不清楚的区域，通过现有技术手段评价为老空积水不易疏干，影响正常生产，尚未采取工程治理或治理效果不达标的。</w:t>
            </w:r>
          </w:p>
        </w:tc>
        <w:tc>
          <w:tcPr>
            <w:tcW w:w="268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7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构造水威胁区域</w:t>
            </w:r>
          </w:p>
        </w:tc>
        <w:tc>
          <w:tcPr>
            <w:tcW w:w="2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（一）经综合勘探，未发现与富水性强或者极强含水层及其他水体存在水力联系的断层、溶洞、陷落柱等构造；</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（二）对导（含）水的断层、溶洞、陷落柱等特别是</w:t>
            </w:r>
            <w:r>
              <w:rPr>
                <w:rFonts w:hint="eastAsia" w:ascii="仿宋" w:hAnsi="仿宋" w:eastAsia="仿宋" w:cs="仿宋"/>
                <w:color w:val="000000"/>
                <w:kern w:val="0"/>
                <w:sz w:val="15"/>
                <w:szCs w:val="15"/>
                <w:highlight w:val="none"/>
                <w:lang w:val="en-US" w:eastAsia="zh-CN"/>
              </w:rPr>
              <w:t>导通下伏承压含水层水的</w:t>
            </w:r>
            <w:r>
              <w:rPr>
                <w:rFonts w:hint="eastAsia" w:ascii="仿宋" w:hAnsi="仿宋" w:eastAsia="仿宋" w:cs="仿宋"/>
                <w:color w:val="000000"/>
                <w:kern w:val="0"/>
                <w:sz w:val="15"/>
                <w:szCs w:val="15"/>
                <w:highlight w:val="none"/>
                <w:vertAlign w:val="baseline"/>
                <w:lang w:val="en-US" w:eastAsia="zh-CN"/>
              </w:rPr>
              <w:t>异常地质构造及封闭不良钻孔，已采取措施消除威胁的；</w:t>
            </w:r>
          </w:p>
        </w:tc>
        <w:tc>
          <w:tcPr>
            <w:tcW w:w="2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有下列情形：</w:t>
            </w:r>
          </w:p>
          <w:p>
            <w:pPr>
              <w:pStyle w:val="2"/>
              <w:keepNext w:val="0"/>
              <w:keepLines w:val="0"/>
              <w:pageBreakBefore w:val="0"/>
              <w:widowControl w:val="0"/>
              <w:kinsoku/>
              <w:wordWrap/>
              <w:overflowPunct/>
              <w:topLinePunct w:val="0"/>
              <w:autoSpaceDE/>
              <w:autoSpaceDN/>
              <w:bidi w:val="0"/>
              <w:adjustRightInd/>
              <w:snapToGrid/>
              <w:spacing w:after="0" w:line="200" w:lineRule="exact"/>
              <w:ind w:firstLine="150" w:firstLineChars="100"/>
              <w:jc w:val="left"/>
              <w:textAlignment w:val="auto"/>
              <w:rPr>
                <w:rFonts w:hint="eastAsia" w:ascii="仿宋" w:hAnsi="仿宋" w:eastAsia="仿宋" w:cs="仿宋"/>
                <w:color w:val="000000"/>
                <w:kern w:val="0"/>
                <w:sz w:val="15"/>
                <w:szCs w:val="15"/>
                <w:highlight w:val="none"/>
                <w:vertAlign w:val="baseline"/>
                <w:lang w:val="en-US" w:eastAsia="zh-CN"/>
              </w:rPr>
            </w:pPr>
            <w:r>
              <w:rPr>
                <w:rFonts w:hint="eastAsia" w:ascii="仿宋" w:hAnsi="仿宋" w:eastAsia="仿宋" w:cs="仿宋"/>
                <w:color w:val="000000"/>
                <w:kern w:val="0"/>
                <w:sz w:val="15"/>
                <w:szCs w:val="15"/>
                <w:highlight w:val="none"/>
                <w:vertAlign w:val="baseline"/>
                <w:lang w:val="en-US" w:eastAsia="zh-CN"/>
              </w:rPr>
              <w:t>存在导（含）水的断层、溶洞、陷落柱等特别是</w:t>
            </w:r>
            <w:r>
              <w:rPr>
                <w:rFonts w:hint="eastAsia" w:ascii="仿宋" w:hAnsi="仿宋" w:eastAsia="仿宋" w:cs="仿宋"/>
                <w:color w:val="000000"/>
                <w:kern w:val="0"/>
                <w:sz w:val="15"/>
                <w:szCs w:val="15"/>
                <w:highlight w:val="none"/>
                <w:lang w:val="en-US" w:eastAsia="zh-CN"/>
              </w:rPr>
              <w:t>导通下伏承压含水层水的</w:t>
            </w:r>
            <w:r>
              <w:rPr>
                <w:rFonts w:hint="eastAsia" w:ascii="仿宋" w:hAnsi="仿宋" w:eastAsia="仿宋" w:cs="仿宋"/>
                <w:color w:val="000000"/>
                <w:kern w:val="0"/>
                <w:sz w:val="15"/>
                <w:szCs w:val="15"/>
                <w:highlight w:val="none"/>
                <w:vertAlign w:val="baseline"/>
                <w:lang w:val="en-US" w:eastAsia="zh-CN"/>
              </w:rPr>
              <w:t>异常地质构造及封闭不良钻孔，未采取措施消除威胁的。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p>
        </w:tc>
        <w:tc>
          <w:tcPr>
            <w:tcW w:w="268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 w:hAnsi="仿宋" w:eastAsia="仿宋" w:cs="仿宋"/>
                <w:color w:val="000000"/>
                <w:kern w:val="0"/>
                <w:sz w:val="15"/>
                <w:szCs w:val="15"/>
                <w:highlight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4.2煤矿防治水“三区”划分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按照煤矿防治水“三区”划分标准，分煤层划分可采区、缓采区、禁采区。</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明确“三区”分布范围、边界、面积（附防治水“三区”管理图）。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5.煤矿防治水“三区”管理</w:t>
      </w:r>
      <w:r>
        <w:rPr>
          <w:rFonts w:hint="eastAsia" w:ascii="仿宋_GB2312" w:hAnsi="仿宋_GB2312" w:eastAsia="仿宋_GB2312" w:cs="仿宋_GB2312"/>
          <w:color w:val="00000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5.1煤矿防治水“三区”管理措施</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分别制定可采区、缓采区、禁采区的防治水管理措施。</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5.2煤矿防治水“三区”的转换条件及要求</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依据《煤矿防治水“三区”管理办法》，制定本矿可采区、缓采区、禁采区的转换条件及要求。</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6.结论及建议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6.1结论</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叙述本次“三区”划分的结果。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6.2建议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rPr>
        <w:t>针对</w:t>
      </w:r>
      <w:r>
        <w:rPr>
          <w:rFonts w:hint="eastAsia" w:ascii="仿宋_GB2312" w:hAnsi="仿宋_GB2312" w:eastAsia="仿宋_GB2312" w:cs="仿宋_GB2312"/>
          <w:color w:val="000000"/>
          <w:kern w:val="0"/>
          <w:sz w:val="32"/>
          <w:szCs w:val="32"/>
          <w:lang w:eastAsia="zh-CN"/>
        </w:rPr>
        <w:t>煤矿</w:t>
      </w:r>
      <w:r>
        <w:rPr>
          <w:rFonts w:hint="eastAsia" w:ascii="仿宋_GB2312" w:hAnsi="仿宋_GB2312" w:eastAsia="仿宋_GB2312" w:cs="仿宋_GB2312"/>
          <w:color w:val="000000"/>
          <w:kern w:val="0"/>
          <w:sz w:val="32"/>
          <w:szCs w:val="32"/>
        </w:rPr>
        <w:t>可采区存在的主要水患类型提出针对性措施建议，以及缓采区（或禁采区）需要开展的地质、水文地质勘查、治理工程意见。</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7.附图：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7.1煤矿综合水文地质图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7.2煤矿综合水文地质柱状图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7.3煤矿水文地质剖面图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7.4煤矿充水性图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7.5煤矿</w:t>
      </w:r>
      <w:r>
        <w:rPr>
          <w:rFonts w:hint="eastAsia" w:ascii="仿宋_GB2312" w:hAnsi="仿宋_GB2312" w:eastAsia="仿宋_GB2312" w:cs="仿宋_GB2312"/>
          <w:color w:val="000000"/>
          <w:kern w:val="0"/>
          <w:sz w:val="32"/>
          <w:szCs w:val="32"/>
          <w:lang w:val="en-US" w:eastAsia="zh-Hans"/>
        </w:rPr>
        <w:t>防治水</w:t>
      </w:r>
      <w:r>
        <w:rPr>
          <w:rFonts w:hint="eastAsia" w:ascii="仿宋_GB2312" w:hAnsi="仿宋_GB2312" w:eastAsia="仿宋_GB2312" w:cs="仿宋_GB2312"/>
          <w:color w:val="000000"/>
          <w:kern w:val="0"/>
          <w:sz w:val="32"/>
          <w:szCs w:val="32"/>
          <w:lang w:val="en-US" w:eastAsia="zh-CN"/>
        </w:rPr>
        <w:t>“三区”</w:t>
      </w:r>
      <w:r>
        <w:rPr>
          <w:rFonts w:hint="eastAsia" w:ascii="仿宋_GB2312" w:hAnsi="仿宋_GB2312" w:eastAsia="仿宋_GB2312" w:cs="仿宋_GB2312"/>
          <w:color w:val="000000"/>
          <w:kern w:val="0"/>
          <w:sz w:val="32"/>
          <w:szCs w:val="32"/>
          <w:lang w:val="en-US" w:eastAsia="zh-Hans"/>
        </w:rPr>
        <w:t>管理图</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要求以采剥</w:t>
      </w:r>
      <w:r>
        <w:rPr>
          <w:rFonts w:hint="eastAsia" w:ascii="仿宋_GB2312" w:hAnsi="仿宋_GB2312" w:eastAsia="仿宋_GB2312" w:cs="仿宋_GB2312"/>
          <w:color w:val="000000"/>
          <w:sz w:val="32"/>
          <w:szCs w:val="32"/>
          <w:highlight w:val="none"/>
        </w:rPr>
        <w:t>工程平面图</w:t>
      </w:r>
      <w:r>
        <w:rPr>
          <w:rFonts w:hint="eastAsia" w:ascii="仿宋_GB2312" w:hAnsi="仿宋_GB2312" w:eastAsia="仿宋_GB2312" w:cs="仿宋_GB2312"/>
          <w:color w:val="000000"/>
          <w:sz w:val="32"/>
          <w:szCs w:val="32"/>
          <w:highlight w:val="none"/>
          <w:lang w:val="en-US" w:eastAsia="zh-CN"/>
        </w:rPr>
        <w:t>为底图</w:t>
      </w:r>
      <w:r>
        <w:rPr>
          <w:rFonts w:hint="eastAsia" w:ascii="仿宋_GB2312" w:hAnsi="仿宋_GB2312" w:eastAsia="仿宋_GB2312" w:cs="仿宋_GB2312"/>
          <w:color w:val="000000"/>
          <w:sz w:val="32"/>
          <w:szCs w:val="32"/>
          <w:highlight w:val="none"/>
        </w:rPr>
        <w:t>，分煤层绘制，分别用绿色（色调85、饱和度255、亮度128）、黄色（色调36、饱和度255、亮度128）、红色（色调0、饱和度255、亮度128）色框圈出可采区、缓采区、禁采区，色框宽度3.0mm，不充填面色。图中附简要文字说明，内容包含划分的时间、水害类型、面积等。</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7.6煤矿排水系统图（及时更新）</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7.7其它图纸</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8.附表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9.附件</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highlight w:val="none"/>
          <w:lang w:val="en-US" w:eastAsia="zh-CN"/>
        </w:rPr>
      </w:pPr>
      <w:r>
        <w:rPr>
          <w:rFonts w:hint="eastAsia" w:ascii="仿宋_GB2312" w:hAnsi="仿宋_GB2312" w:eastAsia="仿宋_GB2312" w:cs="仿宋_GB2312"/>
          <w:color w:val="000000"/>
          <w:kern w:val="0"/>
          <w:sz w:val="32"/>
          <w:szCs w:val="32"/>
          <w:lang w:val="en-US" w:eastAsia="zh-CN"/>
        </w:rPr>
        <w:t>包括各类报告批准文件和评审意见等。</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b w:val="0"/>
          <w:bCs w:val="0"/>
          <w:color w:val="000000"/>
          <w:kern w:val="0"/>
          <w:sz w:val="32"/>
          <w:szCs w:val="32"/>
          <w:highlight w:val="none"/>
          <w:lang w:val="en-US" w:eastAsia="zh-CN"/>
        </w:rPr>
        <w:t>10.说明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10.1</w:t>
      </w:r>
      <w:r>
        <w:rPr>
          <w:rFonts w:hint="eastAsia" w:ascii="仿宋_GB2312" w:hAnsi="仿宋_GB2312" w:eastAsia="仿宋_GB2312" w:cs="仿宋_GB2312"/>
          <w:color w:val="000000"/>
          <w:kern w:val="0"/>
          <w:sz w:val="32"/>
          <w:szCs w:val="32"/>
        </w:rPr>
        <w:t>无煤区、采空区（无资源不再进入）以标准图例标识，不归入防治水“三区”</w:t>
      </w:r>
      <w:r>
        <w:rPr>
          <w:rFonts w:hint="eastAsia" w:ascii="仿宋_GB2312" w:hAnsi="仿宋_GB2312" w:eastAsia="仿宋_GB2312" w:cs="仿宋_GB2312"/>
          <w:color w:val="000000"/>
          <w:kern w:val="0"/>
          <w:sz w:val="32"/>
          <w:szCs w:val="32"/>
          <w:lang w:val="en-US" w:eastAsia="zh-CN"/>
        </w:rPr>
        <w:t>划分</w:t>
      </w:r>
      <w:r>
        <w:rPr>
          <w:rFonts w:hint="eastAsia" w:ascii="仿宋_GB2312" w:hAnsi="仿宋_GB2312" w:eastAsia="仿宋_GB2312" w:cs="仿宋_GB2312"/>
          <w:color w:val="000000"/>
          <w:kern w:val="0"/>
          <w:sz w:val="32"/>
          <w:szCs w:val="32"/>
        </w:rPr>
        <w:t>范围。</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highlight w:val="none"/>
          <w:lang w:val="en-US" w:eastAsia="zh-CN"/>
        </w:rPr>
      </w:pPr>
      <w:r>
        <w:rPr>
          <w:rFonts w:hint="eastAsia" w:ascii="仿宋_GB2312" w:hAnsi="仿宋_GB2312" w:eastAsia="仿宋_GB2312" w:cs="仿宋_GB2312"/>
          <w:color w:val="000000"/>
          <w:kern w:val="0"/>
          <w:sz w:val="32"/>
          <w:szCs w:val="32"/>
          <w:lang w:val="en-US" w:eastAsia="zh-CN"/>
        </w:rPr>
        <w:t>10.2留设的各类防隔水煤柱（包括矿界煤柱）都必须划为禁采区。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ODZmMzAxZGE1MmMzNGU5Y2M1MjlkMDkxNzM5ZmYifQ=="/>
  </w:docVars>
  <w:rsids>
    <w:rsidRoot w:val="658F510D"/>
    <w:rsid w:val="658F5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center"/>
    </w:pPr>
    <w:rPr>
      <w:rFonts w:ascii="Calibri" w:hAnsi="Calibri" w:eastAsia="宋体" w:cs="Times New Roman"/>
      <w:kern w:val="2"/>
      <w:sz w:val="32"/>
      <w:szCs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2022-07-19T02:13:00Z</dcterms:created>
  <dc:creator>文档存本地丢失不负责</dc:creator>
  <cp:lastModifiedBy>文档存本地丢失不负责</cp:lastModifiedBy>
  <dcterms:modified xsi:type="dcterms:W3CDTF">2022-07-19T02:14:44Z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2708B059D5F64D0694EB313DC1838FD1</vt:lpwstr>
  </property>
</Properties>
</file>