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C7BA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0"/>
        <w:rPr>
          <w:rFonts w:hint="eastAsia" w:ascii="方正小标宋简体" w:hAnsi="方正小标宋简体" w:eastAsia="方正小标宋简体" w:cs="方正小标宋简体"/>
          <w:b w:val="0"/>
          <w:bCs/>
          <w:color w:val="auto"/>
          <w:sz w:val="44"/>
          <w:szCs w:val="44"/>
          <w:lang w:eastAsia="zh-CN"/>
        </w:rPr>
      </w:pPr>
      <w:bookmarkStart w:id="0" w:name="_Toc4653"/>
      <w:bookmarkStart w:id="1" w:name="_Toc14120"/>
      <w:bookmarkStart w:id="2" w:name="_Toc7297"/>
    </w:p>
    <w:bookmarkEnd w:id="0"/>
    <w:p w14:paraId="3CE4440A">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363DA555">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Times New Roman" w:hAnsi="Times New Roman" w:eastAsia="仿宋_GB2312" w:cs="Times New Roman"/>
          <w:kern w:val="2"/>
          <w:sz w:val="32"/>
          <w:lang w:val="zh-CN" w:eastAsia="zh-CN"/>
        </w:rPr>
      </w:pPr>
      <w:r>
        <w:rPr>
          <w:rFonts w:hint="eastAsia" w:ascii="方正小标宋简体" w:hAnsi="方正小标宋简体" w:eastAsia="方正小标宋简体" w:cs="方正小标宋简体"/>
          <w:sz w:val="44"/>
          <w:szCs w:val="44"/>
          <w:lang w:val="zh-CN" w:eastAsia="zh-CN" w:bidi="ar-SA"/>
        </w:rPr>
        <w:t>文水县非煤矿山</w:t>
      </w:r>
      <w:r>
        <w:rPr>
          <w:rFonts w:hint="eastAsia" w:ascii="方正小标宋简体" w:hAnsi="方正小标宋简体" w:eastAsia="方正小标宋简体" w:cs="方正小标宋简体"/>
          <w:sz w:val="44"/>
          <w:szCs w:val="44"/>
          <w:lang w:val="en-US" w:eastAsia="zh-CN" w:bidi="ar-SA"/>
        </w:rPr>
        <w:t>生产安全</w:t>
      </w:r>
      <w:r>
        <w:rPr>
          <w:rFonts w:hint="eastAsia" w:ascii="方正小标宋简体" w:hAnsi="方正小标宋简体" w:eastAsia="方正小标宋简体" w:cs="方正小标宋简体"/>
          <w:sz w:val="44"/>
          <w:szCs w:val="44"/>
          <w:lang w:val="zh-CN" w:eastAsia="zh-CN" w:bidi="ar-SA"/>
        </w:rPr>
        <w:t>事故应急预案</w:t>
      </w:r>
    </w:p>
    <w:p w14:paraId="7CD6B4BA">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25EEE95B">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4A74DA45">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00666D27">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4BB0099B">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6A1862E0">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17FC9035">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407B87ED">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5D2FB124">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0F0EEE42">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2B035333">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6EC656D6">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1F7EC33D">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384029EB">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4387BDD3">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2793B3EC">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74D7062A">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44E17D35">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485BDA5D">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仿宋_GB2312" w:hAnsi="仿宋_GB2312" w:eastAsia="仿宋_GB2312" w:cs="仿宋_GB2312"/>
          <w:sz w:val="32"/>
          <w:szCs w:val="32"/>
          <w:lang w:val="zh-CN" w:eastAsia="zh-CN" w:bidi="ar-SA"/>
        </w:rPr>
      </w:pPr>
      <w:r>
        <w:rPr>
          <w:rFonts w:hint="eastAsia" w:ascii="仿宋_GB2312" w:hAnsi="仿宋_GB2312" w:eastAsia="仿宋_GB2312" w:cs="仿宋_GB2312"/>
          <w:sz w:val="32"/>
          <w:szCs w:val="32"/>
          <w:lang w:val="zh-CN" w:eastAsia="zh-CN" w:bidi="ar-SA"/>
        </w:rPr>
        <w:t>文水县人民政府</w:t>
      </w:r>
    </w:p>
    <w:p w14:paraId="1094D7EB">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2024年</w:t>
      </w:r>
      <w:r>
        <w:rPr>
          <w:rFonts w:hint="eastAsia" w:ascii="仿宋_GB2312" w:hAnsi="仿宋_GB2312" w:cs="仿宋_GB2312"/>
          <w:sz w:val="32"/>
          <w:szCs w:val="32"/>
          <w:lang w:val="en-US" w:eastAsia="zh-CN" w:bidi="ar-SA"/>
        </w:rPr>
        <w:t>8</w:t>
      </w:r>
      <w:r>
        <w:rPr>
          <w:rFonts w:hint="eastAsia" w:ascii="仿宋_GB2312" w:hAnsi="仿宋_GB2312" w:eastAsia="仿宋_GB2312" w:cs="仿宋_GB2312"/>
          <w:sz w:val="32"/>
          <w:szCs w:val="32"/>
          <w:lang w:val="en-US" w:eastAsia="zh-CN" w:bidi="ar-SA"/>
        </w:rPr>
        <w:t>月</w:t>
      </w:r>
    </w:p>
    <w:p w14:paraId="5C486C61">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pPr>
    </w:p>
    <w:p w14:paraId="2547FB08">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zh-CN" w:eastAsia="zh-CN" w:bidi="ar-SA"/>
        </w:rPr>
        <w:sectPr>
          <w:footerReference r:id="rId5" w:type="default"/>
          <w:pgSz w:w="11906" w:h="16838"/>
          <w:pgMar w:top="1440" w:right="1800" w:bottom="1440" w:left="1800" w:header="851" w:footer="992" w:gutter="0"/>
          <w:pgNumType w:fmt="decimal" w:start="1"/>
          <w:cols w:space="720" w:num="1"/>
          <w:docGrid w:type="lines" w:linePitch="312" w:charSpace="0"/>
        </w:sectPr>
      </w:pPr>
    </w:p>
    <w:bookmarkEnd w:id="1"/>
    <w:bookmarkEnd w:id="2"/>
    <w:p w14:paraId="6B1AFE35">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color w:val="auto"/>
          <w:sz w:val="44"/>
          <w:szCs w:val="44"/>
          <w:lang w:val="zh-CN" w:eastAsia="zh-CN" w:bidi="ar-SA"/>
        </w:rPr>
      </w:pPr>
      <w:bookmarkStart w:id="3" w:name="_Toc28678"/>
      <w:bookmarkStart w:id="4" w:name="_Toc20302"/>
      <w:r>
        <w:rPr>
          <w:rFonts w:hint="eastAsia" w:ascii="方正小标宋简体" w:hAnsi="方正小标宋简体" w:eastAsia="方正小标宋简体" w:cs="方正小标宋简体"/>
          <w:color w:val="auto"/>
          <w:sz w:val="44"/>
          <w:szCs w:val="44"/>
          <w:lang w:val="zh-CN" w:eastAsia="zh-CN" w:bidi="ar-SA"/>
        </w:rPr>
        <w:t>目录</w:t>
      </w:r>
    </w:p>
    <w:p w14:paraId="2E6E4B65">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方正小标宋简体" w:hAnsi="方正小标宋简体" w:eastAsia="方正小标宋简体" w:cs="方正小标宋简体"/>
          <w:color w:val="auto"/>
          <w:sz w:val="44"/>
          <w:szCs w:val="44"/>
          <w:lang w:val="zh-CN" w:eastAsia="zh-CN" w:bidi="ar-SA"/>
        </w:rPr>
      </w:pPr>
    </w:p>
    <w:p w14:paraId="43C231C8">
      <w:pPr>
        <w:pStyle w:val="25"/>
        <w:tabs>
          <w:tab w:val="right" w:leader="dot" w:pos="8306"/>
        </w:tabs>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TOC \o "1-2" \h \u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_Toc7683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总则</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_Toc7683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135C920C">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_Toc13763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1.1编制目的</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_Toc13763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63DA3661">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_Toc14214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1.2工作原则</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_Toc14214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479443B3">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_Toc23717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1.3编制依据</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_Toc23717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6398A6B6">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_Toc7617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1.4事故分级</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_Toc7617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47DD7EA6">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_Toc31222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1.5适用范围</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_Toc31222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2</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0E50038B">
      <w:pPr>
        <w:pStyle w:val="26"/>
        <w:tabs>
          <w:tab w:val="right" w:leader="dot" w:pos="8306"/>
        </w:tabs>
        <w:ind w:left="0" w:leftChars="0" w:firstLine="0" w:firstLineChars="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_Toc13292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lang w:val="en-US" w:eastAsia="zh-CN"/>
        </w:rPr>
        <w:t>二、文水县非煤矿山生产安全事故应急指挥体系</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_Toc13292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2</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43670CD3">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_Toc21184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2.1指挥机构</w:t>
      </w:r>
      <w:r>
        <w:rPr>
          <w:rFonts w:hint="eastAsia" w:ascii="楷体_GB2312" w:hAnsi="楷体_GB2312" w:eastAsia="楷体_GB2312" w:cs="楷体_GB2312"/>
          <w:b w:val="0"/>
          <w:bCs w:val="0"/>
          <w:sz w:val="32"/>
          <w:szCs w:val="32"/>
          <w:lang w:eastAsia="zh-CN"/>
        </w:rPr>
        <w:t>及职责</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_Toc21184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2</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14D6F4C8">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_Toc6263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2.2现场应急指挥部构成及职责</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_Toc6263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4</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1315635C">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_Toc4110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2.3应急救援队伍及职责</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_Toc4110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6</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45D8478E">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_Toc827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2.</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rPr>
        <w:t>事故发生单位职责</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_Toc827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9</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33559829">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_Toc177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2.</w:t>
      </w: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rPr>
        <w:t>应急救援专家职责</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_Toc177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9</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397DDCE5">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_Toc12752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2.</w:t>
      </w:r>
      <w:r>
        <w:rPr>
          <w:rFonts w:hint="eastAsia" w:ascii="楷体_GB2312" w:hAnsi="楷体_GB2312" w:eastAsia="楷体_GB2312" w:cs="楷体_GB2312"/>
          <w:b w:val="0"/>
          <w:bCs w:val="0"/>
          <w:sz w:val="32"/>
          <w:szCs w:val="32"/>
          <w:lang w:val="en-US" w:eastAsia="zh-CN"/>
        </w:rPr>
        <w:t>6风险防控</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_Toc12752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9</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4D53E418">
      <w:pPr>
        <w:pStyle w:val="26"/>
        <w:tabs>
          <w:tab w:val="right" w:leader="dot" w:pos="8306"/>
        </w:tabs>
        <w:ind w:left="0" w:leftChars="0" w:firstLine="0" w:firstLineChars="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_Toc15393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三、信息报告与预警</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_Toc15393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10</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0626EBDF">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_Toc13718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3.1信息报告</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_Toc13718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10</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2EDEA11E">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_Toc3587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3.2</w:t>
      </w:r>
      <w:r>
        <w:rPr>
          <w:rFonts w:hint="eastAsia" w:ascii="楷体_GB2312" w:hAnsi="楷体_GB2312" w:eastAsia="楷体_GB2312" w:cs="楷体_GB2312"/>
          <w:b w:val="0"/>
          <w:bCs w:val="0"/>
          <w:sz w:val="32"/>
          <w:szCs w:val="32"/>
          <w:lang w:val="en-US" w:eastAsia="zh-CN"/>
        </w:rPr>
        <w:t>监测</w:t>
      </w:r>
      <w:r>
        <w:rPr>
          <w:rFonts w:hint="eastAsia" w:ascii="楷体_GB2312" w:hAnsi="楷体_GB2312" w:eastAsia="楷体_GB2312" w:cs="楷体_GB2312"/>
          <w:b w:val="0"/>
          <w:bCs w:val="0"/>
          <w:sz w:val="32"/>
          <w:szCs w:val="32"/>
        </w:rPr>
        <w:t>预警</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_Toc3587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11</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46F8E893">
      <w:pPr>
        <w:pStyle w:val="25"/>
        <w:tabs>
          <w:tab w:val="right" w:leader="dot" w:pos="8306"/>
        </w:tabs>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_Toc30032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四、应急响应</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_Toc30032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12</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68A858F5">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_Toc12352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4.1分级响应</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_Toc12352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12</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7D57E5D7">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_Toc4970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4.2响应程序</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_Toc4970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14</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0147A0AB">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_Toc32410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4.3现场处置措施</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_Toc32410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16</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385BCCB3">
      <w:pPr>
        <w:pStyle w:val="25"/>
        <w:tabs>
          <w:tab w:val="right" w:leader="dot" w:pos="8306"/>
        </w:tabs>
        <w:ind w:firstLine="320" w:firstLineChars="100"/>
        <w:rPr>
          <w:rFonts w:hint="eastAsia" w:ascii="楷体_GB2312" w:hAnsi="楷体_GB2312" w:eastAsia="楷体_GB2312" w:cs="楷体_GB2312"/>
          <w:b w:val="0"/>
          <w:bCs w:val="0"/>
          <w:sz w:val="32"/>
          <w:szCs w:val="32"/>
          <w:lang w:val="zh-CN" w:eastAsia="zh-CN" w:bidi="ar-SA"/>
        </w:rPr>
        <w:sectPr>
          <w:footerReference r:id="rId6" w:type="default"/>
          <w:pgSz w:w="11906" w:h="16838"/>
          <w:pgMar w:top="1440" w:right="1800" w:bottom="1440" w:left="1800" w:header="851" w:footer="992" w:gutter="0"/>
          <w:pgNumType w:fmt="decimal" w:start="1"/>
          <w:cols w:space="720" w:num="1"/>
          <w:docGrid w:type="lines" w:linePitch="312" w:charSpace="0"/>
        </w:sectPr>
      </w:pPr>
    </w:p>
    <w:p w14:paraId="7369CA72">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_Toc18412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4.4信息发布</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_Toc18412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17</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3C254554">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_Toc8832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4.5应急结束</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_Toc8832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17</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3DFA0B85">
      <w:pPr>
        <w:pStyle w:val="26"/>
        <w:tabs>
          <w:tab w:val="right" w:leader="dot" w:pos="8306"/>
        </w:tabs>
        <w:ind w:left="0" w:leftChars="0" w:firstLine="0" w:firstLineChars="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_Toc32665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五、后期处置</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_Toc32665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17</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193BB76C">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_Toc12417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5.1善后处置</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_Toc12417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17</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17B9FB1F">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_Toc22814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5.2清点工作</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_Toc22814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18</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600DC860">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_Toc12668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5.3总结与评估</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_Toc12668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18</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08177EFB">
      <w:pPr>
        <w:pStyle w:val="26"/>
        <w:tabs>
          <w:tab w:val="right" w:leader="dot" w:pos="8306"/>
        </w:tabs>
        <w:ind w:left="0" w:leftChars="0" w:firstLine="0" w:firstLineChars="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_Toc25905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六、保障措施</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_Toc25905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18</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77C7FDF3">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_Toc14681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6.1通信与信息保障</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_Toc14681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18</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22B70755">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_Toc15867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6.2应急队伍保障</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_Toc15867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18</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77575936">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_Toc32757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6.3应急保障</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_Toc32757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19</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2B648DED">
      <w:pPr>
        <w:pStyle w:val="25"/>
        <w:tabs>
          <w:tab w:val="right" w:leader="dot" w:pos="8306"/>
        </w:tabs>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_Toc26554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七、培训与宣传</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_Toc26554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20</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13B8E3CB">
      <w:pPr>
        <w:pStyle w:val="25"/>
        <w:tabs>
          <w:tab w:val="right" w:leader="dot" w:pos="8306"/>
        </w:tabs>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_Toc13670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八、附则</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_Toc13670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20</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092151AA">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_Toc21639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8.1预案解释</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_Toc21639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20</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677D03EF">
      <w:pPr>
        <w:pStyle w:val="25"/>
        <w:tabs>
          <w:tab w:val="right" w:leader="dot" w:pos="8306"/>
        </w:tabs>
        <w:ind w:firstLine="320" w:firstLine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zh-CN" w:eastAsia="zh-CN" w:bidi="ar-SA"/>
        </w:rPr>
        <w:fldChar w:fldCharType="begin"/>
      </w:r>
      <w:r>
        <w:rPr>
          <w:rFonts w:hint="eastAsia" w:ascii="楷体_GB2312" w:hAnsi="楷体_GB2312" w:eastAsia="楷体_GB2312" w:cs="楷体_GB2312"/>
          <w:b w:val="0"/>
          <w:bCs w:val="0"/>
          <w:sz w:val="32"/>
          <w:szCs w:val="32"/>
          <w:lang w:val="zh-CN" w:eastAsia="zh-CN" w:bidi="ar-SA"/>
        </w:rPr>
        <w:instrText xml:space="preserve"> HYPERLINK \l _Toc6950 </w:instrText>
      </w:r>
      <w:r>
        <w:rPr>
          <w:rFonts w:hint="eastAsia" w:ascii="楷体_GB2312" w:hAnsi="楷体_GB2312" w:eastAsia="楷体_GB2312" w:cs="楷体_GB2312"/>
          <w:b w:val="0"/>
          <w:bCs w:val="0"/>
          <w:sz w:val="32"/>
          <w:szCs w:val="32"/>
          <w:lang w:val="zh-CN" w:eastAsia="zh-CN" w:bidi="ar-SA"/>
        </w:rPr>
        <w:fldChar w:fldCharType="separate"/>
      </w:r>
      <w:r>
        <w:rPr>
          <w:rFonts w:hint="eastAsia" w:ascii="楷体_GB2312" w:hAnsi="楷体_GB2312" w:eastAsia="楷体_GB2312" w:cs="楷体_GB2312"/>
          <w:b w:val="0"/>
          <w:bCs w:val="0"/>
          <w:sz w:val="32"/>
          <w:szCs w:val="32"/>
        </w:rPr>
        <w:t>8.2预案实施时间</w:t>
      </w:r>
      <w:r>
        <w:rPr>
          <w:rFonts w:hint="eastAsia" w:ascii="楷体_GB2312" w:hAnsi="楷体_GB2312" w:eastAsia="楷体_GB2312" w:cs="楷体_GB2312"/>
          <w:b w:val="0"/>
          <w:bCs w:val="0"/>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_Toc6950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20</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val="0"/>
          <w:bCs w:val="0"/>
          <w:sz w:val="32"/>
          <w:szCs w:val="32"/>
          <w:lang w:val="zh-CN" w:eastAsia="zh-CN" w:bidi="ar-SA"/>
        </w:rPr>
        <w:fldChar w:fldCharType="end"/>
      </w:r>
    </w:p>
    <w:p w14:paraId="1A2049E1">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9"/>
        <w:rPr>
          <w:rFonts w:hint="eastAsia" w:ascii="方正小标宋简体" w:hAnsi="方正小标宋简体" w:eastAsia="方正小标宋简体" w:cs="方正小标宋简体"/>
          <w:b/>
          <w:kern w:val="2"/>
          <w:sz w:val="32"/>
          <w:szCs w:val="44"/>
          <w:lang w:val="zh-CN" w:eastAsia="zh-CN" w:bidi="ar-SA"/>
        </w:rPr>
        <w:sectPr>
          <w:footerReference r:id="rId7" w:type="default"/>
          <w:pgSz w:w="11906" w:h="16838"/>
          <w:pgMar w:top="1440" w:right="1800" w:bottom="1440" w:left="1800" w:header="851" w:footer="992" w:gutter="0"/>
          <w:pgNumType w:fmt="decimal" w:start="1"/>
          <w:cols w:space="720" w:num="1"/>
          <w:docGrid w:type="lines" w:linePitch="312" w:charSpace="0"/>
        </w:sectPr>
      </w:pPr>
      <w:r>
        <w:rPr>
          <w:rFonts w:hint="eastAsia" w:ascii="楷体_GB2312" w:hAnsi="楷体_GB2312" w:eastAsia="楷体_GB2312" w:cs="楷体_GB2312"/>
          <w:b w:val="0"/>
          <w:bCs w:val="0"/>
          <w:sz w:val="32"/>
          <w:szCs w:val="32"/>
          <w:lang w:val="zh-CN" w:eastAsia="zh-CN" w:bidi="ar-SA"/>
        </w:rPr>
        <w:fldChar w:fldCharType="end"/>
      </w:r>
    </w:p>
    <w:p w14:paraId="2E186E72">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9"/>
        <w:rPr>
          <w:rFonts w:hint="eastAsia" w:ascii="方正小标宋简体" w:hAnsi="方正小标宋简体" w:eastAsia="方正小标宋简体" w:cs="方正小标宋简体"/>
          <w:b/>
          <w:kern w:val="2"/>
          <w:sz w:val="32"/>
          <w:szCs w:val="44"/>
          <w:lang w:val="zh-CN" w:eastAsia="zh-CN" w:bidi="ar-SA"/>
        </w:rPr>
      </w:pPr>
    </w:p>
    <w:p w14:paraId="5CBDD8D2">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center"/>
        <w:textAlignment w:val="auto"/>
        <w:outlineLvl w:val="0"/>
        <w:rPr>
          <w:rFonts w:hint="eastAsia" w:ascii="Times New Roman" w:hAnsi="Times New Roman" w:eastAsia="仿宋_GB2312" w:cs="Times New Roman"/>
          <w:kern w:val="2"/>
          <w:sz w:val="32"/>
          <w:lang w:val="zh-CN" w:eastAsia="zh-CN"/>
        </w:rPr>
      </w:pPr>
      <w:bookmarkStart w:id="5" w:name="_Toc13659"/>
      <w:r>
        <w:rPr>
          <w:rFonts w:hint="eastAsia" w:ascii="方正小标宋简体" w:hAnsi="方正小标宋简体" w:eastAsia="方正小标宋简体" w:cs="方正小标宋简体"/>
          <w:sz w:val="44"/>
          <w:szCs w:val="44"/>
          <w:lang w:val="zh-CN" w:eastAsia="zh-CN" w:bidi="ar-SA"/>
        </w:rPr>
        <w:t>文水县非煤矿山</w:t>
      </w:r>
      <w:r>
        <w:rPr>
          <w:rFonts w:hint="eastAsia" w:ascii="方正小标宋简体" w:hAnsi="方正小标宋简体" w:eastAsia="方正小标宋简体" w:cs="方正小标宋简体"/>
          <w:sz w:val="44"/>
          <w:szCs w:val="44"/>
          <w:lang w:val="en-US" w:eastAsia="zh-CN" w:bidi="ar-SA"/>
        </w:rPr>
        <w:t>生产安全</w:t>
      </w:r>
      <w:r>
        <w:rPr>
          <w:rFonts w:hint="eastAsia" w:ascii="方正小标宋简体" w:hAnsi="方正小标宋简体" w:eastAsia="方正小标宋简体" w:cs="方正小标宋简体"/>
          <w:sz w:val="44"/>
          <w:szCs w:val="44"/>
          <w:lang w:val="zh-CN" w:eastAsia="zh-CN" w:bidi="ar-SA"/>
        </w:rPr>
        <w:t>事故应急预案</w:t>
      </w:r>
      <w:bookmarkEnd w:id="5"/>
    </w:p>
    <w:p w14:paraId="1060C892">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9"/>
        <w:rPr>
          <w:rFonts w:hint="eastAsia" w:ascii="仿宋" w:hAnsi="仿宋" w:eastAsia="仿宋" w:cs="仿宋"/>
          <w:sz w:val="32"/>
          <w:szCs w:val="32"/>
        </w:rPr>
      </w:pPr>
    </w:p>
    <w:p w14:paraId="080AD1F7">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bookmarkStart w:id="6" w:name="_Toc7683"/>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总则</w:t>
      </w:r>
      <w:bookmarkEnd w:id="6"/>
    </w:p>
    <w:p w14:paraId="66CD7546">
      <w:pPr>
        <w:ind w:firstLine="640" w:firstLineChars="200"/>
        <w:outlineLvl w:val="0"/>
        <w:rPr>
          <w:rFonts w:hint="eastAsia" w:ascii="楷体_GB2312" w:hAnsi="楷体_GB2312" w:eastAsia="楷体_GB2312" w:cs="楷体_GB2312"/>
          <w:sz w:val="32"/>
          <w:szCs w:val="32"/>
        </w:rPr>
      </w:pPr>
      <w:bookmarkStart w:id="7" w:name="_Toc13763"/>
      <w:bookmarkStart w:id="8" w:name="_Toc21111"/>
      <w:bookmarkStart w:id="9" w:name="_Toc3719"/>
      <w:r>
        <w:rPr>
          <w:rFonts w:hint="eastAsia" w:ascii="楷体_GB2312" w:hAnsi="楷体_GB2312" w:eastAsia="楷体_GB2312" w:cs="楷体_GB2312"/>
          <w:sz w:val="32"/>
          <w:szCs w:val="32"/>
        </w:rPr>
        <w:t>1.1编制目的</w:t>
      </w:r>
      <w:bookmarkEnd w:id="7"/>
      <w:bookmarkEnd w:id="8"/>
      <w:bookmarkEnd w:id="9"/>
    </w:p>
    <w:p w14:paraId="5C17D0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为规范全县非煤矿山安全事故的应急管理和应急响应程序，建立健全非煤矿山生产安全事故应急救援机制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迅速、有效做好事故应对工作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最大程度地减少事故造成的人员伤亡和财产损失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依据国家有关法律法规和有关规定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结合我县实际，编制本预案。</w:t>
      </w:r>
    </w:p>
    <w:p w14:paraId="47789D20">
      <w:pPr>
        <w:ind w:firstLine="640" w:firstLineChars="200"/>
        <w:outlineLvl w:val="0"/>
        <w:rPr>
          <w:rFonts w:hint="eastAsia" w:ascii="楷体_GB2312" w:hAnsi="楷体_GB2312" w:eastAsia="楷体_GB2312" w:cs="楷体_GB2312"/>
          <w:sz w:val="32"/>
          <w:szCs w:val="32"/>
        </w:rPr>
      </w:pPr>
      <w:bookmarkStart w:id="10" w:name="_Toc10522"/>
      <w:bookmarkStart w:id="11" w:name="_Toc14214"/>
      <w:bookmarkStart w:id="12" w:name="_Toc11014"/>
      <w:r>
        <w:rPr>
          <w:rFonts w:hint="eastAsia" w:ascii="楷体_GB2312" w:hAnsi="楷体_GB2312" w:eastAsia="楷体_GB2312" w:cs="楷体_GB2312"/>
          <w:sz w:val="32"/>
          <w:szCs w:val="32"/>
        </w:rPr>
        <w:t>1.2工作原则</w:t>
      </w:r>
      <w:bookmarkEnd w:id="10"/>
      <w:bookmarkEnd w:id="11"/>
      <w:bookmarkEnd w:id="12"/>
    </w:p>
    <w:p w14:paraId="00812F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非煤矿山生产安全事故应对工作坚持以人为本、安全第一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统一领导、协调联动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属地为主、分级负责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快速反应、科学救援的原则。</w:t>
      </w:r>
    </w:p>
    <w:p w14:paraId="316B74AC">
      <w:pPr>
        <w:ind w:firstLine="640" w:firstLineChars="200"/>
        <w:outlineLvl w:val="0"/>
        <w:rPr>
          <w:rFonts w:hint="eastAsia" w:ascii="楷体_GB2312" w:hAnsi="楷体_GB2312" w:eastAsia="楷体_GB2312" w:cs="楷体_GB2312"/>
          <w:sz w:val="32"/>
          <w:szCs w:val="32"/>
        </w:rPr>
      </w:pPr>
      <w:bookmarkStart w:id="13" w:name="_Toc6473"/>
      <w:bookmarkStart w:id="14" w:name="_Toc23717"/>
      <w:bookmarkStart w:id="15" w:name="_Toc28850"/>
      <w:r>
        <w:rPr>
          <w:rFonts w:hint="eastAsia" w:ascii="楷体_GB2312" w:hAnsi="楷体_GB2312" w:eastAsia="楷体_GB2312" w:cs="楷体_GB2312"/>
          <w:sz w:val="32"/>
          <w:szCs w:val="32"/>
        </w:rPr>
        <w:t>1.3编制依据</w:t>
      </w:r>
      <w:bookmarkEnd w:id="13"/>
      <w:bookmarkEnd w:id="14"/>
      <w:bookmarkEnd w:id="15"/>
    </w:p>
    <w:p w14:paraId="3A6242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安全生产法》《中华人民共和国突发事件应对法》《中华人民共和国矿山安全法》《生产安全事故应急条例》《生产安全事故报告和调查处理条例》《生产安全事故应急预案管理办法》《山西省突发事件应对条例》《山西省突发公共事件总体应急预案》</w:t>
      </w:r>
      <w:r>
        <w:rPr>
          <w:rFonts w:hint="eastAsia" w:ascii="仿宋_GB2312" w:hAnsi="仿宋_GB2312" w:eastAsia="仿宋_GB2312" w:cs="仿宋_GB2312"/>
          <w:sz w:val="32"/>
          <w:szCs w:val="32"/>
          <w:lang w:eastAsia="zh-CN"/>
        </w:rPr>
        <w:t>《吕梁市非煤矿山生产安全事故应急预案》</w:t>
      </w:r>
      <w:r>
        <w:rPr>
          <w:rFonts w:hint="eastAsia" w:ascii="仿宋_GB2312" w:hAnsi="仿宋_GB2312" w:eastAsia="仿宋_GB2312" w:cs="仿宋_GB2312"/>
          <w:sz w:val="32"/>
          <w:szCs w:val="32"/>
        </w:rPr>
        <w:t>等。</w:t>
      </w:r>
    </w:p>
    <w:p w14:paraId="7A1394C8">
      <w:pPr>
        <w:ind w:firstLine="640" w:firstLineChars="200"/>
        <w:outlineLvl w:val="0"/>
        <w:rPr>
          <w:rFonts w:hint="eastAsia" w:ascii="楷体_GB2312" w:hAnsi="楷体_GB2312" w:eastAsia="楷体_GB2312" w:cs="楷体_GB2312"/>
          <w:sz w:val="32"/>
          <w:szCs w:val="32"/>
        </w:rPr>
      </w:pPr>
      <w:bookmarkStart w:id="16" w:name="_Toc28911"/>
      <w:bookmarkStart w:id="17" w:name="_Toc7617"/>
      <w:bookmarkStart w:id="18" w:name="_Toc10196"/>
      <w:r>
        <w:rPr>
          <w:rFonts w:hint="eastAsia" w:ascii="楷体_GB2312" w:hAnsi="楷体_GB2312" w:eastAsia="楷体_GB2312" w:cs="楷体_GB2312"/>
          <w:sz w:val="32"/>
          <w:szCs w:val="32"/>
        </w:rPr>
        <w:t>1.4事故分级</w:t>
      </w:r>
      <w:bookmarkEnd w:id="16"/>
      <w:bookmarkEnd w:id="17"/>
      <w:bookmarkEnd w:id="18"/>
    </w:p>
    <w:p w14:paraId="60A03F4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根据有关规定,非煤矿山</w:t>
      </w:r>
      <w:r>
        <w:rPr>
          <w:rFonts w:hint="eastAsia" w:ascii="仿宋_GB2312" w:hAnsi="仿宋_GB2312" w:eastAsia="仿宋_GB2312" w:cs="仿宋_GB2312"/>
          <w:sz w:val="32"/>
          <w:szCs w:val="32"/>
          <w:lang w:eastAsia="zh-CN"/>
        </w:rPr>
        <w:t>事故分为特别重大、重大、较大和一般事故四个等级（见附件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5F34202C">
      <w:pPr>
        <w:ind w:firstLine="640" w:firstLineChars="200"/>
        <w:outlineLvl w:val="0"/>
        <w:rPr>
          <w:rFonts w:hint="eastAsia" w:ascii="楷体_GB2312" w:hAnsi="楷体_GB2312" w:eastAsia="楷体_GB2312" w:cs="楷体_GB2312"/>
          <w:sz w:val="32"/>
          <w:szCs w:val="32"/>
        </w:rPr>
      </w:pPr>
      <w:bookmarkStart w:id="19" w:name="_Toc31130"/>
      <w:bookmarkStart w:id="20" w:name="_Toc31222"/>
      <w:bookmarkStart w:id="21" w:name="_Toc18268"/>
      <w:r>
        <w:rPr>
          <w:rFonts w:hint="eastAsia" w:ascii="楷体_GB2312" w:hAnsi="楷体_GB2312" w:eastAsia="楷体_GB2312" w:cs="楷体_GB2312"/>
          <w:sz w:val="32"/>
          <w:szCs w:val="32"/>
        </w:rPr>
        <w:t>1.5适用范围</w:t>
      </w:r>
      <w:bookmarkEnd w:id="19"/>
      <w:bookmarkEnd w:id="20"/>
      <w:bookmarkEnd w:id="21"/>
    </w:p>
    <w:p w14:paraId="613D1CA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本预案适用于在</w:t>
      </w:r>
      <w:r>
        <w:rPr>
          <w:rFonts w:hint="eastAsia" w:ascii="仿宋_GB2312" w:hAnsi="仿宋_GB2312" w:eastAsia="仿宋_GB2312" w:cs="仿宋_GB2312"/>
          <w:sz w:val="32"/>
          <w:szCs w:val="32"/>
          <w:lang w:eastAsia="zh-CN"/>
        </w:rPr>
        <w:t>文水县</w:t>
      </w:r>
      <w:r>
        <w:rPr>
          <w:rFonts w:hint="eastAsia" w:ascii="仿宋_GB2312" w:hAnsi="仿宋_GB2312" w:eastAsia="仿宋_GB2312" w:cs="仿宋_GB2312"/>
          <w:sz w:val="32"/>
          <w:szCs w:val="32"/>
        </w:rPr>
        <w:t>行政区域内</w:t>
      </w:r>
      <w:r>
        <w:rPr>
          <w:rFonts w:hint="eastAsia" w:ascii="仿宋_GB2312" w:hAnsi="仿宋_GB2312" w:eastAsia="仿宋_GB2312" w:cs="仿宋_GB2312"/>
          <w:sz w:val="32"/>
          <w:szCs w:val="32"/>
          <w:lang w:eastAsia="zh-CN"/>
        </w:rPr>
        <w:t>非煤矿山</w:t>
      </w:r>
      <w:r>
        <w:rPr>
          <w:rFonts w:hint="eastAsia" w:ascii="仿宋_GB2312" w:hAnsi="仿宋_GB2312" w:eastAsia="仿宋_GB2312" w:cs="仿宋_GB2312"/>
          <w:sz w:val="32"/>
          <w:szCs w:val="32"/>
        </w:rPr>
        <w:t>生产过程中可能造成</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rPr>
        <w:t>生产安全事故的应急处置工作</w:t>
      </w:r>
      <w:r>
        <w:rPr>
          <w:rFonts w:hint="eastAsia" w:ascii="仿宋_GB2312" w:hAnsi="仿宋_GB2312" w:eastAsia="仿宋_GB2312" w:cs="仿宋_GB2312"/>
          <w:sz w:val="32"/>
          <w:szCs w:val="32"/>
          <w:lang w:eastAsia="zh-CN"/>
        </w:rPr>
        <w:t>，超出本县救援能力范围及</w:t>
      </w:r>
      <w:r>
        <w:rPr>
          <w:rFonts w:hint="eastAsia" w:ascii="仿宋_GB2312" w:hAnsi="仿宋_GB2312" w:eastAsia="仿宋_GB2312" w:cs="仿宋_GB2312"/>
          <w:sz w:val="32"/>
          <w:szCs w:val="32"/>
        </w:rPr>
        <w:t>较大以上生产安全事故的先期处置工作。</w:t>
      </w:r>
      <w:r>
        <w:rPr>
          <w:rFonts w:hint="eastAsia" w:ascii="仿宋_GB2312" w:hAnsi="仿宋_GB2312" w:eastAsia="仿宋_GB2312" w:cs="仿宋_GB2312"/>
          <w:sz w:val="32"/>
          <w:szCs w:val="32"/>
          <w:lang w:val="en-US" w:eastAsia="zh-CN"/>
        </w:rPr>
        <w:t xml:space="preserve"> </w:t>
      </w:r>
    </w:p>
    <w:p w14:paraId="13EB637E">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黑体" w:hAnsi="黑体" w:eastAsia="黑体" w:cs="黑体"/>
          <w:sz w:val="32"/>
          <w:szCs w:val="32"/>
          <w:lang w:val="en-US" w:eastAsia="zh-CN"/>
        </w:rPr>
      </w:pPr>
      <w:bookmarkStart w:id="22" w:name="_Toc3060"/>
      <w:bookmarkStart w:id="23" w:name="_Toc3567"/>
      <w:bookmarkStart w:id="24" w:name="_Toc13292"/>
      <w:r>
        <w:rPr>
          <w:rFonts w:hint="eastAsia" w:ascii="黑体" w:hAnsi="黑体" w:eastAsia="黑体" w:cs="黑体"/>
          <w:sz w:val="32"/>
          <w:szCs w:val="32"/>
          <w:lang w:val="en-US" w:eastAsia="zh-CN"/>
        </w:rPr>
        <w:t>二、文水县非煤矿山生产安全事故应急指挥体系</w:t>
      </w:r>
      <w:bookmarkEnd w:id="22"/>
      <w:bookmarkEnd w:id="23"/>
      <w:bookmarkEnd w:id="24"/>
    </w:p>
    <w:p w14:paraId="32BDFE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文水县非煤矿山生产安全事故应急指挥体系由县级生产安全事故应急指挥部及其办公室、各乡镇非煤矿山应急指挥部组成</w:t>
      </w:r>
      <w:r>
        <w:rPr>
          <w:rFonts w:hint="eastAsia" w:ascii="仿宋_GB2312" w:hAnsi="仿宋_GB2312" w:eastAsia="仿宋_GB2312" w:cs="仿宋_GB2312"/>
          <w:sz w:val="32"/>
          <w:szCs w:val="32"/>
          <w:lang w:eastAsia="zh-CN"/>
        </w:rPr>
        <w:t>。</w:t>
      </w:r>
    </w:p>
    <w:p w14:paraId="53CCBA1F">
      <w:pPr>
        <w:ind w:firstLine="640" w:firstLineChars="200"/>
        <w:outlineLvl w:val="0"/>
        <w:rPr>
          <w:rFonts w:hint="eastAsia" w:ascii="楷体_GB2312" w:hAnsi="楷体_GB2312" w:eastAsia="楷体_GB2312" w:cs="楷体_GB2312"/>
          <w:sz w:val="32"/>
          <w:szCs w:val="32"/>
          <w:lang w:eastAsia="zh-CN"/>
        </w:rPr>
      </w:pPr>
      <w:bookmarkStart w:id="25" w:name="_Toc32330"/>
      <w:bookmarkStart w:id="26" w:name="_Toc12002"/>
      <w:bookmarkStart w:id="27" w:name="_Toc21184"/>
      <w:r>
        <w:rPr>
          <w:rFonts w:hint="eastAsia" w:ascii="楷体_GB2312" w:hAnsi="楷体_GB2312" w:eastAsia="楷体_GB2312" w:cs="楷体_GB2312"/>
          <w:sz w:val="32"/>
          <w:szCs w:val="32"/>
        </w:rPr>
        <w:t>2.1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指挥机构</w:t>
      </w:r>
      <w:r>
        <w:rPr>
          <w:rFonts w:hint="eastAsia" w:ascii="楷体_GB2312" w:hAnsi="楷体_GB2312" w:eastAsia="楷体_GB2312" w:cs="楷体_GB2312"/>
          <w:sz w:val="32"/>
          <w:szCs w:val="32"/>
          <w:lang w:eastAsia="zh-CN"/>
        </w:rPr>
        <w:t>及职责</w:t>
      </w:r>
      <w:bookmarkEnd w:id="25"/>
      <w:bookmarkEnd w:id="26"/>
      <w:bookmarkEnd w:id="27"/>
    </w:p>
    <w:p w14:paraId="4C89AF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县政府成立县非煤矿山应急指挥部(以下简称“指挥部”)</w:t>
      </w:r>
    </w:p>
    <w:p w14:paraId="0671B3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县政府分管副县长。</w:t>
      </w:r>
    </w:p>
    <w:p w14:paraId="43F27F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副指挥长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县政府办分管副主任,自然资源局、应急局主要负责人。</w:t>
      </w:r>
    </w:p>
    <w:p w14:paraId="5FB811D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成员单位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政府办、宣传部、应急局、工</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局、能源局、自然资源局、卫生健康局、公安局、交通局、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eastAsia="zh-CN"/>
        </w:rPr>
        <w:t>文水</w:t>
      </w:r>
      <w:r>
        <w:rPr>
          <w:rFonts w:hint="eastAsia" w:ascii="仿宋_GB2312" w:hAnsi="仿宋_GB2312" w:eastAsia="仿宋_GB2312" w:cs="仿宋_GB2312"/>
          <w:sz w:val="32"/>
          <w:szCs w:val="32"/>
        </w:rPr>
        <w:t>分局、气象局、财政局、人社局、民政局、商务局、市场监督管理局、发展改革局、交通局、水利局、消防救援大队、供电公司和</w:t>
      </w:r>
      <w:r>
        <w:rPr>
          <w:rFonts w:hint="eastAsia" w:ascii="仿宋_GB2312" w:hAnsi="仿宋_GB2312" w:eastAsia="仿宋_GB2312" w:cs="仿宋_GB2312"/>
          <w:sz w:val="32"/>
          <w:szCs w:val="32"/>
          <w:lang w:eastAsia="zh-CN"/>
        </w:rPr>
        <w:t>凤城镇、孝义镇、马西乡。</w:t>
      </w:r>
    </w:p>
    <w:p w14:paraId="082BA6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负责综合协调、指挥全县非煤矿山生产安全事故应急处置工作，决定预案的启动和终止。负责应急救援重大事项的决策，参与一般及以上事故的前期处置工作，必要时协调驻地武警、社会</w:t>
      </w:r>
      <w:r>
        <w:rPr>
          <w:rFonts w:hint="eastAsia" w:ascii="仿宋_GB2312" w:hAnsi="仿宋_GB2312" w:eastAsia="仿宋_GB2312" w:cs="仿宋_GB2312"/>
          <w:sz w:val="32"/>
          <w:szCs w:val="32"/>
          <w:lang w:eastAsia="zh-CN"/>
        </w:rPr>
        <w:t>力</w:t>
      </w:r>
      <w:r>
        <w:rPr>
          <w:rFonts w:hint="eastAsia" w:ascii="仿宋_GB2312" w:hAnsi="仿宋_GB2312" w:eastAsia="仿宋_GB2312" w:cs="仿宋_GB2312"/>
          <w:sz w:val="32"/>
          <w:szCs w:val="32"/>
        </w:rPr>
        <w:t>量参加应急救援工作。</w:t>
      </w:r>
    </w:p>
    <w:p w14:paraId="16E27A3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指挥长职责</w:t>
      </w:r>
      <w:r>
        <w:rPr>
          <w:rFonts w:hint="eastAsia" w:ascii="仿宋_GB2312" w:hAnsi="仿宋_GB2312" w:eastAsia="仿宋_GB2312" w:cs="仿宋_GB2312"/>
          <w:sz w:val="32"/>
          <w:szCs w:val="32"/>
          <w:lang w:eastAsia="zh-CN"/>
        </w:rPr>
        <w:t>：</w:t>
      </w:r>
    </w:p>
    <w:p w14:paraId="3C683E6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(1)负责非煤矿山事故应急救援、事故预防的决策和指挥，接到安全事故报警时，分析确定相应报警级别，宣布应急预案的启动和终止</w:t>
      </w:r>
      <w:r>
        <w:rPr>
          <w:rFonts w:hint="eastAsia" w:ascii="仿宋_GB2312" w:hAnsi="仿宋_GB2312" w:eastAsia="仿宋_GB2312" w:cs="仿宋_GB2312"/>
          <w:sz w:val="32"/>
          <w:szCs w:val="32"/>
          <w:lang w:eastAsia="zh-CN"/>
        </w:rPr>
        <w:t>；</w:t>
      </w:r>
    </w:p>
    <w:p w14:paraId="5E67754E">
      <w:pPr>
        <w:ind w:firstLine="640" w:firstLineChars="200"/>
        <w:rPr>
          <w:rFonts w:hint="eastAsia" w:ascii="仿宋_GB2312" w:hAnsi="仿宋_GB2312" w:eastAsia="仿宋_GB2312" w:cs="仿宋_GB2312"/>
          <w:sz w:val="32"/>
          <w:szCs w:val="32"/>
          <w:lang w:eastAsia="zh-CN"/>
        </w:rPr>
      </w:pPr>
      <w:bookmarkStart w:id="28" w:name="_Toc9938"/>
      <w:r>
        <w:rPr>
          <w:rFonts w:hint="eastAsia" w:ascii="仿宋_GB2312" w:hAnsi="仿宋_GB2312" w:eastAsia="仿宋_GB2312" w:cs="仿宋_GB2312"/>
          <w:sz w:val="32"/>
          <w:szCs w:val="32"/>
        </w:rPr>
        <w:t>(2)指挥、协调应急行动</w:t>
      </w:r>
      <w:bookmarkEnd w:id="28"/>
      <w:r>
        <w:rPr>
          <w:rFonts w:hint="eastAsia" w:ascii="仿宋_GB2312" w:hAnsi="仿宋_GB2312" w:eastAsia="仿宋_GB2312" w:cs="仿宋_GB2312"/>
          <w:sz w:val="32"/>
          <w:szCs w:val="32"/>
          <w:lang w:eastAsia="zh-CN"/>
        </w:rPr>
        <w:t>；</w:t>
      </w:r>
    </w:p>
    <w:p w14:paraId="5386D97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(3)根据事故类型、潜在后果、现有资源，调动本县应急救援队伍参加抢险救援</w:t>
      </w:r>
      <w:r>
        <w:rPr>
          <w:rFonts w:hint="eastAsia" w:ascii="仿宋_GB2312" w:hAnsi="仿宋_GB2312" w:eastAsia="仿宋_GB2312" w:cs="仿宋_GB2312"/>
          <w:sz w:val="32"/>
          <w:szCs w:val="32"/>
          <w:lang w:eastAsia="zh-CN"/>
        </w:rPr>
        <w:t>；</w:t>
      </w:r>
    </w:p>
    <w:p w14:paraId="5A71A09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(4)审核、批准现场救援方案</w:t>
      </w:r>
      <w:r>
        <w:rPr>
          <w:rFonts w:hint="eastAsia" w:ascii="仿宋_GB2312" w:hAnsi="仿宋_GB2312" w:eastAsia="仿宋_GB2312" w:cs="仿宋_GB2312"/>
          <w:sz w:val="32"/>
          <w:szCs w:val="32"/>
          <w:lang w:eastAsia="zh-CN"/>
        </w:rPr>
        <w:t>；</w:t>
      </w:r>
    </w:p>
    <w:p w14:paraId="75A8A94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(5)负责审定对外发布的信息</w:t>
      </w:r>
      <w:r>
        <w:rPr>
          <w:rFonts w:hint="eastAsia" w:ascii="仿宋_GB2312" w:hAnsi="仿宋_GB2312" w:eastAsia="仿宋_GB2312" w:cs="仿宋_GB2312"/>
          <w:sz w:val="32"/>
          <w:szCs w:val="32"/>
          <w:lang w:eastAsia="zh-CN"/>
        </w:rPr>
        <w:t>；</w:t>
      </w:r>
    </w:p>
    <w:p w14:paraId="663EEC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(6)组织有关善后事宜。</w:t>
      </w:r>
    </w:p>
    <w:p w14:paraId="7F3E0C0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副指挥长职责</w:t>
      </w:r>
      <w:r>
        <w:rPr>
          <w:rFonts w:hint="eastAsia" w:ascii="仿宋_GB2312" w:hAnsi="仿宋_GB2312" w:eastAsia="仿宋_GB2312" w:cs="仿宋_GB2312"/>
          <w:sz w:val="32"/>
          <w:szCs w:val="32"/>
          <w:lang w:eastAsia="zh-CN"/>
        </w:rPr>
        <w:t>：</w:t>
      </w:r>
    </w:p>
    <w:p w14:paraId="2CFD884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(1)协助指挥长组织和指挥应急救援任务，并在总指挥不在场时，负责组织和指挥各项应急救援任务</w:t>
      </w:r>
      <w:r>
        <w:rPr>
          <w:rFonts w:hint="eastAsia" w:ascii="仿宋_GB2312" w:hAnsi="仿宋_GB2312" w:eastAsia="仿宋_GB2312" w:cs="仿宋_GB2312"/>
          <w:sz w:val="32"/>
          <w:szCs w:val="32"/>
          <w:lang w:eastAsia="zh-CN"/>
        </w:rPr>
        <w:t>；</w:t>
      </w:r>
    </w:p>
    <w:p w14:paraId="4E255E8E">
      <w:pPr>
        <w:ind w:firstLine="640" w:firstLineChars="200"/>
        <w:rPr>
          <w:rFonts w:hint="eastAsia" w:ascii="仿宋_GB2312" w:hAnsi="仿宋_GB2312" w:eastAsia="仿宋_GB2312" w:cs="仿宋_GB2312"/>
          <w:sz w:val="32"/>
          <w:szCs w:val="32"/>
          <w:lang w:eastAsia="zh-CN"/>
        </w:rPr>
      </w:pPr>
      <w:bookmarkStart w:id="29" w:name="_Toc5344"/>
      <w:r>
        <w:rPr>
          <w:rFonts w:hint="eastAsia" w:ascii="仿宋_GB2312" w:hAnsi="仿宋_GB2312" w:eastAsia="仿宋_GB2312" w:cs="仿宋_GB2312"/>
          <w:sz w:val="32"/>
          <w:szCs w:val="32"/>
        </w:rPr>
        <w:t>(2)向指挥长提出应急救援行动的措施和建议</w:t>
      </w:r>
      <w:bookmarkEnd w:id="29"/>
      <w:r>
        <w:rPr>
          <w:rFonts w:hint="eastAsia" w:ascii="仿宋_GB2312" w:hAnsi="仿宋_GB2312" w:eastAsia="仿宋_GB2312" w:cs="仿宋_GB2312"/>
          <w:sz w:val="32"/>
          <w:szCs w:val="32"/>
          <w:lang w:eastAsia="zh-CN"/>
        </w:rPr>
        <w:t>；</w:t>
      </w:r>
    </w:p>
    <w:p w14:paraId="644CE1F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(3)定期检查各常设应急反应组织和部门对非煤矿山</w:t>
      </w:r>
      <w:r>
        <w:rPr>
          <w:rFonts w:hint="eastAsia" w:ascii="仿宋_GB2312" w:hAnsi="仿宋_GB2312" w:cs="仿宋_GB2312"/>
          <w:sz w:val="32"/>
          <w:szCs w:val="32"/>
          <w:lang w:eastAsia="zh-CN"/>
        </w:rPr>
        <w:t>生产安全事故</w:t>
      </w:r>
      <w:r>
        <w:rPr>
          <w:rFonts w:hint="eastAsia" w:ascii="仿宋_GB2312" w:hAnsi="仿宋_GB2312" w:eastAsia="仿宋_GB2312" w:cs="仿宋_GB2312"/>
          <w:sz w:val="32"/>
          <w:szCs w:val="32"/>
        </w:rPr>
        <w:t>的日常工作和应急准备状态</w:t>
      </w:r>
      <w:r>
        <w:rPr>
          <w:rFonts w:hint="eastAsia" w:ascii="仿宋_GB2312" w:hAnsi="仿宋_GB2312" w:eastAsia="仿宋_GB2312" w:cs="仿宋_GB2312"/>
          <w:sz w:val="32"/>
          <w:szCs w:val="32"/>
          <w:lang w:eastAsia="zh-CN"/>
        </w:rPr>
        <w:t>；</w:t>
      </w:r>
    </w:p>
    <w:p w14:paraId="788BC40E">
      <w:pPr>
        <w:ind w:firstLine="640" w:firstLineChars="200"/>
        <w:rPr>
          <w:rFonts w:hint="eastAsia" w:ascii="仿宋_GB2312" w:hAnsi="仿宋_GB2312" w:eastAsia="仿宋_GB2312" w:cs="仿宋_GB2312"/>
          <w:sz w:val="32"/>
          <w:szCs w:val="32"/>
        </w:rPr>
      </w:pPr>
      <w:bookmarkStart w:id="30" w:name="_Toc22549"/>
      <w:r>
        <w:rPr>
          <w:rFonts w:hint="eastAsia" w:ascii="仿宋_GB2312" w:hAnsi="仿宋_GB2312" w:eastAsia="仿宋_GB2312" w:cs="仿宋_GB2312"/>
          <w:sz w:val="32"/>
          <w:szCs w:val="32"/>
        </w:rPr>
        <w:t>(4)核实人员伤亡和经济损失情况。</w:t>
      </w:r>
      <w:bookmarkEnd w:id="30"/>
    </w:p>
    <w:p w14:paraId="7A14CB4C">
      <w:pPr>
        <w:ind w:firstLine="643" w:firstLineChars="200"/>
        <w:outlineLvl w:val="1"/>
        <w:rPr>
          <w:rFonts w:hint="eastAsia" w:ascii="楷体_GB2312" w:hAnsi="楷体_GB2312" w:eastAsia="楷体_GB2312" w:cs="楷体_GB2312"/>
          <w:sz w:val="32"/>
          <w:szCs w:val="32"/>
        </w:rPr>
      </w:pPr>
      <w:bookmarkStart w:id="31" w:name="_Toc16837"/>
      <w:bookmarkStart w:id="32" w:name="_Toc367"/>
      <w:r>
        <w:rPr>
          <w:rFonts w:hint="eastAsia" w:ascii="仿宋_GB2312" w:hAnsi="仿宋_GB2312" w:cs="Times New Roman"/>
          <w:b/>
          <w:color w:val="auto"/>
          <w:szCs w:val="20"/>
          <w:lang w:val="en-US" w:eastAsia="zh-CN"/>
        </w:rPr>
        <w:t xml:space="preserve">2.1.1 </w:t>
      </w:r>
      <w:r>
        <w:rPr>
          <w:rFonts w:hint="eastAsia" w:ascii="仿宋_GB2312" w:hAnsi="仿宋_GB2312" w:eastAsia="仿宋_GB2312" w:cs="仿宋_GB2312"/>
          <w:sz w:val="32"/>
          <w:szCs w:val="32"/>
        </w:rPr>
        <w:t>指挥部办公室</w:t>
      </w:r>
      <w:bookmarkEnd w:id="31"/>
      <w:bookmarkEnd w:id="32"/>
    </w:p>
    <w:p w14:paraId="22F9EB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县非煤矿山生产安全事故指挥部(以下简称县指挥部)下设办公室,办公室设在县应急局,办公室主任由县应急局、县自然资源局主要负责人兼任。电话号码为0358-3025128。</w:t>
      </w:r>
    </w:p>
    <w:p w14:paraId="5C5C7A3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en-US" w:eastAsia="zh-CN"/>
        </w:rPr>
        <w:t>:</w:t>
      </w:r>
    </w:p>
    <w:p w14:paraId="3203A3D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(1)负责非煤矿山指挥部日常工作</w:t>
      </w:r>
      <w:r>
        <w:rPr>
          <w:rFonts w:hint="eastAsia" w:ascii="仿宋_GB2312" w:hAnsi="仿宋_GB2312" w:eastAsia="仿宋_GB2312" w:cs="仿宋_GB2312"/>
          <w:sz w:val="32"/>
          <w:szCs w:val="32"/>
          <w:lang w:val="en-US" w:eastAsia="zh-CN"/>
        </w:rPr>
        <w:t>；</w:t>
      </w:r>
    </w:p>
    <w:p w14:paraId="2CFBE7AE">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(2)做好应急值守工作，及时接听应急电话</w:t>
      </w:r>
      <w:r>
        <w:rPr>
          <w:rFonts w:hint="eastAsia" w:ascii="仿宋_GB2312" w:hAnsi="仿宋_GB2312" w:eastAsia="仿宋_GB2312" w:cs="仿宋_GB2312"/>
          <w:sz w:val="32"/>
          <w:szCs w:val="32"/>
          <w:lang w:val="en-US" w:eastAsia="zh-CN"/>
        </w:rPr>
        <w:t>；</w:t>
      </w:r>
    </w:p>
    <w:p w14:paraId="3C92335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(3)组织非煤矿山生产安全事故应急预案的编制和定期修订工作</w:t>
      </w:r>
      <w:r>
        <w:rPr>
          <w:rFonts w:hint="eastAsia" w:ascii="仿宋_GB2312" w:hAnsi="仿宋_GB2312" w:eastAsia="仿宋_GB2312" w:cs="仿宋_GB2312"/>
          <w:sz w:val="32"/>
          <w:szCs w:val="32"/>
          <w:lang w:val="en-US" w:eastAsia="zh-CN"/>
        </w:rPr>
        <w:t>；</w:t>
      </w:r>
    </w:p>
    <w:p w14:paraId="305510E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(4)协助指挥部做好事故预警、报警、情况通报和事故应急救援工作。接警后立即向指挥部报告事故情况，接到应急命令后，迅速派出人员和有关成员单位赶往事故现场，协助指挥部指挥长开展应急救援工作</w:t>
      </w:r>
      <w:r>
        <w:rPr>
          <w:rFonts w:hint="eastAsia" w:ascii="仿宋_GB2312" w:hAnsi="仿宋_GB2312" w:eastAsia="仿宋_GB2312" w:cs="仿宋_GB2312"/>
          <w:sz w:val="32"/>
          <w:szCs w:val="32"/>
          <w:lang w:val="en-US" w:eastAsia="zh-CN"/>
        </w:rPr>
        <w:t>；</w:t>
      </w:r>
    </w:p>
    <w:p w14:paraId="1D48A99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(5)配合宣传部、新闻媒体发布生产安全事故新闻</w:t>
      </w:r>
      <w:r>
        <w:rPr>
          <w:rFonts w:hint="eastAsia" w:ascii="仿宋_GB2312" w:hAnsi="仿宋_GB2312" w:eastAsia="仿宋_GB2312" w:cs="仿宋_GB2312"/>
          <w:sz w:val="32"/>
          <w:szCs w:val="32"/>
          <w:lang w:val="en-US" w:eastAsia="zh-CN"/>
        </w:rPr>
        <w:t>；</w:t>
      </w:r>
    </w:p>
    <w:p w14:paraId="724D26A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(6)组织开展安全专家组的建设管</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w:t>
      </w:r>
    </w:p>
    <w:p w14:paraId="71C2D88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(7)组织开展本预案宣传、培训、演练工作</w:t>
      </w:r>
      <w:r>
        <w:rPr>
          <w:rFonts w:hint="eastAsia" w:ascii="仿宋_GB2312" w:hAnsi="仿宋_GB2312" w:eastAsia="仿宋_GB2312" w:cs="仿宋_GB2312"/>
          <w:sz w:val="32"/>
          <w:szCs w:val="32"/>
          <w:lang w:eastAsia="zh-CN"/>
        </w:rPr>
        <w:t>；</w:t>
      </w:r>
    </w:p>
    <w:p w14:paraId="4C68C3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(8)总结应急救援的经验教训，完善应急预案内容。</w:t>
      </w:r>
    </w:p>
    <w:p w14:paraId="0EE134C4">
      <w:pPr>
        <w:ind w:firstLine="640" w:firstLineChars="200"/>
        <w:outlineLvl w:val="0"/>
        <w:rPr>
          <w:rFonts w:hint="eastAsia" w:ascii="楷体_GB2312" w:hAnsi="楷体_GB2312" w:eastAsia="楷体_GB2312" w:cs="楷体_GB2312"/>
          <w:sz w:val="32"/>
          <w:szCs w:val="32"/>
        </w:rPr>
      </w:pPr>
      <w:bookmarkStart w:id="33" w:name="_Toc28487"/>
      <w:bookmarkStart w:id="34" w:name="_Toc24519"/>
      <w:bookmarkStart w:id="35" w:name="_Toc6263"/>
      <w:r>
        <w:rPr>
          <w:rFonts w:hint="eastAsia" w:ascii="楷体_GB2312" w:hAnsi="楷体_GB2312" w:eastAsia="楷体_GB2312" w:cs="楷体_GB2312"/>
          <w:sz w:val="32"/>
          <w:szCs w:val="32"/>
        </w:rPr>
        <w:t>2.2现场应急指挥部构成及职责</w:t>
      </w:r>
      <w:bookmarkEnd w:id="33"/>
      <w:bookmarkEnd w:id="34"/>
      <w:bookmarkEnd w:id="35"/>
    </w:p>
    <w:p w14:paraId="16E4F15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现场应急指挥部是非煤矿山发生一般及以上生产安全事故后成立的临时机构，是事故应急处置的最高决策指挥机构，实行指挥长负责制。根据救援工作实际，下设9个工作小组（根据工作需要可作调整）：</w:t>
      </w:r>
    </w:p>
    <w:p w14:paraId="1F8F9C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应急指挥部：由指挥长和副指挥长、县公安局、县卫生健康局、县交通运输局、县人社局、县消防救援大队、事发地乡镇人民政府负责人和专家组组成。全面负责现场的应急救援指挥工作，确定应急救援的实施方案、警戒区域，组织指挥应急救援队伍和人员实施救援行动，收集和上报现场抢险救援信息，传达上级领导关于抢险救援指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需要外部力量增援时，报请应急指挥部协调，并说明需要增援的力量、救援装备等情况。</w:t>
      </w:r>
    </w:p>
    <w:p w14:paraId="5D6DE6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（2）抢险救援组：由县消防救援大队、事故单位和指挥部紧急调集的有关专业工程人员组成。负责制订并实施现场抢险救援方案、保障安全技术措施和救援实施。</w:t>
      </w:r>
    </w:p>
    <w:p w14:paraId="007912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（3）技术专家组：由县应急管理局牵头有关技术专家和事故单位技术负责人组成。负责对事故进行分析研究和事态评估，制订抢险救援方案和保障抢险救援安全技术措施，解决抢险过程遇到的技术指导。</w:t>
      </w:r>
    </w:p>
    <w:p w14:paraId="625515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疗救治组：由县卫生健康局负责，调集县人民医院、县中医院、县疾病预防控制中心和事故发生地乡镇卫生院人员组成。负责调配应急医疗救援队，储备应急药品和装备，综合协调非煤矿山生产安全灾难事故紧急医疗救护和现场卫生处置相关事项。根据应急救援事态发展，必要时可向上级卫健委提出请求，协调有关专业医疗救护机构派出有关专家、提供特种药品和特治救治装备进行支援。</w:t>
      </w:r>
    </w:p>
    <w:p w14:paraId="3BD4A4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（5）物资保障组：由县应急管理局负责，县财政局、县工</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局、县发展改革局、县交通运输局、县商务局、县公安局、县供电公司和事发地乡镇人民政府负责人组成。负责组织抢险物资、设备、装备的储备调度和供应保障。</w:t>
      </w:r>
    </w:p>
    <w:p w14:paraId="64617B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（6）警戒保卫组：由县公安局负责，事发地派出所负责人及有关民警和事发单位保卫机构负责人组成。负责事故发生后的人员疏散、安全警戒、治安巡逻、矿区社会秩序维护和交通疏导工作。</w:t>
      </w:r>
    </w:p>
    <w:p w14:paraId="4FB5FC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调查评估组：由县政府或县政府授权有关门组成一般事故调查组，由县纪委监委、县应急管理局、县公安局、县检察院、县总工会、有关行业主管部门、事发地乡镇人民政府负责人组成。负责收集现场有关事故现场物证，对事发单位有关人员进行调查询问，分析确认事故原因、事故性质、责任和评估损失，提出处理意见，提交事故调查报告。</w:t>
      </w:r>
    </w:p>
    <w:p w14:paraId="6828B1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（8）善后处置组：由事发地乡镇人民政府负责，县人社局、县民政局、县总工会和事故单位负责人组成。负责伤亡人员及家属接待和安抚、经济补偿协调和社会稳定工作。</w:t>
      </w:r>
    </w:p>
    <w:p w14:paraId="377322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（9）宣传报道组：由县委宣传部负责，县政府办、县应急管理局和事发地乡镇人民政府负责人等组成。负责及时上报人员伤亡和救援情况，确定对外宣传和信息发布。</w:t>
      </w:r>
    </w:p>
    <w:p w14:paraId="4CDBEB76">
      <w:pPr>
        <w:ind w:firstLine="640" w:firstLineChars="200"/>
        <w:outlineLvl w:val="0"/>
        <w:rPr>
          <w:rFonts w:hint="eastAsia" w:ascii="楷体_GB2312" w:hAnsi="楷体_GB2312" w:eastAsia="楷体_GB2312" w:cs="楷体_GB2312"/>
          <w:sz w:val="32"/>
          <w:szCs w:val="32"/>
        </w:rPr>
      </w:pPr>
      <w:bookmarkStart w:id="36" w:name="_Toc13249"/>
      <w:bookmarkStart w:id="37" w:name="_Toc9266"/>
      <w:bookmarkStart w:id="38" w:name="_Toc4110"/>
      <w:r>
        <w:rPr>
          <w:rFonts w:hint="eastAsia" w:ascii="楷体_GB2312" w:hAnsi="楷体_GB2312" w:eastAsia="楷体_GB2312" w:cs="楷体_GB2312"/>
          <w:sz w:val="32"/>
          <w:szCs w:val="32"/>
        </w:rPr>
        <w:t>2.3应急救援队伍及职责</w:t>
      </w:r>
      <w:bookmarkEnd w:id="36"/>
      <w:bookmarkEnd w:id="37"/>
      <w:bookmarkEnd w:id="38"/>
    </w:p>
    <w:p w14:paraId="462368C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队伍由事故发生单位应急救援人员、消防救援大队等其它应急救援力量组成。接到调度指令后，立即启动应急响应，携带专业救援装备器材，赶赴事故现场，在应急指挥部的统一指挥和调度下开展救援处置工作。</w:t>
      </w:r>
    </w:p>
    <w:p w14:paraId="0AB9CC64">
      <w:pPr>
        <w:ind w:firstLine="643" w:firstLineChars="200"/>
        <w:outlineLvl w:val="1"/>
        <w:rPr>
          <w:rFonts w:hint="eastAsia" w:ascii="仿宋" w:hAnsi="仿宋" w:eastAsia="仿宋" w:cs="仿宋"/>
          <w:sz w:val="32"/>
          <w:szCs w:val="32"/>
        </w:rPr>
      </w:pPr>
      <w:bookmarkStart w:id="39" w:name="_Toc20850"/>
      <w:bookmarkStart w:id="40" w:name="_Toc15688"/>
      <w:r>
        <w:rPr>
          <w:rFonts w:hint="eastAsia" w:ascii="仿宋_GB2312" w:hAnsi="仿宋_GB2312" w:cs="Times New Roman"/>
          <w:b/>
          <w:color w:val="auto"/>
          <w:szCs w:val="20"/>
          <w:lang w:val="en-US" w:eastAsia="zh-CN"/>
        </w:rPr>
        <w:t>2.3.1</w:t>
      </w:r>
      <w:r>
        <w:rPr>
          <w:rFonts w:hint="eastAsia" w:ascii="仿宋_GB2312" w:hAnsi="仿宋_GB2312" w:eastAsia="仿宋_GB2312" w:cs="仿宋_GB2312"/>
          <w:sz w:val="32"/>
          <w:szCs w:val="32"/>
        </w:rPr>
        <w:t>各成员单位职责</w:t>
      </w:r>
      <w:bookmarkEnd w:id="39"/>
    </w:p>
    <w:p w14:paraId="43FB6E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县政府办：参与非煤矿山生产安全事故的应急处理和善后处置工作，负责向县政府相关领导和市应急救援中心报告救援情况传达指示等。</w:t>
      </w:r>
    </w:p>
    <w:p w14:paraId="6434718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县委宣传部:负责指导涉事部门做好应对生产安全事故的新闻发布、做好宣传报道工作。</w:t>
      </w:r>
    </w:p>
    <w:p w14:paraId="47ED163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县应急管理局：负责组织、协调非煤矿山生产安全事故应急救援。根据需要，统筹协调相关部门和乡镇的应急资源；根据专家意见向指挥部提出应急处置建议；制定和完善非煤矿山</w:t>
      </w:r>
      <w:r>
        <w:rPr>
          <w:rFonts w:hint="eastAsia" w:ascii="仿宋_GB2312" w:hAnsi="仿宋_GB2312" w:cs="仿宋_GB2312"/>
          <w:sz w:val="32"/>
          <w:szCs w:val="32"/>
          <w:lang w:eastAsia="zh-CN"/>
        </w:rPr>
        <w:t>生产安全事故</w:t>
      </w:r>
      <w:r>
        <w:rPr>
          <w:rFonts w:hint="eastAsia" w:ascii="仿宋_GB2312" w:hAnsi="仿宋_GB2312" w:eastAsia="仿宋_GB2312" w:cs="仿宋_GB2312"/>
          <w:sz w:val="32"/>
          <w:szCs w:val="32"/>
        </w:rPr>
        <w:t>应急救援预案；及时向指挥部、县政府办公室和市应急管理局报告事故情况；负责生产安全事故的调查工作。</w:t>
      </w:r>
    </w:p>
    <w:p w14:paraId="3799EC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县工</w:t>
      </w:r>
      <w:r>
        <w:rPr>
          <w:rFonts w:hint="eastAsia" w:ascii="仿宋_GB2312" w:hAnsi="仿宋_GB2312" w:cs="仿宋_GB2312"/>
          <w:sz w:val="32"/>
          <w:szCs w:val="32"/>
          <w:lang w:eastAsia="zh-CN"/>
        </w:rPr>
        <w:t>科</w:t>
      </w:r>
      <w:r>
        <w:rPr>
          <w:rFonts w:hint="eastAsia" w:ascii="仿宋_GB2312" w:hAnsi="仿宋_GB2312" w:eastAsia="仿宋_GB2312" w:cs="仿宋_GB2312"/>
          <w:sz w:val="32"/>
          <w:szCs w:val="32"/>
        </w:rPr>
        <w:t>局：负责协调通信、信息网络安全等事故的应急处置，协调县电信公司、县移动公司、县联通公司、县供电公司在生产安全事故应急救援过程中的应急通信保障和应急救援所需的电力保障，会同县有关部门组织、协调应急救援物资保障。</w:t>
      </w:r>
    </w:p>
    <w:p w14:paraId="2428FBB3">
      <w:pPr>
        <w:ind w:firstLine="640" w:firstLineChars="200"/>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eastAsia="zh-CN"/>
        </w:rPr>
        <w:t>县</w:t>
      </w:r>
      <w:r>
        <w:rPr>
          <w:rFonts w:hint="eastAsia" w:ascii="仿宋_GB2312" w:hAnsi="仿宋_GB2312" w:eastAsia="仿宋_GB2312" w:cs="仿宋_GB2312"/>
          <w:sz w:val="32"/>
          <w:szCs w:val="32"/>
        </w:rPr>
        <w:t>能源局：协调县供电公司在生产安全事故应急救援所需的电力保障</w:t>
      </w:r>
      <w:r>
        <w:rPr>
          <w:rFonts w:hint="eastAsia" w:ascii="仿宋_GB2312" w:hAnsi="仿宋_GB2312" w:cs="仿宋_GB2312"/>
          <w:sz w:val="32"/>
          <w:szCs w:val="32"/>
          <w:lang w:eastAsia="zh-CN"/>
        </w:rPr>
        <w:t>。</w:t>
      </w:r>
    </w:p>
    <w:p w14:paraId="3780AA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县自然资源局：负责做好地质灾害防治的监测、预报、预警；指导生产安全事故中与地质灾害应急救援技术指导，提供应急救援所需的自然资源数据和资料，做好应急相关专家的协调联络工作。</w:t>
      </w:r>
    </w:p>
    <w:p w14:paraId="147069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县卫生健康局：负责具体组织协调应急医疗救援、卫生防疫，医疗器材和急救药品的储备和调运。</w:t>
      </w:r>
    </w:p>
    <w:p w14:paraId="6E4F01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县公安局：负责事故现场警戒和治安防范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协调涉及民爆危险品的应急处置工作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做好事故发生地重点目标、重点县域的保卫;做好事故现场警戒、人员摸排、治安维护，做好事故现场周边的道路交通管理工作。参与生产安全事故的调查工作。</w:t>
      </w:r>
    </w:p>
    <w:p w14:paraId="4575BE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交通运输局：负责开辟救援绿色通道，协助调集、征用救援车辆，组织抢修因事故损坏的交通公路设施，保障交通干线和抢险救援路线的畅通；在危险路段设立醒目的标志牌，警示过往的行人车辆；做好抢险救援人员、物资及撤离人员的紧急运输工作。</w:t>
      </w:r>
    </w:p>
    <w:p w14:paraId="50773D5D">
      <w:p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市</w:t>
      </w:r>
      <w:r>
        <w:rPr>
          <w:rFonts w:hint="eastAsia" w:ascii="仿宋_GB2312" w:hAnsi="仿宋_GB2312" w:eastAsia="仿宋_GB2312" w:cs="仿宋_GB2312"/>
          <w:sz w:val="32"/>
          <w:szCs w:val="32"/>
        </w:rPr>
        <w:t>生态环境分局：负责非煤矿山生产安全事故引发次的环境污染事件的应急监测，调查事故对环境造成的污染情况，提出具体解决污染措施的建议，并配合事发地乡镇做好相关应急处置工作。</w:t>
      </w:r>
    </w:p>
    <w:p w14:paraId="6898B9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县气象局：负责提供灾害预警所需的气象资料信息，监测天气形势，及时提供天气预报和雨情雨量信息，发布本县域地质灾害气象信息预警预报。</w:t>
      </w:r>
    </w:p>
    <w:p w14:paraId="41F2E6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县财政局：负责安排非煤矿山生产安全事故应急资金预算、拨付并对其使用情况进行监督检查。</w:t>
      </w:r>
    </w:p>
    <w:p w14:paraId="0EB74E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县总工会：参与生产安全事故的调查及善后处理工作，协助做好安抚工作;监督检查劳动发律、法规的执行情况，维护职工权益。</w:t>
      </w:r>
    </w:p>
    <w:p w14:paraId="132FEF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县人社局：负责制定伤亡人员抚恤保障方案，为参加社会保险的伤亡人员的医疗救治、抚恤等提供资金保障，协助做好事故善后工作。</w:t>
      </w:r>
    </w:p>
    <w:p w14:paraId="592440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县民政局：负责因灾害导致生活困难的家庭，按程序及时纳入社会救助，保障受灾群众的基本生活及协助遇难人员遗体处置等相关事务。</w:t>
      </w:r>
    </w:p>
    <w:p w14:paraId="07B545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县市场监督管理局：负责制定压力容器、压力管道等特种设备事故抢救方案，处置特种设备事故。</w:t>
      </w:r>
    </w:p>
    <w:p w14:paraId="3641CDCF">
      <w:p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县</w:t>
      </w:r>
      <w:r>
        <w:rPr>
          <w:rFonts w:hint="eastAsia" w:ascii="仿宋_GB2312" w:hAnsi="仿宋_GB2312" w:eastAsia="仿宋_GB2312" w:cs="仿宋_GB2312"/>
          <w:sz w:val="32"/>
          <w:szCs w:val="32"/>
        </w:rPr>
        <w:t>发展改革局：落实重要物资和应急物资动用计划和指令。</w:t>
      </w:r>
    </w:p>
    <w:p w14:paraId="1702FEE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县商务局：负责组织、协调应急生活</w:t>
      </w:r>
      <w:r>
        <w:rPr>
          <w:rFonts w:hint="eastAsia" w:ascii="仿宋_GB2312" w:hAnsi="仿宋_GB2312" w:cs="仿宋_GB2312"/>
          <w:sz w:val="32"/>
          <w:szCs w:val="32"/>
          <w:lang w:eastAsia="zh-CN"/>
        </w:rPr>
        <w:t>必需品</w:t>
      </w:r>
      <w:r>
        <w:rPr>
          <w:rFonts w:hint="eastAsia" w:ascii="仿宋_GB2312" w:hAnsi="仿宋_GB2312" w:eastAsia="仿宋_GB2312" w:cs="仿宋_GB2312"/>
          <w:sz w:val="32"/>
          <w:szCs w:val="32"/>
        </w:rPr>
        <w:t>的供应。</w:t>
      </w:r>
    </w:p>
    <w:p w14:paraId="656EE2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县消防救援大队：负责事故现场抢险救援工作。</w:t>
      </w:r>
    </w:p>
    <w:p w14:paraId="2B2B7A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供电公司：负责事故应急救援电力保障。</w:t>
      </w:r>
      <w:bookmarkStart w:id="134" w:name="_GoBack"/>
      <w:bookmarkEnd w:id="134"/>
    </w:p>
    <w:p w14:paraId="6B3EC58E">
      <w:pPr>
        <w:ind w:firstLine="640" w:firstLineChars="200"/>
        <w:outlineLvl w:val="0"/>
        <w:rPr>
          <w:rFonts w:hint="eastAsia" w:ascii="楷体_GB2312" w:hAnsi="楷体_GB2312" w:eastAsia="楷体_GB2312" w:cs="楷体_GB2312"/>
          <w:sz w:val="32"/>
          <w:szCs w:val="32"/>
        </w:rPr>
      </w:pPr>
      <w:bookmarkStart w:id="41" w:name="_Toc10417"/>
      <w:bookmarkStart w:id="42" w:name="_Toc827"/>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事故发生单位职责</w:t>
      </w:r>
      <w:bookmarkEnd w:id="40"/>
      <w:bookmarkEnd w:id="41"/>
      <w:bookmarkEnd w:id="42"/>
    </w:p>
    <w:p w14:paraId="25A4D5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及时启动本单位的应急救援预案,全力组织自救，配合事故应急救援工作，提供事故现场的有关资料，提供救援设备和工具。</w:t>
      </w:r>
    </w:p>
    <w:p w14:paraId="7E17D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事故发生单位要如实向指挥部报告事故或险情情况，接受落实指挥部交办的工作，为应急处置工作提供技术支持，组织生产人员执行应急处置工作，不得故意破坏事故现场、毁灭证据。</w:t>
      </w:r>
    </w:p>
    <w:p w14:paraId="72A4A710">
      <w:pPr>
        <w:ind w:firstLine="640" w:firstLineChars="200"/>
        <w:outlineLvl w:val="0"/>
        <w:rPr>
          <w:rFonts w:hint="eastAsia" w:ascii="楷体_GB2312" w:hAnsi="楷体_GB2312" w:eastAsia="楷体_GB2312" w:cs="楷体_GB2312"/>
          <w:sz w:val="32"/>
          <w:szCs w:val="32"/>
        </w:rPr>
      </w:pPr>
      <w:bookmarkStart w:id="43" w:name="_Toc28914"/>
      <w:bookmarkStart w:id="44" w:name="_Toc177"/>
      <w:bookmarkStart w:id="45" w:name="_Toc10425"/>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应急救援专家职责</w:t>
      </w:r>
      <w:bookmarkEnd w:id="43"/>
      <w:bookmarkEnd w:id="44"/>
      <w:bookmarkEnd w:id="45"/>
    </w:p>
    <w:p w14:paraId="412DFB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应急救援专家从省级专家库中抽调，由应急指挥部办公室抽调相关专家赶赴指定地点或通过网络、电话联络等手段，为应急救援工作提供专业咨询和技术支持，为事故救援处置提供辅助决策建议。</w:t>
      </w:r>
    </w:p>
    <w:p w14:paraId="7E5062AF">
      <w:pPr>
        <w:ind w:firstLine="640" w:firstLineChars="200"/>
        <w:outlineLvl w:val="0"/>
        <w:rPr>
          <w:rFonts w:hint="eastAsia" w:ascii="楷体_GB2312" w:hAnsi="楷体_GB2312" w:eastAsia="楷体_GB2312" w:cs="楷体_GB2312"/>
          <w:sz w:val="32"/>
          <w:szCs w:val="32"/>
          <w:lang w:val="en-US" w:eastAsia="zh-CN"/>
        </w:rPr>
      </w:pPr>
      <w:bookmarkStart w:id="46" w:name="_Toc14282"/>
      <w:bookmarkStart w:id="47" w:name="_Toc12752"/>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6风险防控</w:t>
      </w:r>
      <w:bookmarkEnd w:id="46"/>
      <w:bookmarkEnd w:id="47"/>
    </w:p>
    <w:p w14:paraId="68580D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要健全风险防范化解机制，提升多灾种和灾害链综合监测、风险早期识别能力，对各类危险源、危险区域进行调查、辨识、评估、分级、登记，建立台账，定期进行检查、监控，责令有关单位采取安全防范措施，并建立信息共享机制，按照有关规定及时向社会公布相关信息。有关部门要按照职责分工对可能发生的突发事件进行综合性评估和趋势分析，研究制定风险分级分类标准和管理办法。各级专项应急指挥部办公室牵头，组织本指挥部成员单位于每年年底对下一年度相关类别突发事件发生发展趋势进行研判和预测分析，提出防范措施建议，报本级党委、政府，抄送应急管理部门。</w:t>
      </w:r>
    </w:p>
    <w:p w14:paraId="4AD64F7C">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黑体" w:hAnsi="黑体" w:eastAsia="黑体" w:cs="黑体"/>
          <w:sz w:val="32"/>
          <w:szCs w:val="32"/>
        </w:rPr>
      </w:pPr>
      <w:bookmarkStart w:id="48" w:name="_Toc15393"/>
      <w:bookmarkStart w:id="49" w:name="_Toc6663"/>
      <w:bookmarkStart w:id="50" w:name="_Toc9699"/>
      <w:r>
        <w:rPr>
          <w:rFonts w:hint="eastAsia" w:ascii="黑体" w:hAnsi="黑体" w:eastAsia="黑体" w:cs="黑体"/>
          <w:sz w:val="32"/>
          <w:szCs w:val="32"/>
        </w:rPr>
        <w:t>三、信息报告与预警</w:t>
      </w:r>
      <w:bookmarkEnd w:id="48"/>
      <w:bookmarkEnd w:id="49"/>
      <w:bookmarkEnd w:id="50"/>
    </w:p>
    <w:p w14:paraId="3F121503">
      <w:pPr>
        <w:ind w:firstLine="640" w:firstLineChars="200"/>
        <w:outlineLvl w:val="0"/>
        <w:rPr>
          <w:rFonts w:hint="eastAsia" w:ascii="楷体_GB2312" w:hAnsi="楷体_GB2312" w:eastAsia="楷体_GB2312" w:cs="楷体_GB2312"/>
          <w:sz w:val="32"/>
          <w:szCs w:val="32"/>
        </w:rPr>
      </w:pPr>
      <w:bookmarkStart w:id="51" w:name="_Toc20015"/>
      <w:bookmarkStart w:id="52" w:name="_Toc28981"/>
      <w:bookmarkStart w:id="53" w:name="_Toc13718"/>
      <w:r>
        <w:rPr>
          <w:rFonts w:hint="eastAsia" w:ascii="楷体_GB2312" w:hAnsi="楷体_GB2312" w:eastAsia="楷体_GB2312" w:cs="楷体_GB2312"/>
          <w:sz w:val="32"/>
          <w:szCs w:val="32"/>
        </w:rPr>
        <w:t>3.1信息报告</w:t>
      </w:r>
      <w:bookmarkEnd w:id="51"/>
      <w:bookmarkEnd w:id="52"/>
      <w:bookmarkEnd w:id="53"/>
    </w:p>
    <w:p w14:paraId="7035AB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事故发生单位应当根据国家有关规定，对本企业内重大危险源和重大隐患进行监控，对可能引发事故灾害的信息进行分析，对可能造成非煤矿山一般及以上事故的信息，及时报告县应急管理局。</w:t>
      </w:r>
    </w:p>
    <w:p w14:paraId="2DE0437C">
      <w:pPr>
        <w:ind w:firstLine="643" w:firstLineChars="200"/>
        <w:outlineLvl w:val="1"/>
        <w:rPr>
          <w:rFonts w:hint="eastAsia" w:ascii="仿宋" w:hAnsi="仿宋" w:eastAsia="仿宋" w:cs="仿宋"/>
          <w:sz w:val="32"/>
          <w:szCs w:val="32"/>
        </w:rPr>
      </w:pPr>
      <w:bookmarkStart w:id="54" w:name="_Toc27569"/>
      <w:r>
        <w:rPr>
          <w:rFonts w:hint="eastAsia" w:ascii="仿宋_GB2312" w:hAnsi="仿宋_GB2312" w:cs="Times New Roman"/>
          <w:b/>
          <w:color w:val="auto"/>
          <w:szCs w:val="20"/>
          <w:lang w:val="en-US" w:eastAsia="zh-CN"/>
        </w:rPr>
        <w:t>3.1.1</w:t>
      </w:r>
      <w:r>
        <w:rPr>
          <w:rFonts w:hint="eastAsia" w:ascii="仿宋_GB2312" w:hAnsi="仿宋_GB2312" w:eastAsia="仿宋_GB2312" w:cs="仿宋_GB2312"/>
          <w:sz w:val="32"/>
          <w:szCs w:val="32"/>
        </w:rPr>
        <w:t>事故报告的程序</w:t>
      </w:r>
      <w:bookmarkEnd w:id="54"/>
    </w:p>
    <w:p w14:paraId="2059B916">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（1）发生非煤矿山事故后，现场人员要立即开展自救和互救，并立即报告本单位负责人。</w:t>
      </w:r>
    </w:p>
    <w:p w14:paraId="2DF98820">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（2）事故发生单位负责人接到事故报告并经核实后，应迅速组织救援，并</w:t>
      </w:r>
      <w:r>
        <w:rPr>
          <w:rFonts w:hint="eastAsia" w:ascii="仿宋_GB2312" w:hAnsi="仿宋_GB2312" w:eastAsia="仿宋_GB2312" w:cs="仿宋_GB2312"/>
          <w:sz w:val="32"/>
          <w:szCs w:val="32"/>
          <w:lang w:eastAsia="zh-CN"/>
        </w:rPr>
        <w:t>在一小时内</w:t>
      </w:r>
      <w:r>
        <w:rPr>
          <w:rFonts w:hint="eastAsia" w:ascii="仿宋_GB2312" w:hAnsi="仿宋_GB2312" w:eastAsia="仿宋_GB2312" w:cs="仿宋_GB2312"/>
          <w:sz w:val="32"/>
          <w:szCs w:val="32"/>
        </w:rPr>
        <w:t>向企业所在地乡镇人民政府、县应急管理局报告。</w:t>
      </w:r>
    </w:p>
    <w:p w14:paraId="218B287C">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（3）对于已经明确发生一般及以上事故以及因矿山发生爆炸、塌方等事故导致死伤人数一时不明、灾情一时无法核实的突发事件时，县应急管理局接到信息报告后，采用速报方式在内向县政府办公室报告。</w:t>
      </w:r>
    </w:p>
    <w:p w14:paraId="499C09C7">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（4）县应急管理局在事故发生2小时内报送至市应急管理局。</w:t>
      </w:r>
    </w:p>
    <w:p w14:paraId="7B488CF0">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（5）县应急管理局实行24小时值班制度，确定当班人员负责事故信息报告工作，接受全县事故报告信息，24小时应急值守电话为0358-3025128。</w:t>
      </w:r>
    </w:p>
    <w:p w14:paraId="68126157">
      <w:pPr>
        <w:ind w:firstLine="643" w:firstLineChars="200"/>
        <w:outlineLvl w:val="1"/>
        <w:rPr>
          <w:rFonts w:hint="eastAsia" w:ascii="仿宋" w:hAnsi="仿宋" w:eastAsia="仿宋" w:cs="仿宋"/>
          <w:sz w:val="32"/>
          <w:szCs w:val="32"/>
        </w:rPr>
      </w:pPr>
      <w:bookmarkStart w:id="55" w:name="_Toc24287"/>
      <w:r>
        <w:rPr>
          <w:rFonts w:hint="eastAsia" w:ascii="仿宋_GB2312" w:hAnsi="仿宋_GB2312" w:cs="Times New Roman"/>
          <w:b/>
          <w:color w:val="auto"/>
          <w:szCs w:val="20"/>
          <w:lang w:val="en-US" w:eastAsia="zh-CN"/>
        </w:rPr>
        <w:t>3.1.2</w:t>
      </w:r>
      <w:r>
        <w:rPr>
          <w:rFonts w:hint="eastAsia" w:ascii="仿宋_GB2312" w:hAnsi="仿宋_GB2312" w:eastAsia="仿宋_GB2312" w:cs="仿宋_GB2312"/>
          <w:sz w:val="32"/>
          <w:szCs w:val="32"/>
        </w:rPr>
        <w:t>事故报告的内容</w:t>
      </w:r>
      <w:bookmarkEnd w:id="55"/>
    </w:p>
    <w:p w14:paraId="1EEFB689">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事故信息报告应包括下列内容：</w:t>
      </w:r>
    </w:p>
    <w:p w14:paraId="2D0AF802">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（1）事故或险情发生单位的名称、地址、性质等基本概况。</w:t>
      </w:r>
    </w:p>
    <w:p w14:paraId="033CDF47">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（2）事故发生的时间、地点以及事故现场情况。</w:t>
      </w:r>
    </w:p>
    <w:p w14:paraId="6BFB7114">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（3）事故的简要经过。</w:t>
      </w:r>
    </w:p>
    <w:p w14:paraId="61A5A670">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（4）事故已经造成或者可能造成的伤亡人数（包括下落不明的人数、涉险的人数）和初步估计的直接经济损失。</w:t>
      </w:r>
    </w:p>
    <w:p w14:paraId="1B742B06">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（5）已经采取的措施和抢险救援情况。</w:t>
      </w:r>
    </w:p>
    <w:p w14:paraId="6D151AC0">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（6）其他应当报告的情况。</w:t>
      </w:r>
    </w:p>
    <w:p w14:paraId="3ED6AC0F">
      <w:pPr>
        <w:ind w:firstLine="640" w:firstLineChars="200"/>
        <w:outlineLvl w:val="0"/>
        <w:rPr>
          <w:rFonts w:hint="eastAsia" w:ascii="楷体_GB2312" w:hAnsi="楷体_GB2312" w:eastAsia="楷体_GB2312" w:cs="楷体_GB2312"/>
          <w:sz w:val="32"/>
          <w:szCs w:val="32"/>
        </w:rPr>
      </w:pPr>
      <w:bookmarkStart w:id="56" w:name="_Toc765"/>
      <w:bookmarkStart w:id="57" w:name="_Toc3587"/>
      <w:bookmarkStart w:id="58" w:name="_Toc17806"/>
      <w:r>
        <w:rPr>
          <w:rFonts w:hint="eastAsia" w:ascii="楷体_GB2312" w:hAnsi="楷体_GB2312" w:eastAsia="楷体_GB2312" w:cs="楷体_GB2312"/>
          <w:sz w:val="32"/>
          <w:szCs w:val="32"/>
        </w:rPr>
        <w:t>3.2</w:t>
      </w:r>
      <w:r>
        <w:rPr>
          <w:rFonts w:hint="eastAsia" w:ascii="楷体_GB2312" w:hAnsi="楷体_GB2312" w:eastAsia="楷体_GB2312" w:cs="楷体_GB2312"/>
          <w:sz w:val="32"/>
          <w:szCs w:val="32"/>
          <w:lang w:val="en-US" w:eastAsia="zh-CN"/>
        </w:rPr>
        <w:t>监测</w:t>
      </w:r>
      <w:r>
        <w:rPr>
          <w:rFonts w:hint="eastAsia" w:ascii="楷体_GB2312" w:hAnsi="楷体_GB2312" w:eastAsia="楷体_GB2312" w:cs="楷体_GB2312"/>
          <w:sz w:val="32"/>
          <w:szCs w:val="32"/>
        </w:rPr>
        <w:t>预警</w:t>
      </w:r>
      <w:bookmarkEnd w:id="56"/>
      <w:bookmarkEnd w:id="57"/>
      <w:bookmarkEnd w:id="58"/>
    </w:p>
    <w:p w14:paraId="5001960A">
      <w:pPr>
        <w:ind w:firstLine="643" w:firstLineChars="200"/>
        <w:outlineLvl w:val="1"/>
        <w:rPr>
          <w:rFonts w:hint="eastAsia" w:ascii="仿宋" w:hAnsi="仿宋" w:eastAsia="仿宋" w:cs="仿宋"/>
          <w:sz w:val="32"/>
          <w:szCs w:val="32"/>
        </w:rPr>
      </w:pPr>
      <w:bookmarkStart w:id="59" w:name="_Toc19197"/>
      <w:r>
        <w:rPr>
          <w:rFonts w:hint="eastAsia" w:ascii="仿宋_GB2312" w:hAnsi="仿宋_GB2312" w:cs="Times New Roman"/>
          <w:b/>
          <w:color w:val="auto"/>
          <w:szCs w:val="20"/>
          <w:lang w:val="en-US" w:eastAsia="zh-CN"/>
        </w:rPr>
        <w:t>3.2.1</w:t>
      </w:r>
      <w:r>
        <w:rPr>
          <w:rFonts w:hint="eastAsia" w:ascii="仿宋_GB2312" w:hAnsi="仿宋_GB2312" w:eastAsia="仿宋_GB2312" w:cs="仿宋_GB2312"/>
          <w:sz w:val="32"/>
          <w:szCs w:val="32"/>
        </w:rPr>
        <w:t>预警信息报告的内容</w:t>
      </w:r>
      <w:bookmarkEnd w:id="59"/>
    </w:p>
    <w:p w14:paraId="33623E9E">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预警信息报告的内容包括预警级别、起始时间、可能影响的范围、警示事项、应采取的措施和发布机关等内容。</w:t>
      </w:r>
    </w:p>
    <w:p w14:paraId="2F52C3AC">
      <w:pPr>
        <w:ind w:firstLine="643" w:firstLineChars="200"/>
        <w:outlineLvl w:val="1"/>
        <w:rPr>
          <w:rFonts w:hint="eastAsia" w:ascii="仿宋" w:hAnsi="仿宋" w:eastAsia="仿宋" w:cs="仿宋"/>
          <w:sz w:val="32"/>
          <w:szCs w:val="32"/>
        </w:rPr>
      </w:pPr>
      <w:bookmarkStart w:id="60" w:name="_Toc7137"/>
      <w:bookmarkStart w:id="61" w:name="_Toc18320"/>
      <w:r>
        <w:rPr>
          <w:rFonts w:hint="eastAsia" w:ascii="仿宋_GB2312" w:hAnsi="仿宋_GB2312" w:cs="Times New Roman"/>
          <w:b/>
          <w:color w:val="auto"/>
          <w:szCs w:val="20"/>
          <w:lang w:val="en-US" w:eastAsia="zh-CN"/>
        </w:rPr>
        <w:t>3.2.2</w:t>
      </w:r>
      <w:r>
        <w:rPr>
          <w:rFonts w:hint="eastAsia" w:ascii="仿宋_GB2312" w:hAnsi="仿宋_GB2312" w:eastAsia="仿宋_GB2312" w:cs="仿宋_GB2312"/>
          <w:sz w:val="32"/>
          <w:szCs w:val="32"/>
        </w:rPr>
        <w:t>预警信息报告的形式</w:t>
      </w:r>
      <w:bookmarkEnd w:id="60"/>
      <w:bookmarkEnd w:id="61"/>
    </w:p>
    <w:p w14:paraId="193D6A1D">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预警信息的发布、调整和解除可通过广播、电视、报刊、通讯、信息网络、警报器、宣传车或者组织人员逐户通知等方式进行。</w:t>
      </w:r>
    </w:p>
    <w:p w14:paraId="34FC5A3C">
      <w:pPr>
        <w:ind w:firstLine="643" w:firstLineChars="200"/>
        <w:outlineLvl w:val="1"/>
        <w:rPr>
          <w:rFonts w:hint="eastAsia" w:ascii="仿宋" w:hAnsi="仿宋" w:eastAsia="仿宋" w:cs="仿宋"/>
          <w:sz w:val="32"/>
          <w:szCs w:val="32"/>
        </w:rPr>
      </w:pPr>
      <w:bookmarkStart w:id="62" w:name="_Toc10796"/>
      <w:bookmarkStart w:id="63" w:name="_Toc16195"/>
      <w:r>
        <w:rPr>
          <w:rFonts w:hint="eastAsia" w:ascii="仿宋_GB2312" w:hAnsi="仿宋_GB2312" w:cs="Times New Roman"/>
          <w:b/>
          <w:color w:val="auto"/>
          <w:szCs w:val="20"/>
          <w:lang w:val="en-US" w:eastAsia="zh-CN"/>
        </w:rPr>
        <w:t>3.2.3</w:t>
      </w:r>
      <w:r>
        <w:rPr>
          <w:rFonts w:hint="eastAsia" w:ascii="仿宋_GB2312" w:hAnsi="仿宋_GB2312" w:eastAsia="仿宋_GB2312" w:cs="仿宋_GB2312"/>
          <w:sz w:val="32"/>
          <w:szCs w:val="32"/>
        </w:rPr>
        <w:t>预警行动</w:t>
      </w:r>
      <w:bookmarkEnd w:id="62"/>
      <w:bookmarkEnd w:id="63"/>
    </w:p>
    <w:p w14:paraId="2D9EBAF2">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办公室和各乡镇接到可能或者已经发生非煤矿山事故的信息后，要密切关注事态发展情况，研究确定应急方案；及时通知有关部门、单位采取针对性的措施预防事故发生，并按照有关应急预案做好应急准备工作。</w:t>
      </w:r>
    </w:p>
    <w:p w14:paraId="503E1F58">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指挥部办公室分析事故预警信息，若认为情况严重可发布可能发生非煤矿山一般及以上事故的预警信息。应急指挥部及其有关成员单位要按照相关应急预案做好应急准备工作。</w:t>
      </w:r>
    </w:p>
    <w:p w14:paraId="3FBB93C1">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当事故得到妥善处理、涉险事故危险性降低或消除时，根据变化情况适时降低预警级别或宣布解除预警。</w:t>
      </w:r>
    </w:p>
    <w:p w14:paraId="23F01AC8">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预警信息发布需经应急指挥部批准。</w:t>
      </w:r>
    </w:p>
    <w:p w14:paraId="67BF9E22">
      <w:pPr>
        <w:ind w:firstLine="643" w:firstLineChars="200"/>
        <w:outlineLvl w:val="1"/>
        <w:rPr>
          <w:rFonts w:hint="default" w:ascii="仿宋" w:hAnsi="仿宋" w:eastAsia="仿宋" w:cs="仿宋"/>
          <w:sz w:val="32"/>
          <w:szCs w:val="32"/>
          <w:lang w:val="en-US"/>
        </w:rPr>
      </w:pPr>
      <w:bookmarkStart w:id="64" w:name="_Toc14356"/>
      <w:r>
        <w:rPr>
          <w:rFonts w:hint="eastAsia" w:ascii="仿宋_GB2312" w:hAnsi="仿宋_GB2312" w:cs="Times New Roman"/>
          <w:b/>
          <w:color w:val="auto"/>
          <w:szCs w:val="20"/>
          <w:lang w:val="en-US" w:eastAsia="zh-CN"/>
        </w:rPr>
        <w:t>3.2.4</w:t>
      </w:r>
      <w:r>
        <w:rPr>
          <w:rFonts w:hint="eastAsia" w:ascii="仿宋_GB2312" w:hAnsi="仿宋_GB2312" w:eastAsia="仿宋_GB2312" w:cs="仿宋_GB2312"/>
          <w:sz w:val="32"/>
          <w:szCs w:val="32"/>
          <w:lang w:val="en-US" w:eastAsia="zh-CN"/>
        </w:rPr>
        <w:t>监测</w:t>
      </w:r>
      <w:bookmarkEnd w:id="64"/>
    </w:p>
    <w:p w14:paraId="4E11EF38">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各级党委、政府及有关</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要建立健全突发事件监测制度，整合监测信息资源，完善信息资源获取与共享机制；各级专项应急指挥部办公室负责相应突发事件监测信息汇总报告。各相关责任</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要根据突发事件种类和特点，建立健全基础信息数据库，完善监测网络，划分监测区域，确定监测点，明确监测项目，配备必要的设备、设施和专（兼）职人员，对可能发生的突发事件进行有效监测。</w:t>
      </w:r>
    </w:p>
    <w:p w14:paraId="65D12D6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bookmarkStart w:id="65" w:name="_Toc30032"/>
      <w:bookmarkStart w:id="66" w:name="_Toc30369"/>
      <w:bookmarkStart w:id="67" w:name="_Toc26962"/>
      <w:r>
        <w:rPr>
          <w:rFonts w:hint="eastAsia" w:ascii="黑体" w:hAnsi="黑体" w:eastAsia="黑体" w:cs="黑体"/>
          <w:sz w:val="32"/>
          <w:szCs w:val="32"/>
        </w:rPr>
        <w:t>四、应急响应</w:t>
      </w:r>
      <w:bookmarkEnd w:id="65"/>
      <w:bookmarkEnd w:id="66"/>
      <w:bookmarkEnd w:id="67"/>
    </w:p>
    <w:p w14:paraId="6C2A81FF">
      <w:pPr>
        <w:ind w:firstLine="640" w:firstLineChars="200"/>
        <w:outlineLvl w:val="0"/>
        <w:rPr>
          <w:rFonts w:hint="eastAsia" w:ascii="楷体_GB2312" w:hAnsi="楷体_GB2312" w:eastAsia="楷体_GB2312" w:cs="楷体_GB2312"/>
          <w:sz w:val="32"/>
          <w:szCs w:val="32"/>
        </w:rPr>
      </w:pPr>
      <w:bookmarkStart w:id="68" w:name="_Toc20221"/>
      <w:bookmarkStart w:id="69" w:name="_Toc12352"/>
      <w:bookmarkStart w:id="70" w:name="_Toc26051"/>
      <w:r>
        <w:rPr>
          <w:rFonts w:hint="eastAsia" w:ascii="楷体_GB2312" w:hAnsi="楷体_GB2312" w:eastAsia="楷体_GB2312" w:cs="楷体_GB2312"/>
          <w:sz w:val="32"/>
          <w:szCs w:val="32"/>
        </w:rPr>
        <w:t>4.1分级响应</w:t>
      </w:r>
      <w:bookmarkEnd w:id="68"/>
      <w:bookmarkEnd w:id="69"/>
      <w:bookmarkEnd w:id="70"/>
    </w:p>
    <w:p w14:paraId="04BAFBB2">
      <w:pPr>
        <w:ind w:firstLine="640" w:firstLineChars="200"/>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按照事故灾难的可控性、严重程度和影响范围，将非煤矿山事故应急响应级别分为一级（特别重大）响应、二级（重大）响应、三级（较大）响应、四级（一般）响应等。</w:t>
      </w:r>
    </w:p>
    <w:p w14:paraId="5F2C97D9">
      <w:pPr>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非煤矿山生产安全事故发生后，依据响应条件，启动相应等级响应（各等级响应条件见附件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14:paraId="4DBD6432">
      <w:pPr>
        <w:ind w:firstLine="643" w:firstLineChars="200"/>
        <w:outlineLvl w:val="1"/>
        <w:rPr>
          <w:rFonts w:hint="eastAsia" w:ascii="仿宋" w:hAnsi="仿宋" w:eastAsia="仿宋" w:cs="仿宋"/>
          <w:sz w:val="32"/>
          <w:szCs w:val="32"/>
        </w:rPr>
      </w:pPr>
      <w:bookmarkStart w:id="71" w:name="_Toc10868"/>
      <w:bookmarkStart w:id="72" w:name="_Toc31096"/>
      <w:r>
        <w:rPr>
          <w:rFonts w:hint="eastAsia" w:ascii="仿宋_GB2312" w:hAnsi="仿宋_GB2312" w:cs="Times New Roman"/>
          <w:b/>
          <w:color w:val="auto"/>
          <w:szCs w:val="20"/>
          <w:lang w:val="en-US" w:eastAsia="zh-CN"/>
        </w:rPr>
        <w:t>4.1.1</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级响应</w:t>
      </w:r>
      <w:bookmarkEnd w:id="71"/>
      <w:bookmarkEnd w:id="72"/>
    </w:p>
    <w:p w14:paraId="4D9FDA45">
      <w:pPr>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符合四级响应条件时，由县非煤矿山指挥部启动四级响应，重点做好以下工作：</w:t>
      </w:r>
    </w:p>
    <w:p w14:paraId="03405ABD">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事发地</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人民政府立即启动本级预案，开展先期处置。</w:t>
      </w:r>
    </w:p>
    <w:p w14:paraId="5AB71414">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县指挥部立即召开会议，研判矿山事故发展形势，部署应急处置工作。视需要组织专家和人员，赴现场统一指挥协调抢险救灾工作。</w:t>
      </w:r>
    </w:p>
    <w:p w14:paraId="4B805F3A">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研究抢险救灾紧急措施，调动应急人员，调拨抢险救灾经费和物资，划定矿山事故危险区，设立明显的危险区警示标志。</w:t>
      </w:r>
    </w:p>
    <w:p w14:paraId="5D548235">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组织医疗急救队伍全力抢救伤员。</w:t>
      </w:r>
    </w:p>
    <w:p w14:paraId="077ED340">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立即开展危险区域人员转移避让、疏散安置。加强监测，采取应急措施，防止事故进一步扩大，避免抢险救援过程中可能造成的二次人员伤亡。</w:t>
      </w:r>
    </w:p>
    <w:p w14:paraId="3BC61D04">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排查和消除可能发生的事故隐患，保护及抢修被损坏的道路、水、电、通信等设施，确保应急救援工作顺利开展。</w:t>
      </w:r>
    </w:p>
    <w:p w14:paraId="7820272F">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维护社会治安，预防和打击蓄意扩大传播矿山事故险情等各类违法犯罪活动。</w:t>
      </w:r>
    </w:p>
    <w:p w14:paraId="732047A2">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由县指挥部按照《</w:t>
      </w:r>
      <w:r>
        <w:rPr>
          <w:rFonts w:hint="eastAsia" w:ascii="仿宋_GB2312" w:hAnsi="仿宋_GB2312" w:eastAsia="仿宋_GB2312" w:cs="仿宋_GB2312"/>
          <w:sz w:val="32"/>
          <w:szCs w:val="32"/>
          <w:lang w:eastAsia="zh-CN"/>
        </w:rPr>
        <w:t>文水</w:t>
      </w:r>
      <w:r>
        <w:rPr>
          <w:rFonts w:hint="eastAsia" w:ascii="仿宋_GB2312" w:hAnsi="仿宋_GB2312" w:eastAsia="仿宋_GB2312" w:cs="仿宋_GB2312"/>
          <w:sz w:val="32"/>
          <w:szCs w:val="32"/>
        </w:rPr>
        <w:t>县突发事件新闻发布应急预案》和其他有关要求统一组织信息发布。未经批准，任何单位和个人不得擅自发布信息。</w:t>
      </w:r>
    </w:p>
    <w:p w14:paraId="54FE5DB4">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类抢险救援队及其人员要采取防范措施，确保自身安全。对事故现场能否进入、被困人员能否施救要进行危险性评估，及时通知现场指挥和救援人员。在救援过程中发现危险，应及时通知现场指挥和救援人员撤离现场。</w:t>
      </w:r>
    </w:p>
    <w:p w14:paraId="14ACC376">
      <w:pPr>
        <w:ind w:firstLine="643" w:firstLineChars="200"/>
        <w:outlineLvl w:val="1"/>
        <w:rPr>
          <w:rFonts w:hint="eastAsia" w:ascii="仿宋" w:hAnsi="仿宋" w:eastAsia="仿宋" w:cs="仿宋"/>
          <w:sz w:val="32"/>
          <w:szCs w:val="32"/>
        </w:rPr>
      </w:pPr>
      <w:bookmarkStart w:id="73" w:name="_Toc29180"/>
      <w:r>
        <w:rPr>
          <w:rFonts w:hint="eastAsia" w:ascii="仿宋_GB2312" w:hAnsi="仿宋_GB2312" w:cs="Times New Roman"/>
          <w:b/>
          <w:color w:val="auto"/>
          <w:szCs w:val="20"/>
          <w:lang w:val="en-US" w:eastAsia="zh-CN"/>
        </w:rPr>
        <w:t>4.1.2、</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、一级</w:t>
      </w:r>
      <w:r>
        <w:rPr>
          <w:rFonts w:hint="eastAsia" w:ascii="仿宋_GB2312" w:hAnsi="仿宋_GB2312" w:eastAsia="仿宋_GB2312" w:cs="仿宋_GB2312"/>
          <w:sz w:val="32"/>
          <w:szCs w:val="32"/>
        </w:rPr>
        <w:t>响应</w:t>
      </w:r>
      <w:bookmarkEnd w:id="73"/>
    </w:p>
    <w:p w14:paraId="19A9A559">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符合三级及以上响应条件时，</w:t>
      </w:r>
      <w:r>
        <w:rPr>
          <w:rFonts w:hint="eastAsia" w:ascii="仿宋_GB2312" w:hAnsi="仿宋_GB2312" w:eastAsia="仿宋_GB2312" w:cs="仿宋_GB2312"/>
          <w:sz w:val="32"/>
          <w:szCs w:val="32"/>
        </w:rPr>
        <w:t>县指挥部在</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指挥部的统一领导下开展工作。</w:t>
      </w:r>
    </w:p>
    <w:p w14:paraId="0BFDB221">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县指挥部开展先期处置。</w:t>
      </w:r>
    </w:p>
    <w:p w14:paraId="2A08A13B">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政府报告矿山事故信息，请求</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政府派出工作组，并在人力、物力、经费等方面给予支援。</w:t>
      </w:r>
    </w:p>
    <w:p w14:paraId="42735881">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政府指令下达或工作组到达后，在</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工作组的指导下，开展应急处置工作。</w:t>
      </w:r>
    </w:p>
    <w:p w14:paraId="75A26135">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事故发生后，发生事故的企业及其所在地乡镇人民政府应立即启动应急预案，并根据事故等级及时上报。</w:t>
      </w:r>
    </w:p>
    <w:p w14:paraId="785BC278">
      <w:pPr>
        <w:ind w:firstLine="640" w:firstLineChars="200"/>
        <w:outlineLvl w:val="0"/>
        <w:rPr>
          <w:rFonts w:hint="eastAsia" w:ascii="楷体_GB2312" w:hAnsi="楷体_GB2312" w:eastAsia="楷体_GB2312" w:cs="楷体_GB2312"/>
          <w:sz w:val="32"/>
          <w:szCs w:val="32"/>
        </w:rPr>
      </w:pPr>
      <w:bookmarkStart w:id="74" w:name="_Toc8823"/>
      <w:bookmarkStart w:id="75" w:name="_Toc20760"/>
      <w:bookmarkStart w:id="76" w:name="_Toc4970"/>
      <w:r>
        <w:rPr>
          <w:rFonts w:hint="eastAsia" w:ascii="楷体_GB2312" w:hAnsi="楷体_GB2312" w:eastAsia="楷体_GB2312" w:cs="楷体_GB2312"/>
          <w:sz w:val="32"/>
          <w:szCs w:val="32"/>
        </w:rPr>
        <w:t>4.2响应程序</w:t>
      </w:r>
      <w:bookmarkEnd w:id="74"/>
      <w:bookmarkEnd w:id="75"/>
      <w:bookmarkEnd w:id="76"/>
    </w:p>
    <w:p w14:paraId="1E65A7AD">
      <w:pPr>
        <w:ind w:firstLine="643" w:firstLineChars="200"/>
        <w:outlineLvl w:val="1"/>
        <w:rPr>
          <w:rFonts w:hint="eastAsia" w:ascii="仿宋" w:hAnsi="仿宋" w:eastAsia="仿宋" w:cs="仿宋"/>
          <w:sz w:val="32"/>
          <w:szCs w:val="32"/>
        </w:rPr>
      </w:pPr>
      <w:bookmarkStart w:id="77" w:name="_Toc14275"/>
      <w:r>
        <w:rPr>
          <w:rFonts w:hint="eastAsia" w:ascii="仿宋_GB2312" w:hAnsi="仿宋_GB2312" w:cs="Times New Roman"/>
          <w:b/>
          <w:color w:val="auto"/>
          <w:szCs w:val="20"/>
          <w:lang w:val="en-US" w:eastAsia="zh-CN"/>
        </w:rPr>
        <w:t>4.2.1</w:t>
      </w:r>
      <w:r>
        <w:rPr>
          <w:rFonts w:hint="eastAsia" w:ascii="仿宋_GB2312" w:hAnsi="仿宋_GB2312" w:eastAsia="仿宋_GB2312" w:cs="仿宋_GB2312"/>
          <w:sz w:val="32"/>
          <w:szCs w:val="32"/>
        </w:rPr>
        <w:t>事故发生单位响应</w:t>
      </w:r>
      <w:bookmarkEnd w:id="77"/>
    </w:p>
    <w:p w14:paraId="34E8705A">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事故发生单位是第一响应者，应立即启动本单位应急救援预案组织救援，在确保救援人员安全的前提下开展自救和互救，并及时向所在地乡镇人民政府、县应急管理局和有关部门报告事故情况和救援进展情况。</w:t>
      </w:r>
    </w:p>
    <w:p w14:paraId="7BEC3C29">
      <w:pPr>
        <w:ind w:firstLine="643" w:firstLineChars="200"/>
        <w:outlineLvl w:val="1"/>
        <w:rPr>
          <w:rFonts w:hint="eastAsia" w:ascii="仿宋" w:hAnsi="仿宋" w:eastAsia="仿宋" w:cs="仿宋"/>
          <w:sz w:val="32"/>
          <w:szCs w:val="32"/>
          <w:lang w:val="en-US" w:eastAsia="zh-CN"/>
        </w:rPr>
      </w:pPr>
      <w:bookmarkStart w:id="78" w:name="_Toc7872"/>
      <w:r>
        <w:rPr>
          <w:rFonts w:hint="eastAsia" w:ascii="仿宋_GB2312" w:hAnsi="仿宋_GB2312" w:cs="Times New Roman"/>
          <w:b/>
          <w:color w:val="auto"/>
          <w:szCs w:val="20"/>
          <w:lang w:val="en-US" w:eastAsia="zh-CN"/>
        </w:rPr>
        <w:t>4.2.2</w:t>
      </w:r>
      <w:r>
        <w:rPr>
          <w:rFonts w:hint="eastAsia" w:ascii="仿宋_GB2312" w:hAnsi="仿宋_GB2312" w:eastAsia="仿宋_GB2312" w:cs="仿宋_GB2312"/>
          <w:sz w:val="32"/>
          <w:szCs w:val="32"/>
          <w:lang w:val="en-US" w:eastAsia="zh-CN"/>
        </w:rPr>
        <w:t>乡镇人民政府响应</w:t>
      </w:r>
      <w:bookmarkEnd w:id="78"/>
    </w:p>
    <w:p w14:paraId="16CE0614">
      <w:pPr>
        <w:pStyle w:val="8"/>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接到一般事故信息报告后，事发地乡镇主要负责人应当立即赶赴事故现场。事发地乡镇人民政府立即成立指挥部，启动应急响应程序，组织、指挥所属相关部门全力以赴开展救援，并及时将救援工作开展情况按有关规定上报至县应急管理局和县应急指挥部。县级成立现场指挥部时,移交指挥权,继续配合做好应急处置工作</w:t>
      </w:r>
    </w:p>
    <w:p w14:paraId="4A4881B4">
      <w:pPr>
        <w:ind w:firstLine="643" w:firstLineChars="200"/>
        <w:outlineLvl w:val="1"/>
        <w:rPr>
          <w:rFonts w:hint="eastAsia" w:ascii="仿宋" w:hAnsi="仿宋" w:eastAsia="仿宋" w:cs="仿宋"/>
          <w:sz w:val="32"/>
          <w:szCs w:val="32"/>
        </w:rPr>
      </w:pPr>
      <w:bookmarkStart w:id="79" w:name="_Toc25569"/>
      <w:r>
        <w:rPr>
          <w:rFonts w:hint="eastAsia" w:ascii="仿宋_GB2312" w:hAnsi="仿宋_GB2312" w:cs="Times New Roman"/>
          <w:b/>
          <w:color w:val="auto"/>
          <w:szCs w:val="20"/>
          <w:lang w:val="en-US" w:eastAsia="zh-CN"/>
        </w:rPr>
        <w:t>4.2.3</w:t>
      </w:r>
      <w:r>
        <w:rPr>
          <w:rFonts w:hint="eastAsia" w:ascii="仿宋_GB2312" w:hAnsi="仿宋_GB2312" w:eastAsia="仿宋_GB2312" w:cs="仿宋_GB2312"/>
          <w:kern w:val="2"/>
          <w:sz w:val="32"/>
          <w:szCs w:val="32"/>
          <w:lang w:val="en-US" w:eastAsia="zh-CN" w:bidi="ar-SA"/>
        </w:rPr>
        <w:t>指挥部办公室响应</w:t>
      </w:r>
      <w:bookmarkEnd w:id="79"/>
    </w:p>
    <w:p w14:paraId="3CD09BC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（1）立即向县政府值班室、指挥部主要领导报告。</w:t>
      </w:r>
    </w:p>
    <w:p w14:paraId="20B5B8E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（2）立即向指挥部有关成员单位通报情况。</w:t>
      </w:r>
    </w:p>
    <w:p w14:paraId="452D1D65">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（3）在规定的时限内上报市应急管理局。</w:t>
      </w:r>
    </w:p>
    <w:p w14:paraId="6B070F0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（4）草拟工作组组成人员，报指挥部批准，经批准后立即组织相关专家与工作组人员一同赶赴事故现场，指导应急救援工作。</w:t>
      </w:r>
    </w:p>
    <w:p w14:paraId="2BF1F9EE">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（5）事态发展可能造成三级以上事故时，要及时报告市应急管理局。</w:t>
      </w:r>
    </w:p>
    <w:p w14:paraId="306EDD70">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指挥部启动四级应急响应时，指挥部办公室进入预警状态，密切关注事态发展，做好应急准备；并根据事故或事态发展，按规定报告应急指挥部，通报其他部门、救援队伍和专家，做好相应的应急准备工作。</w:t>
      </w:r>
    </w:p>
    <w:p w14:paraId="4F11E545">
      <w:pPr>
        <w:ind w:firstLine="643" w:firstLineChars="200"/>
        <w:outlineLvl w:val="1"/>
        <w:rPr>
          <w:rFonts w:hint="eastAsia" w:ascii="仿宋" w:hAnsi="仿宋" w:eastAsia="仿宋" w:cs="仿宋"/>
          <w:sz w:val="32"/>
          <w:szCs w:val="32"/>
        </w:rPr>
      </w:pPr>
      <w:bookmarkStart w:id="80" w:name="_Toc931"/>
      <w:r>
        <w:rPr>
          <w:rFonts w:hint="eastAsia" w:ascii="仿宋_GB2312" w:hAnsi="仿宋_GB2312" w:cs="Times New Roman"/>
          <w:b/>
          <w:color w:val="auto"/>
          <w:szCs w:val="20"/>
          <w:lang w:val="en-US" w:eastAsia="zh-CN"/>
        </w:rPr>
        <w:t>4.2.4</w:t>
      </w:r>
      <w:r>
        <w:rPr>
          <w:rFonts w:hint="eastAsia" w:ascii="仿宋_GB2312" w:hAnsi="仿宋_GB2312" w:eastAsia="仿宋_GB2312" w:cs="仿宋_GB2312"/>
          <w:kern w:val="2"/>
          <w:sz w:val="32"/>
          <w:szCs w:val="32"/>
          <w:lang w:val="en-US" w:eastAsia="zh-CN" w:bidi="ar-SA"/>
        </w:rPr>
        <w:t>县指挥部响应</w:t>
      </w:r>
      <w:bookmarkEnd w:id="80"/>
    </w:p>
    <w:p w14:paraId="178F90B7">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（1）研判是否启动本预案并作批示。</w:t>
      </w:r>
    </w:p>
    <w:p w14:paraId="79D9CE02">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（2）根据需要赶赴事故现场，指导协调应急救援工作。</w:t>
      </w:r>
    </w:p>
    <w:p w14:paraId="1638509A">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（3）根据事态发展的趋势，研判是否提高应急指挥级别、扩大应急范围。</w:t>
      </w:r>
    </w:p>
    <w:p w14:paraId="19A47387">
      <w:pPr>
        <w:ind w:firstLine="640" w:firstLineChars="200"/>
        <w:outlineLvl w:val="0"/>
        <w:rPr>
          <w:rFonts w:hint="eastAsia" w:ascii="楷体_GB2312" w:hAnsi="楷体_GB2312" w:eastAsia="楷体_GB2312" w:cs="楷体_GB2312"/>
          <w:sz w:val="32"/>
          <w:szCs w:val="32"/>
        </w:rPr>
      </w:pPr>
      <w:bookmarkStart w:id="81" w:name="_Toc32410"/>
      <w:bookmarkStart w:id="82" w:name="_Toc7204"/>
      <w:bookmarkStart w:id="83" w:name="_Toc9423"/>
      <w:r>
        <w:rPr>
          <w:rFonts w:hint="eastAsia" w:ascii="楷体_GB2312" w:hAnsi="楷体_GB2312" w:eastAsia="楷体_GB2312" w:cs="楷体_GB2312"/>
          <w:sz w:val="32"/>
          <w:szCs w:val="32"/>
        </w:rPr>
        <w:t>4.3现场处置措施</w:t>
      </w:r>
      <w:bookmarkEnd w:id="81"/>
      <w:bookmarkEnd w:id="82"/>
      <w:bookmarkEnd w:id="83"/>
    </w:p>
    <w:p w14:paraId="4DD47E7F">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事故现场一般处置措施</w:t>
      </w:r>
    </w:p>
    <w:p w14:paraId="076A3C5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发生事故后，根据现场情况，采取下列应急处置措施：</w:t>
      </w:r>
    </w:p>
    <w:p w14:paraId="5F6DE5C7">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（1）根据事故救援需要和现场实际需要划定警戒区域，及时疏散和安置事故可能影响的周边居民和群众，疏导劝离与救援无关的人员，维护现场秩序。</w:t>
      </w:r>
    </w:p>
    <w:p w14:paraId="67E300FC">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（2）查明事故类型和发生地点、范围，同时查明被困人员数量和位置，组织相关专业的应急救援专家参与救援。</w:t>
      </w:r>
    </w:p>
    <w:p w14:paraId="046CD349">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（3）根据事故类型采取有效措施，迅速控制事态的进一步发展，同时应注意防止救援过程中产生次生伤害事故。</w:t>
      </w:r>
    </w:p>
    <w:p w14:paraId="5840CEA3">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（4）尽快抢修被破坏的影响救援工作开展的道路、供电系统、通风系统、供排水系统等各相关系统，有效创造事故救援的有利条件。</w:t>
      </w:r>
    </w:p>
    <w:p w14:paraId="175ACEF2">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（5）迅速调集应急救援设备、物资、医疗救援保障及食物、饮用水，尽快向被困人员提供生存必需保障。</w:t>
      </w:r>
    </w:p>
    <w:p w14:paraId="05523FAB">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（6）保护事故现场和物证收集，非救险工作必需时不得破坏与事故有关的现场及所有物证，尽可能进行现场拍照、录像。</w:t>
      </w:r>
    </w:p>
    <w:p w14:paraId="67DAAAD0">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（7）对现场周边及有关区域实行交通管制，确保应急救援通道畅通。</w:t>
      </w:r>
    </w:p>
    <w:p w14:paraId="23B6F488">
      <w:pPr>
        <w:ind w:firstLine="640" w:firstLineChars="200"/>
        <w:outlineLvl w:val="0"/>
        <w:rPr>
          <w:rFonts w:hint="eastAsia" w:ascii="楷体_GB2312" w:hAnsi="楷体_GB2312" w:eastAsia="楷体_GB2312" w:cs="楷体_GB2312"/>
          <w:sz w:val="32"/>
          <w:szCs w:val="32"/>
        </w:rPr>
      </w:pPr>
      <w:bookmarkStart w:id="84" w:name="_Toc26813"/>
      <w:bookmarkStart w:id="85" w:name="_Toc18412"/>
      <w:bookmarkStart w:id="86" w:name="_Toc18132"/>
      <w:r>
        <w:rPr>
          <w:rFonts w:hint="eastAsia" w:ascii="楷体_GB2312" w:hAnsi="楷体_GB2312" w:eastAsia="楷体_GB2312" w:cs="楷体_GB2312"/>
          <w:sz w:val="32"/>
          <w:szCs w:val="32"/>
        </w:rPr>
        <w:t>4.4信息发布</w:t>
      </w:r>
      <w:bookmarkEnd w:id="84"/>
      <w:bookmarkEnd w:id="85"/>
      <w:bookmarkEnd w:id="86"/>
    </w:p>
    <w:p w14:paraId="638B40DA">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指挥部办公室负责事故信息对外发布工作。事故的发布应当准确、客观，正确引导社会舆论，维护社会稳定安定。</w:t>
      </w:r>
    </w:p>
    <w:p w14:paraId="5795800E">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各类信息要按规定经相应级别的有关部门核实、审批后，按批准的范围进行发布。信息的发布要遵循公开、透明、及时的原则，事故关键信息发生变化时，应及时更新发布的信息。</w:t>
      </w:r>
    </w:p>
    <w:p w14:paraId="6F0E8F4D">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信息发布的内容主要包括：</w:t>
      </w:r>
    </w:p>
    <w:p w14:paraId="677CEB45">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（1）事故基本情况及应急救援进展情况。</w:t>
      </w:r>
    </w:p>
    <w:p w14:paraId="3ACBFD49">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（2）应急救援工作成效。</w:t>
      </w:r>
    </w:p>
    <w:p w14:paraId="2E2AFA2B">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（3）上级政府批示。</w:t>
      </w:r>
    </w:p>
    <w:p w14:paraId="5F6265EE">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（4）下一步的计划。</w:t>
      </w:r>
    </w:p>
    <w:p w14:paraId="665051C1">
      <w:pPr>
        <w:ind w:firstLine="320" w:firstLineChars="1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（5）需要澄清的问题。</w:t>
      </w:r>
    </w:p>
    <w:p w14:paraId="6AE6B50D">
      <w:pPr>
        <w:ind w:firstLine="640" w:firstLineChars="200"/>
        <w:outlineLvl w:val="0"/>
        <w:rPr>
          <w:rFonts w:hint="eastAsia" w:ascii="楷体_GB2312" w:hAnsi="楷体_GB2312" w:eastAsia="楷体_GB2312" w:cs="楷体_GB2312"/>
          <w:sz w:val="32"/>
          <w:szCs w:val="32"/>
        </w:rPr>
      </w:pPr>
      <w:bookmarkStart w:id="87" w:name="_Toc25468"/>
      <w:bookmarkStart w:id="88" w:name="_Toc13126"/>
      <w:bookmarkStart w:id="89" w:name="_Toc8832"/>
      <w:r>
        <w:rPr>
          <w:rFonts w:hint="eastAsia" w:ascii="楷体_GB2312" w:hAnsi="楷体_GB2312" w:eastAsia="楷体_GB2312" w:cs="楷体_GB2312"/>
          <w:sz w:val="32"/>
          <w:szCs w:val="32"/>
        </w:rPr>
        <w:t>4.5应急结束</w:t>
      </w:r>
      <w:bookmarkEnd w:id="87"/>
      <w:bookmarkEnd w:id="88"/>
      <w:bookmarkEnd w:id="89"/>
    </w:p>
    <w:p w14:paraId="4D4F66D4">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当事故现场得到控制，经指挥部确认和批准后，现场应急处置工作结束。</w:t>
      </w:r>
    </w:p>
    <w:p w14:paraId="7F784BD4">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黑体" w:hAnsi="黑体" w:eastAsia="黑体" w:cs="黑体"/>
          <w:sz w:val="32"/>
          <w:szCs w:val="32"/>
        </w:rPr>
      </w:pPr>
      <w:bookmarkStart w:id="90" w:name="_Toc27424"/>
      <w:bookmarkStart w:id="91" w:name="_Toc32665"/>
      <w:r>
        <w:rPr>
          <w:rFonts w:hint="eastAsia" w:ascii="黑体" w:hAnsi="黑体" w:eastAsia="黑体" w:cs="黑体"/>
          <w:sz w:val="32"/>
          <w:szCs w:val="32"/>
        </w:rPr>
        <w:t>五、后期处置</w:t>
      </w:r>
      <w:bookmarkEnd w:id="90"/>
      <w:bookmarkEnd w:id="91"/>
    </w:p>
    <w:p w14:paraId="7A2B9390">
      <w:pPr>
        <w:ind w:firstLine="640" w:firstLineChars="200"/>
        <w:outlineLvl w:val="0"/>
        <w:rPr>
          <w:rFonts w:hint="eastAsia" w:ascii="楷体_GB2312" w:hAnsi="楷体_GB2312" w:eastAsia="楷体_GB2312" w:cs="楷体_GB2312"/>
          <w:sz w:val="32"/>
          <w:szCs w:val="32"/>
        </w:rPr>
      </w:pPr>
      <w:bookmarkStart w:id="92" w:name="_Toc11747"/>
      <w:bookmarkStart w:id="93" w:name="_Toc12417"/>
      <w:bookmarkStart w:id="94" w:name="_Toc14024"/>
      <w:r>
        <w:rPr>
          <w:rFonts w:hint="eastAsia" w:ascii="楷体_GB2312" w:hAnsi="楷体_GB2312" w:eastAsia="楷体_GB2312" w:cs="楷体_GB2312"/>
          <w:sz w:val="32"/>
          <w:szCs w:val="32"/>
        </w:rPr>
        <w:t>5.1善后处置</w:t>
      </w:r>
      <w:bookmarkEnd w:id="92"/>
      <w:bookmarkEnd w:id="93"/>
      <w:bookmarkEnd w:id="94"/>
    </w:p>
    <w:p w14:paraId="024255A1">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发地乡镇人民政府负责事故善后处置工作。事发地乡镇人民政府和事故发生单位要组织妥善安置和慰问受害及受影响人员，组织开展遇难人员赔偿、征用物资补偿、协调应急救援队伍补偿、污染物收集、清理与处理事项。尽快恢复正常秩序，消除事故产生的后果和影响，确保社会稳定。</w:t>
      </w:r>
    </w:p>
    <w:p w14:paraId="08CDE390">
      <w:pPr>
        <w:ind w:firstLine="640" w:firstLineChars="200"/>
        <w:outlineLvl w:val="0"/>
        <w:rPr>
          <w:rFonts w:hint="eastAsia" w:ascii="楷体_GB2312" w:hAnsi="楷体_GB2312" w:eastAsia="楷体_GB2312" w:cs="楷体_GB2312"/>
          <w:sz w:val="32"/>
          <w:szCs w:val="32"/>
        </w:rPr>
      </w:pPr>
      <w:bookmarkStart w:id="95" w:name="_Toc711"/>
      <w:bookmarkStart w:id="96" w:name="_Toc22814"/>
      <w:bookmarkStart w:id="97" w:name="_Toc21650"/>
      <w:r>
        <w:rPr>
          <w:rFonts w:hint="eastAsia" w:ascii="楷体_GB2312" w:hAnsi="楷体_GB2312" w:eastAsia="楷体_GB2312" w:cs="楷体_GB2312"/>
          <w:sz w:val="32"/>
          <w:szCs w:val="32"/>
        </w:rPr>
        <w:t>5.2清点工作</w:t>
      </w:r>
      <w:bookmarkEnd w:id="95"/>
      <w:bookmarkEnd w:id="96"/>
      <w:bookmarkEnd w:id="97"/>
    </w:p>
    <w:p w14:paraId="5941F39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应急救援工作结束后，参加救援的部门和单位应认真核对参加应急救援人数，清点救援装备、器材。</w:t>
      </w:r>
    </w:p>
    <w:p w14:paraId="00DFCD61">
      <w:pPr>
        <w:ind w:firstLine="640" w:firstLineChars="200"/>
        <w:outlineLvl w:val="0"/>
        <w:rPr>
          <w:rFonts w:hint="eastAsia" w:ascii="楷体_GB2312" w:hAnsi="楷体_GB2312" w:eastAsia="楷体_GB2312" w:cs="楷体_GB2312"/>
          <w:sz w:val="32"/>
          <w:szCs w:val="32"/>
        </w:rPr>
      </w:pPr>
      <w:bookmarkStart w:id="98" w:name="_Toc12668"/>
      <w:bookmarkStart w:id="99" w:name="_Toc18453"/>
      <w:bookmarkStart w:id="100" w:name="_Toc18893"/>
      <w:r>
        <w:rPr>
          <w:rFonts w:hint="eastAsia" w:ascii="楷体_GB2312" w:hAnsi="楷体_GB2312" w:eastAsia="楷体_GB2312" w:cs="楷体_GB2312"/>
          <w:sz w:val="32"/>
          <w:szCs w:val="32"/>
        </w:rPr>
        <w:t>5.3总结与评估</w:t>
      </w:r>
      <w:bookmarkEnd w:id="98"/>
      <w:bookmarkEnd w:id="99"/>
      <w:bookmarkEnd w:id="100"/>
    </w:p>
    <w:p w14:paraId="491346E8">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挥部办公室要对事故应急处置工作进行总结。事故应急处置工作总结的主要内容包括：事故基本情况、事故信息接收与报送情况、应急处置组织、应急预案执行情况、应急救援队伍工作情况、主要技术措施及其实施情况、救援成效、经验教训、相关建议等。事故应急处置工作总结完成后应及时报送县应急指挥部、事故调查组。</w:t>
      </w:r>
    </w:p>
    <w:p w14:paraId="3CF07D07">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黑体" w:hAnsi="黑体" w:eastAsia="黑体" w:cs="黑体"/>
          <w:sz w:val="32"/>
          <w:szCs w:val="32"/>
        </w:rPr>
      </w:pPr>
      <w:bookmarkStart w:id="101" w:name="_Toc19378"/>
      <w:bookmarkStart w:id="102" w:name="_Toc25905"/>
      <w:bookmarkStart w:id="103" w:name="_Toc19326"/>
      <w:r>
        <w:rPr>
          <w:rFonts w:hint="eastAsia" w:ascii="黑体" w:hAnsi="黑体" w:eastAsia="黑体" w:cs="黑体"/>
          <w:sz w:val="32"/>
          <w:szCs w:val="32"/>
        </w:rPr>
        <w:t>六、保障措施</w:t>
      </w:r>
      <w:bookmarkEnd w:id="101"/>
      <w:bookmarkEnd w:id="102"/>
      <w:bookmarkEnd w:id="103"/>
    </w:p>
    <w:p w14:paraId="03A39FBF">
      <w:pPr>
        <w:ind w:firstLine="640" w:firstLineChars="200"/>
        <w:outlineLvl w:val="0"/>
        <w:rPr>
          <w:rFonts w:hint="eastAsia" w:ascii="楷体_GB2312" w:hAnsi="楷体_GB2312" w:eastAsia="楷体_GB2312" w:cs="楷体_GB2312"/>
          <w:sz w:val="32"/>
          <w:szCs w:val="32"/>
        </w:rPr>
      </w:pPr>
      <w:bookmarkStart w:id="104" w:name="_Toc6589"/>
      <w:bookmarkStart w:id="105" w:name="_Toc14681"/>
      <w:bookmarkStart w:id="106" w:name="_Toc2290"/>
      <w:r>
        <w:rPr>
          <w:rFonts w:hint="eastAsia" w:ascii="楷体_GB2312" w:hAnsi="楷体_GB2312" w:eastAsia="楷体_GB2312" w:cs="楷体_GB2312"/>
          <w:sz w:val="32"/>
          <w:szCs w:val="32"/>
        </w:rPr>
        <w:t>6.1通信与信息保障</w:t>
      </w:r>
      <w:bookmarkEnd w:id="104"/>
      <w:bookmarkEnd w:id="105"/>
      <w:bookmarkEnd w:id="106"/>
    </w:p>
    <w:p w14:paraId="51778E5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挥部办公室建立应急指挥部和各组成单位的联系方式，并要确保联络畅通和及时更新。事故发生地通信线路中断，通信管理部门要及时协调有关运营公司组织抢修恢复，同时尽快建立并启动卫星或微波等机动通信方式，保证应急指挥信息通畅，保障事故应急救援指挥通信畅通。</w:t>
      </w:r>
    </w:p>
    <w:p w14:paraId="54439FE3">
      <w:pPr>
        <w:ind w:firstLine="640" w:firstLineChars="200"/>
        <w:outlineLvl w:val="0"/>
        <w:rPr>
          <w:rFonts w:hint="eastAsia" w:ascii="楷体_GB2312" w:hAnsi="楷体_GB2312" w:eastAsia="楷体_GB2312" w:cs="楷体_GB2312"/>
          <w:sz w:val="32"/>
          <w:szCs w:val="32"/>
        </w:rPr>
      </w:pPr>
      <w:bookmarkStart w:id="107" w:name="_Toc28224"/>
      <w:bookmarkStart w:id="108" w:name="_Toc15867"/>
      <w:bookmarkStart w:id="109" w:name="_Toc4442"/>
      <w:r>
        <w:rPr>
          <w:rFonts w:hint="eastAsia" w:ascii="楷体_GB2312" w:hAnsi="楷体_GB2312" w:eastAsia="楷体_GB2312" w:cs="楷体_GB2312"/>
          <w:sz w:val="32"/>
          <w:szCs w:val="32"/>
        </w:rPr>
        <w:t>6.2应急队伍保障</w:t>
      </w:r>
      <w:bookmarkEnd w:id="107"/>
      <w:bookmarkEnd w:id="108"/>
      <w:bookmarkEnd w:id="109"/>
    </w:p>
    <w:p w14:paraId="11C8AD55">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非煤矿山应急救援队伍以矿山企业的专（兼）职应急救援队伍为基础，按照有关规定配备应急救援人员、装备，开展培训、演习，做到反应快速，常备不懈。</w:t>
      </w:r>
    </w:p>
    <w:p w14:paraId="2EC79F2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县消防救援大队是全县非煤矿山事故应急救援重要的支援力量，其他应急队伍是非煤矿山事故应急救援的重要补充力量。</w:t>
      </w:r>
    </w:p>
    <w:p w14:paraId="3B44A852">
      <w:pPr>
        <w:ind w:firstLine="640" w:firstLineChars="200"/>
        <w:outlineLvl w:val="0"/>
        <w:rPr>
          <w:rFonts w:hint="eastAsia" w:ascii="楷体_GB2312" w:hAnsi="楷体_GB2312" w:eastAsia="楷体_GB2312" w:cs="楷体_GB2312"/>
          <w:sz w:val="32"/>
          <w:szCs w:val="32"/>
        </w:rPr>
      </w:pPr>
      <w:bookmarkStart w:id="110" w:name="_Toc23772"/>
      <w:bookmarkStart w:id="111" w:name="_Toc6371"/>
      <w:bookmarkStart w:id="112" w:name="_Toc32757"/>
      <w:r>
        <w:rPr>
          <w:rFonts w:hint="eastAsia" w:ascii="楷体_GB2312" w:hAnsi="楷体_GB2312" w:eastAsia="楷体_GB2312" w:cs="楷体_GB2312"/>
          <w:sz w:val="32"/>
          <w:szCs w:val="32"/>
        </w:rPr>
        <w:t>6.3应急保障</w:t>
      </w:r>
      <w:bookmarkEnd w:id="110"/>
      <w:bookmarkEnd w:id="111"/>
      <w:bookmarkEnd w:id="112"/>
    </w:p>
    <w:p w14:paraId="249782AC">
      <w:pPr>
        <w:ind w:firstLine="643" w:firstLineChars="200"/>
        <w:outlineLvl w:val="1"/>
        <w:rPr>
          <w:rFonts w:hint="eastAsia" w:ascii="仿宋_GB2312" w:hAnsi="仿宋_GB2312" w:eastAsia="仿宋_GB2312" w:cs="仿宋_GB2312"/>
          <w:kern w:val="2"/>
          <w:sz w:val="32"/>
          <w:szCs w:val="32"/>
          <w:lang w:val="en-US" w:eastAsia="zh-CN" w:bidi="ar-SA"/>
        </w:rPr>
      </w:pPr>
      <w:bookmarkStart w:id="113" w:name="_Toc4312"/>
      <w:r>
        <w:rPr>
          <w:rFonts w:hint="eastAsia" w:ascii="仿宋_GB2312" w:hAnsi="仿宋_GB2312" w:cs="Times New Roman"/>
          <w:b/>
          <w:color w:val="auto"/>
          <w:szCs w:val="20"/>
          <w:lang w:val="en-US" w:eastAsia="zh-CN"/>
        </w:rPr>
        <w:t>6.3.1</w:t>
      </w:r>
      <w:r>
        <w:rPr>
          <w:rFonts w:hint="eastAsia" w:ascii="仿宋_GB2312" w:hAnsi="仿宋_GB2312" w:eastAsia="仿宋_GB2312" w:cs="仿宋_GB2312"/>
          <w:kern w:val="2"/>
          <w:sz w:val="32"/>
          <w:szCs w:val="32"/>
          <w:lang w:val="en-US" w:eastAsia="zh-CN" w:bidi="ar-SA"/>
        </w:rPr>
        <w:t>救援装备保障</w:t>
      </w:r>
      <w:bookmarkEnd w:id="113"/>
    </w:p>
    <w:p w14:paraId="1EFB2FBC">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非煤矿山企业和专业应急救援队伍按照有关规定配备矿山事故应急救援装备。非煤矿山企业和各乡镇人民政府根据本企业、本地矿山事故应急救援的特点，配备必要的应急救援装备。</w:t>
      </w:r>
    </w:p>
    <w:p w14:paraId="3BF51106">
      <w:pPr>
        <w:ind w:firstLine="643" w:firstLineChars="200"/>
        <w:outlineLvl w:val="1"/>
        <w:rPr>
          <w:rFonts w:hint="eastAsia" w:ascii="仿宋_GB2312" w:hAnsi="仿宋_GB2312" w:eastAsia="仿宋_GB2312" w:cs="仿宋_GB2312"/>
          <w:kern w:val="2"/>
          <w:sz w:val="32"/>
          <w:szCs w:val="32"/>
          <w:lang w:val="en-US" w:eastAsia="zh-CN" w:bidi="ar-SA"/>
        </w:rPr>
      </w:pPr>
      <w:bookmarkStart w:id="114" w:name="_Toc18022"/>
      <w:r>
        <w:rPr>
          <w:rFonts w:hint="eastAsia" w:ascii="仿宋_GB2312" w:hAnsi="仿宋_GB2312" w:cs="Times New Roman"/>
          <w:b/>
          <w:color w:val="auto"/>
          <w:szCs w:val="20"/>
          <w:lang w:val="en-US" w:eastAsia="zh-CN"/>
        </w:rPr>
        <w:t>6.3.2</w:t>
      </w:r>
      <w:r>
        <w:rPr>
          <w:rFonts w:hint="eastAsia" w:ascii="仿宋_GB2312" w:hAnsi="仿宋_GB2312" w:eastAsia="仿宋_GB2312" w:cs="仿宋_GB2312"/>
          <w:kern w:val="2"/>
          <w:sz w:val="32"/>
          <w:szCs w:val="32"/>
          <w:lang w:val="en-US" w:eastAsia="zh-CN" w:bidi="ar-SA"/>
        </w:rPr>
        <w:t>物资保障</w:t>
      </w:r>
      <w:bookmarkEnd w:id="114"/>
    </w:p>
    <w:p w14:paraId="2FB9A963">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有关部门、相关乡镇人民政府和非煤矿山企业建立应急救援设施、设备、救治药品和医疗器械等储备制度，储备必要的事故应急物资和装备。</w:t>
      </w:r>
    </w:p>
    <w:p w14:paraId="52BB8D01">
      <w:pPr>
        <w:ind w:firstLine="643" w:firstLineChars="200"/>
        <w:outlineLvl w:val="1"/>
        <w:rPr>
          <w:rFonts w:hint="eastAsia" w:ascii="仿宋_GB2312" w:hAnsi="仿宋_GB2312" w:eastAsia="仿宋_GB2312" w:cs="仿宋_GB2312"/>
          <w:kern w:val="2"/>
          <w:sz w:val="32"/>
          <w:szCs w:val="32"/>
          <w:lang w:val="en-US" w:eastAsia="zh-CN" w:bidi="ar-SA"/>
        </w:rPr>
      </w:pPr>
      <w:bookmarkStart w:id="115" w:name="_Toc26380"/>
      <w:r>
        <w:rPr>
          <w:rFonts w:hint="eastAsia" w:ascii="仿宋_GB2312" w:hAnsi="仿宋_GB2312" w:cs="Times New Roman"/>
          <w:b/>
          <w:color w:val="auto"/>
          <w:szCs w:val="20"/>
          <w:lang w:val="en-US" w:eastAsia="zh-CN"/>
        </w:rPr>
        <w:t>6.3.3</w:t>
      </w:r>
      <w:r>
        <w:rPr>
          <w:rFonts w:hint="eastAsia" w:ascii="仿宋_GB2312" w:hAnsi="仿宋_GB2312" w:eastAsia="仿宋_GB2312" w:cs="仿宋_GB2312"/>
          <w:kern w:val="2"/>
          <w:sz w:val="32"/>
          <w:szCs w:val="32"/>
          <w:lang w:val="en-US" w:eastAsia="zh-CN" w:bidi="ar-SA"/>
        </w:rPr>
        <w:t>交通运输保障</w:t>
      </w:r>
      <w:bookmarkEnd w:id="115"/>
    </w:p>
    <w:p w14:paraId="2BC6B2DF">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交通部门保证应急人员、应急交通工具、应急物资优先通行，确保运输安全畅通。</w:t>
      </w:r>
    </w:p>
    <w:p w14:paraId="7190A745">
      <w:pPr>
        <w:ind w:firstLine="643" w:firstLineChars="200"/>
        <w:outlineLvl w:val="1"/>
        <w:rPr>
          <w:rFonts w:hint="eastAsia" w:ascii="仿宋_GB2312" w:hAnsi="仿宋_GB2312" w:eastAsia="仿宋_GB2312" w:cs="仿宋_GB2312"/>
          <w:kern w:val="2"/>
          <w:sz w:val="32"/>
          <w:szCs w:val="32"/>
          <w:lang w:val="en-US" w:eastAsia="zh-CN" w:bidi="ar-SA"/>
        </w:rPr>
      </w:pPr>
      <w:bookmarkStart w:id="116" w:name="_Toc4957"/>
      <w:r>
        <w:rPr>
          <w:rFonts w:hint="eastAsia" w:ascii="仿宋_GB2312" w:hAnsi="仿宋_GB2312" w:cs="Times New Roman"/>
          <w:b/>
          <w:color w:val="auto"/>
          <w:szCs w:val="20"/>
          <w:lang w:val="en-US" w:eastAsia="zh-CN"/>
        </w:rPr>
        <w:t>6.3.4</w:t>
      </w:r>
      <w:r>
        <w:rPr>
          <w:rFonts w:hint="eastAsia" w:ascii="仿宋_GB2312" w:hAnsi="仿宋_GB2312" w:eastAsia="仿宋_GB2312" w:cs="仿宋_GB2312"/>
          <w:kern w:val="2"/>
          <w:sz w:val="32"/>
          <w:szCs w:val="32"/>
          <w:lang w:val="en-US" w:eastAsia="zh-CN" w:bidi="ar-SA"/>
        </w:rPr>
        <w:t>医疗卫生保障</w:t>
      </w:r>
      <w:bookmarkEnd w:id="116"/>
    </w:p>
    <w:p w14:paraId="016B19E8">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卫健部门应当加强急救医疗卫生服务网络的建设，督促医疗卫生单位配备相应的矿山医疗救治药物、器材，开展人员培训和演练，提高应对矿山生产安全事故的救治能力。</w:t>
      </w:r>
    </w:p>
    <w:p w14:paraId="1A7E0618">
      <w:pPr>
        <w:ind w:firstLine="643" w:firstLineChars="200"/>
        <w:outlineLvl w:val="1"/>
        <w:rPr>
          <w:rFonts w:hint="eastAsia" w:ascii="仿宋_GB2312" w:hAnsi="仿宋_GB2312" w:eastAsia="仿宋_GB2312" w:cs="仿宋_GB2312"/>
          <w:kern w:val="2"/>
          <w:sz w:val="32"/>
          <w:szCs w:val="32"/>
          <w:lang w:val="en-US" w:eastAsia="zh-CN" w:bidi="ar-SA"/>
        </w:rPr>
      </w:pPr>
      <w:bookmarkStart w:id="117" w:name="_Toc11535"/>
      <w:r>
        <w:rPr>
          <w:rFonts w:hint="eastAsia" w:ascii="仿宋_GB2312" w:hAnsi="仿宋_GB2312" w:cs="Times New Roman"/>
          <w:b/>
          <w:color w:val="auto"/>
          <w:szCs w:val="20"/>
          <w:lang w:val="en-US" w:eastAsia="zh-CN"/>
        </w:rPr>
        <w:t>6.3.5</w:t>
      </w:r>
      <w:r>
        <w:rPr>
          <w:rFonts w:hint="eastAsia" w:ascii="仿宋_GB2312" w:hAnsi="仿宋_GB2312" w:eastAsia="仿宋_GB2312" w:cs="仿宋_GB2312"/>
          <w:kern w:val="2"/>
          <w:sz w:val="32"/>
          <w:szCs w:val="32"/>
          <w:lang w:val="en-US" w:eastAsia="zh-CN" w:bidi="ar-SA"/>
        </w:rPr>
        <w:t>应急经费保障</w:t>
      </w:r>
      <w:bookmarkEnd w:id="117"/>
    </w:p>
    <w:p w14:paraId="1AB04372">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应急救援经费首先由事故责任单位承担，非煤矿山企业应当做好事故救援必要的资金准备。对需要由财政负担的事故应急救援资金，按照现行财权、事权划分原则分级负担。</w:t>
      </w:r>
    </w:p>
    <w:p w14:paraId="68B89E66">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有关专业救援队伍和矿山企业充分利用现有的技术人才资源和技术设备设施资源，提供应急状态下的技术支持与保障。</w:t>
      </w:r>
    </w:p>
    <w:p w14:paraId="7B05CA02">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bookmarkStart w:id="118" w:name="_Toc26554"/>
      <w:bookmarkStart w:id="119" w:name="_Toc7322"/>
      <w:bookmarkStart w:id="120" w:name="_Toc11938"/>
      <w:r>
        <w:rPr>
          <w:rFonts w:hint="eastAsia" w:ascii="黑体" w:hAnsi="黑体" w:eastAsia="黑体" w:cs="黑体"/>
          <w:sz w:val="32"/>
          <w:szCs w:val="32"/>
        </w:rPr>
        <w:t>七、培训与宣传</w:t>
      </w:r>
      <w:bookmarkEnd w:id="118"/>
      <w:bookmarkEnd w:id="119"/>
      <w:bookmarkEnd w:id="120"/>
    </w:p>
    <w:p w14:paraId="4F10B727">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指挥部办公室应当采取多种形式开展应急预案宣传,并会同有关部门定期组织应急预案培训和演练。同时,定期组织对应急预案进行评估,符合修订情形的应及时组织</w:t>
      </w:r>
      <w:r>
        <w:rPr>
          <w:rFonts w:hint="eastAsia" w:ascii="仿宋_GB2312" w:hAnsi="仿宋_GB2312" w:cs="仿宋_GB2312"/>
          <w:kern w:val="2"/>
          <w:sz w:val="32"/>
          <w:szCs w:val="32"/>
          <w:lang w:val="en-US" w:eastAsia="zh-CN" w:bidi="ar-SA"/>
        </w:rPr>
        <w:t>修订。</w:t>
      </w:r>
    </w:p>
    <w:p w14:paraId="034B247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sz w:val="32"/>
          <w:szCs w:val="32"/>
        </w:rPr>
      </w:pPr>
      <w:bookmarkStart w:id="121" w:name="_Toc16866"/>
      <w:bookmarkStart w:id="122" w:name="_Toc13670"/>
      <w:bookmarkStart w:id="123" w:name="_Toc17732"/>
      <w:r>
        <w:rPr>
          <w:rFonts w:hint="eastAsia" w:ascii="黑体" w:hAnsi="黑体" w:eastAsia="黑体" w:cs="黑体"/>
          <w:sz w:val="32"/>
          <w:szCs w:val="32"/>
        </w:rPr>
        <w:t>八、附则</w:t>
      </w:r>
      <w:bookmarkEnd w:id="121"/>
      <w:bookmarkEnd w:id="122"/>
      <w:bookmarkEnd w:id="123"/>
    </w:p>
    <w:p w14:paraId="749D78D7">
      <w:pPr>
        <w:ind w:firstLine="640" w:firstLineChars="200"/>
        <w:outlineLvl w:val="0"/>
        <w:rPr>
          <w:rFonts w:hint="eastAsia" w:ascii="楷体_GB2312" w:hAnsi="楷体_GB2312" w:eastAsia="楷体_GB2312" w:cs="楷体_GB2312"/>
          <w:sz w:val="32"/>
          <w:szCs w:val="32"/>
        </w:rPr>
      </w:pPr>
      <w:bookmarkStart w:id="124" w:name="_Toc21639"/>
      <w:bookmarkStart w:id="125" w:name="_Toc26503"/>
      <w:bookmarkStart w:id="126" w:name="_Toc2653"/>
      <w:r>
        <w:rPr>
          <w:rFonts w:hint="eastAsia" w:ascii="楷体_GB2312" w:hAnsi="楷体_GB2312" w:eastAsia="楷体_GB2312" w:cs="楷体_GB2312"/>
          <w:sz w:val="32"/>
          <w:szCs w:val="32"/>
        </w:rPr>
        <w:t>8.1预案解释</w:t>
      </w:r>
      <w:bookmarkEnd w:id="124"/>
      <w:bookmarkEnd w:id="125"/>
      <w:bookmarkEnd w:id="126"/>
    </w:p>
    <w:p w14:paraId="19C93EFB">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本预案由县应急管理局负责解释。</w:t>
      </w:r>
    </w:p>
    <w:p w14:paraId="2B384687">
      <w:pPr>
        <w:ind w:firstLine="640" w:firstLineChars="200"/>
        <w:outlineLvl w:val="0"/>
        <w:rPr>
          <w:rFonts w:hint="eastAsia" w:ascii="楷体_GB2312" w:hAnsi="楷体_GB2312" w:eastAsia="楷体_GB2312" w:cs="楷体_GB2312"/>
          <w:sz w:val="32"/>
          <w:szCs w:val="32"/>
        </w:rPr>
      </w:pPr>
      <w:bookmarkStart w:id="127" w:name="_Toc6950"/>
      <w:bookmarkStart w:id="128" w:name="_Toc27432"/>
      <w:bookmarkStart w:id="129" w:name="_Toc28708"/>
      <w:r>
        <w:rPr>
          <w:rFonts w:hint="eastAsia" w:ascii="楷体_GB2312" w:hAnsi="楷体_GB2312" w:eastAsia="楷体_GB2312" w:cs="楷体_GB2312"/>
          <w:sz w:val="32"/>
          <w:szCs w:val="32"/>
        </w:rPr>
        <w:t>8.2预案实施时间</w:t>
      </w:r>
      <w:bookmarkEnd w:id="127"/>
      <w:bookmarkEnd w:id="128"/>
      <w:bookmarkEnd w:id="129"/>
    </w:p>
    <w:p w14:paraId="582B83D5">
      <w:pPr>
        <w:ind w:firstLine="640" w:firstLineChars="200"/>
        <w:rPr>
          <w:rFonts w:hint="eastAsia" w:ascii="仿宋" w:hAnsi="仿宋" w:eastAsia="仿宋" w:cs="仿宋"/>
          <w:sz w:val="32"/>
          <w:szCs w:val="32"/>
        </w:rPr>
        <w:sectPr>
          <w:footerReference r:id="rId8" w:type="default"/>
          <w:pgSz w:w="11906" w:h="16838"/>
          <w:pgMar w:top="2098" w:right="1474" w:bottom="1984" w:left="1587" w:header="851" w:footer="992" w:gutter="0"/>
          <w:pgNumType w:fmt="decimal" w:start="1"/>
          <w:cols w:space="720" w:num="1"/>
          <w:docGrid w:type="lines" w:linePitch="312" w:charSpace="0"/>
        </w:sectPr>
      </w:pPr>
      <w:r>
        <w:rPr>
          <w:rFonts w:hint="eastAsia" w:ascii="仿宋_GB2312" w:hAnsi="仿宋_GB2312" w:eastAsia="仿宋_GB2312" w:cs="仿宋_GB2312"/>
          <w:kern w:val="2"/>
          <w:sz w:val="32"/>
          <w:szCs w:val="32"/>
          <w:lang w:val="en-US" w:eastAsia="zh-CN" w:bidi="ar-SA"/>
        </w:rPr>
        <w:t>本预案自印发之日起施行。</w:t>
      </w:r>
    </w:p>
    <w:p w14:paraId="23C729C2">
      <w:pPr>
        <w:keepNext w:val="0"/>
        <w:keepLines w:val="0"/>
        <w:pageBreakBefore w:val="0"/>
        <w:widowControl w:val="0"/>
        <w:kinsoku/>
        <w:wordWrap/>
        <w:overflowPunct/>
        <w:topLinePunct w:val="0"/>
        <w:autoSpaceDE/>
        <w:autoSpaceDN/>
        <w:bidi w:val="0"/>
        <w:adjustRightInd/>
        <w:snapToGrid/>
        <w:spacing w:line="15" w:lineRule="auto"/>
        <w:ind w:firstLine="883" w:firstLineChars="200"/>
        <w:jc w:val="center"/>
        <w:textAlignment w:val="auto"/>
        <w:outlineLvl w:val="1"/>
        <w:rPr>
          <w:rFonts w:hint="eastAsia" w:ascii="仿宋" w:hAnsi="仿宋" w:eastAsia="仿宋" w:cs="仿宋"/>
          <w:b/>
          <w:bCs/>
          <w:sz w:val="32"/>
          <w:szCs w:val="32"/>
          <w:lang w:val="en-US" w:eastAsia="zh-CN"/>
        </w:rPr>
      </w:pPr>
      <w:r>
        <w:rPr>
          <w:rFonts w:hint="eastAsia" w:ascii="宋体" w:hAnsi="宋体" w:eastAsia="宋体" w:cs="宋体"/>
          <w:b/>
          <w:bCs/>
          <w:sz w:val="44"/>
          <w:szCs w:val="44"/>
          <w:lang w:val="en-US" w:eastAsia="zh-CN"/>
        </w:rPr>
        <w:t>非煤矿山安全生产事故分级</w:t>
      </w:r>
      <w:bookmarkEnd w:id="3"/>
      <w:bookmarkEnd w:id="4"/>
    </w:p>
    <w:tbl>
      <w:tblPr>
        <w:tblStyle w:val="17"/>
        <w:tblpPr w:leftFromText="180" w:rightFromText="180" w:vertAnchor="text" w:horzAnchor="page" w:tblpX="1438" w:tblpY="6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3"/>
        <w:gridCol w:w="3544"/>
        <w:gridCol w:w="3543"/>
      </w:tblGrid>
      <w:tr w14:paraId="0A84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noWrap w:val="0"/>
            <w:vAlign w:val="center"/>
          </w:tcPr>
          <w:p w14:paraId="7650E094">
            <w:pPr>
              <w:keepNext w:val="0"/>
              <w:keepLines w:val="0"/>
              <w:pageBreakBefore w:val="0"/>
              <w:widowControl w:val="0"/>
              <w:kinsoku/>
              <w:wordWrap/>
              <w:overflowPunct/>
              <w:topLinePunct w:val="0"/>
              <w:autoSpaceDE/>
              <w:autoSpaceDN/>
              <w:bidi w:val="0"/>
              <w:adjustRightInd/>
              <w:snapToGrid/>
              <w:spacing w:line="240" w:lineRule="auto"/>
              <w:ind w:firstLine="482" w:firstLineChars="150"/>
              <w:jc w:val="left"/>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特别重大事故</w:t>
            </w:r>
          </w:p>
        </w:tc>
        <w:tc>
          <w:tcPr>
            <w:tcW w:w="3543" w:type="dxa"/>
            <w:noWrap w:val="0"/>
            <w:vAlign w:val="center"/>
          </w:tcPr>
          <w:p w14:paraId="68188978">
            <w:pPr>
              <w:keepNext w:val="0"/>
              <w:keepLines w:val="0"/>
              <w:pageBreakBefore w:val="0"/>
              <w:widowControl w:val="0"/>
              <w:kinsoku/>
              <w:wordWrap/>
              <w:overflowPunct/>
              <w:topLinePunct w:val="0"/>
              <w:autoSpaceDE/>
              <w:autoSpaceDN/>
              <w:bidi w:val="0"/>
              <w:adjustRightInd/>
              <w:snapToGrid/>
              <w:spacing w:line="240" w:lineRule="auto"/>
              <w:ind w:firstLine="482" w:firstLineChars="150"/>
              <w:jc w:val="left"/>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重大事故</w:t>
            </w:r>
          </w:p>
        </w:tc>
        <w:tc>
          <w:tcPr>
            <w:tcW w:w="3544" w:type="dxa"/>
            <w:noWrap w:val="0"/>
            <w:vAlign w:val="center"/>
          </w:tcPr>
          <w:p w14:paraId="3F06F1F1">
            <w:pPr>
              <w:keepNext w:val="0"/>
              <w:keepLines w:val="0"/>
              <w:pageBreakBefore w:val="0"/>
              <w:widowControl w:val="0"/>
              <w:kinsoku/>
              <w:wordWrap/>
              <w:overflowPunct/>
              <w:topLinePunct w:val="0"/>
              <w:autoSpaceDE/>
              <w:autoSpaceDN/>
              <w:bidi w:val="0"/>
              <w:adjustRightInd/>
              <w:snapToGrid/>
              <w:spacing w:line="240" w:lineRule="auto"/>
              <w:ind w:firstLine="482" w:firstLineChars="150"/>
              <w:jc w:val="left"/>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较大事故</w:t>
            </w:r>
          </w:p>
        </w:tc>
        <w:tc>
          <w:tcPr>
            <w:tcW w:w="3543" w:type="dxa"/>
            <w:noWrap w:val="0"/>
            <w:vAlign w:val="center"/>
          </w:tcPr>
          <w:p w14:paraId="58256745">
            <w:pPr>
              <w:keepNext w:val="0"/>
              <w:keepLines w:val="0"/>
              <w:pageBreakBefore w:val="0"/>
              <w:widowControl w:val="0"/>
              <w:kinsoku/>
              <w:wordWrap/>
              <w:overflowPunct/>
              <w:topLinePunct w:val="0"/>
              <w:autoSpaceDE/>
              <w:autoSpaceDN/>
              <w:bidi w:val="0"/>
              <w:adjustRightInd/>
              <w:snapToGrid/>
              <w:spacing w:line="240" w:lineRule="auto"/>
              <w:ind w:firstLine="482" w:firstLineChars="150"/>
              <w:jc w:val="left"/>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一般事故</w:t>
            </w:r>
          </w:p>
        </w:tc>
      </w:tr>
      <w:tr w14:paraId="415C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4" w:type="dxa"/>
            <w:noWrap w:val="0"/>
            <w:vAlign w:val="top"/>
          </w:tcPr>
          <w:p w14:paraId="35CB1583">
            <w:pPr>
              <w:keepNext w:val="0"/>
              <w:keepLines w:val="0"/>
              <w:pageBreakBefore w:val="0"/>
              <w:widowControl w:val="0"/>
              <w:kinsoku/>
              <w:wordWrap/>
              <w:overflowPunct/>
              <w:topLinePunct w:val="0"/>
              <w:autoSpaceDE/>
              <w:autoSpaceDN/>
              <w:bidi w:val="0"/>
              <w:adjustRightInd/>
              <w:snapToGrid/>
              <w:spacing w:line="240" w:lineRule="auto"/>
              <w:ind w:firstLine="480" w:firstLineChars="15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造成30人以上死亡，或者100人以上重伤（包括急性工业中毒），或者1亿元以上直接经济损失的事故。</w:t>
            </w:r>
          </w:p>
        </w:tc>
        <w:tc>
          <w:tcPr>
            <w:tcW w:w="3543" w:type="dxa"/>
            <w:noWrap w:val="0"/>
            <w:vAlign w:val="top"/>
          </w:tcPr>
          <w:p w14:paraId="7C4E6825">
            <w:pPr>
              <w:keepNext w:val="0"/>
              <w:keepLines w:val="0"/>
              <w:pageBreakBefore w:val="0"/>
              <w:widowControl w:val="0"/>
              <w:kinsoku/>
              <w:wordWrap/>
              <w:overflowPunct/>
              <w:topLinePunct w:val="0"/>
              <w:autoSpaceDE/>
              <w:autoSpaceDN/>
              <w:bidi w:val="0"/>
              <w:adjustRightInd/>
              <w:snapToGrid/>
              <w:spacing w:line="240" w:lineRule="auto"/>
              <w:ind w:firstLine="480" w:firstLineChars="15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造成10人以上30人以下死亡，或者50人以上100人以下重伤，或者5000万元以上一亿元以下直接经济损失的事故。</w:t>
            </w:r>
          </w:p>
        </w:tc>
        <w:tc>
          <w:tcPr>
            <w:tcW w:w="3544" w:type="dxa"/>
            <w:noWrap w:val="0"/>
            <w:vAlign w:val="top"/>
          </w:tcPr>
          <w:p w14:paraId="28A7E2F0">
            <w:pPr>
              <w:keepNext w:val="0"/>
              <w:keepLines w:val="0"/>
              <w:pageBreakBefore w:val="0"/>
              <w:widowControl w:val="0"/>
              <w:kinsoku/>
              <w:wordWrap/>
              <w:overflowPunct/>
              <w:topLinePunct w:val="0"/>
              <w:autoSpaceDE/>
              <w:autoSpaceDN/>
              <w:bidi w:val="0"/>
              <w:adjustRightInd/>
              <w:snapToGrid/>
              <w:spacing w:line="240" w:lineRule="auto"/>
              <w:ind w:firstLine="480" w:firstLineChars="15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造成3人以上10人以下死亡，或者10人以上50人以下重伤，或者5000万元以下直接经济损失的事故。</w:t>
            </w:r>
          </w:p>
        </w:tc>
        <w:tc>
          <w:tcPr>
            <w:tcW w:w="3543" w:type="dxa"/>
            <w:noWrap w:val="0"/>
            <w:vAlign w:val="top"/>
          </w:tcPr>
          <w:p w14:paraId="41097AB2">
            <w:pPr>
              <w:keepNext w:val="0"/>
              <w:keepLines w:val="0"/>
              <w:pageBreakBefore w:val="0"/>
              <w:widowControl w:val="0"/>
              <w:kinsoku/>
              <w:wordWrap/>
              <w:overflowPunct/>
              <w:topLinePunct w:val="0"/>
              <w:autoSpaceDE/>
              <w:autoSpaceDN/>
              <w:bidi w:val="0"/>
              <w:adjustRightInd/>
              <w:snapToGrid/>
              <w:spacing w:line="240" w:lineRule="auto"/>
              <w:ind w:firstLine="480" w:firstLineChars="15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造成3人以下死亡，或者10人以下重伤，或者1000万元以下直接经济损失的事故。</w:t>
            </w:r>
          </w:p>
        </w:tc>
      </w:tr>
    </w:tbl>
    <w:p w14:paraId="7257163E">
      <w:pPr>
        <w:ind w:firstLine="640" w:firstLineChars="200"/>
        <w:rPr>
          <w:rFonts w:hint="eastAsia" w:ascii="仿宋" w:hAnsi="仿宋" w:eastAsia="仿宋" w:cs="仿宋"/>
          <w:sz w:val="32"/>
          <w:szCs w:val="32"/>
          <w:lang w:val="en-US" w:eastAsia="zh-CN"/>
        </w:rPr>
      </w:pPr>
    </w:p>
    <w:p w14:paraId="21B82174">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注：“以上”包括本数，“以下”不包括本数。</w:t>
      </w:r>
    </w:p>
    <w:p w14:paraId="5A012355">
      <w:pPr>
        <w:outlineLvl w:val="0"/>
        <w:rPr>
          <w:rFonts w:hint="eastAsia" w:ascii="仿宋_GB2312" w:hAnsi="仿宋_GB2312" w:eastAsia="仿宋_GB2312" w:cs="仿宋_GB2312"/>
          <w:kern w:val="2"/>
          <w:sz w:val="32"/>
          <w:szCs w:val="32"/>
          <w:lang w:val="en-US" w:eastAsia="zh-CN" w:bidi="ar-SA"/>
        </w:rPr>
      </w:pPr>
      <w:bookmarkStart w:id="130" w:name="_Toc13633"/>
      <w:bookmarkStart w:id="131" w:name="_Toc272"/>
      <w:r>
        <w:rPr>
          <w:rFonts w:hint="eastAsia" w:ascii="仿宋_GB2312" w:hAnsi="仿宋_GB2312" w:eastAsia="仿宋_GB2312" w:cs="仿宋_GB2312"/>
          <w:kern w:val="2"/>
          <w:sz w:val="32"/>
          <w:szCs w:val="32"/>
          <w:lang w:val="en-US" w:eastAsia="zh-CN" w:bidi="ar-SA"/>
        </w:rPr>
        <w:br w:type="page"/>
      </w:r>
      <w:bookmarkEnd w:id="130"/>
      <w:bookmarkEnd w:id="131"/>
    </w:p>
    <w:p w14:paraId="3BD7259F">
      <w:pPr>
        <w:jc w:val="center"/>
        <w:outlineLvl w:val="1"/>
        <w:rPr>
          <w:rFonts w:hint="eastAsia" w:ascii="宋体" w:hAnsi="宋体" w:eastAsia="宋体" w:cs="宋体"/>
          <w:b/>
          <w:bCs/>
          <w:sz w:val="44"/>
          <w:szCs w:val="44"/>
          <w:lang w:val="en-US" w:eastAsia="zh-CN"/>
        </w:rPr>
      </w:pPr>
      <w:bookmarkStart w:id="132" w:name="_Toc714"/>
      <w:bookmarkStart w:id="133" w:name="_Toc30679"/>
      <w:r>
        <w:rPr>
          <w:rFonts w:hint="eastAsia" w:ascii="宋体" w:hAnsi="宋体" w:eastAsia="宋体" w:cs="宋体"/>
          <w:b/>
          <w:bCs/>
          <w:sz w:val="44"/>
          <w:szCs w:val="44"/>
          <w:lang w:val="en-US" w:eastAsia="zh-CN"/>
        </w:rPr>
        <w:t>县级非煤矿山生产安全事故县级应急响应条件</w:t>
      </w:r>
      <w:bookmarkEnd w:id="132"/>
      <w:bookmarkEnd w:id="133"/>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2"/>
        <w:gridCol w:w="3543"/>
        <w:gridCol w:w="3546"/>
      </w:tblGrid>
      <w:tr w14:paraId="5ED8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3" w:type="dxa"/>
            <w:noWrap w:val="0"/>
            <w:vAlign w:val="top"/>
          </w:tcPr>
          <w:p w14:paraId="2BF2254A">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一级响应</w:t>
            </w:r>
          </w:p>
        </w:tc>
        <w:tc>
          <w:tcPr>
            <w:tcW w:w="3542" w:type="dxa"/>
            <w:noWrap w:val="0"/>
            <w:vAlign w:val="top"/>
          </w:tcPr>
          <w:p w14:paraId="4D204A2B">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二级响应</w:t>
            </w:r>
          </w:p>
        </w:tc>
        <w:tc>
          <w:tcPr>
            <w:tcW w:w="3543" w:type="dxa"/>
            <w:noWrap w:val="0"/>
            <w:vAlign w:val="top"/>
          </w:tcPr>
          <w:p w14:paraId="652F92FD">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三级响应</w:t>
            </w:r>
          </w:p>
        </w:tc>
        <w:tc>
          <w:tcPr>
            <w:tcW w:w="3546" w:type="dxa"/>
            <w:noWrap w:val="0"/>
            <w:vAlign w:val="top"/>
          </w:tcPr>
          <w:p w14:paraId="4041ADCB">
            <w:pPr>
              <w:jc w:val="center"/>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四级响应</w:t>
            </w:r>
          </w:p>
        </w:tc>
      </w:tr>
      <w:tr w14:paraId="79AA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trPr>
        <w:tc>
          <w:tcPr>
            <w:tcW w:w="3543" w:type="dxa"/>
            <w:noWrap w:val="0"/>
            <w:vAlign w:val="top"/>
          </w:tcPr>
          <w:p w14:paraId="3D74D70D">
            <w:pPr>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符合以下情形之一时，启动一级响应：</w:t>
            </w:r>
          </w:p>
          <w:p w14:paraId="6AFAE446">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发生特别重大事故；</w:t>
            </w:r>
          </w:p>
          <w:p w14:paraId="174A4A3E">
            <w:pPr>
              <w:numPr>
                <w:ilvl w:val="0"/>
                <w:numId w:val="0"/>
              </w:numPr>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需要紧急转移安置5万人以上的生产安全事故；</w:t>
            </w:r>
          </w:p>
          <w:p w14:paraId="5CBDE0BF">
            <w:pPr>
              <w:numPr>
                <w:ilvl w:val="0"/>
                <w:numId w:val="0"/>
              </w:numPr>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需要启动一级响应的其他情形。</w:t>
            </w:r>
          </w:p>
        </w:tc>
        <w:tc>
          <w:tcPr>
            <w:tcW w:w="3542" w:type="dxa"/>
            <w:noWrap w:val="0"/>
            <w:vAlign w:val="top"/>
          </w:tcPr>
          <w:p w14:paraId="79791FAB">
            <w:pPr>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符合以下情形之一时，启动二级响应：</w:t>
            </w:r>
          </w:p>
          <w:p w14:paraId="71C7F492">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rPr>
              <w:t>发生重大事故；</w:t>
            </w:r>
          </w:p>
          <w:p w14:paraId="6EF44303">
            <w:pPr>
              <w:numPr>
                <w:ilvl w:val="0"/>
                <w:numId w:val="0"/>
              </w:numPr>
              <w:ind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需要紧急转移安置1万人以上5万人以下的生产安全事故；</w:t>
            </w:r>
          </w:p>
          <w:p w14:paraId="1041464A">
            <w:pPr>
              <w:numPr>
                <w:ilvl w:val="0"/>
                <w:numId w:val="0"/>
              </w:numPr>
              <w:ind w:leftChars="0"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需要启动二级响应的其他情形。</w:t>
            </w:r>
          </w:p>
        </w:tc>
        <w:tc>
          <w:tcPr>
            <w:tcW w:w="3543" w:type="dxa"/>
            <w:noWrap w:val="0"/>
            <w:vAlign w:val="top"/>
          </w:tcPr>
          <w:p w14:paraId="48D50DD6">
            <w:pPr>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符合以下情形之一时，启动三级响应：</w:t>
            </w:r>
          </w:p>
          <w:p w14:paraId="3BEB48C3">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发生较大事故；</w:t>
            </w:r>
          </w:p>
          <w:p w14:paraId="0C690FFF">
            <w:pPr>
              <w:numPr>
                <w:ilvl w:val="0"/>
                <w:numId w:val="0"/>
              </w:numPr>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需要紧急转移安置500人以上1万人以下的生产安全事故；</w:t>
            </w:r>
          </w:p>
          <w:p w14:paraId="71851F05">
            <w:pPr>
              <w:numPr>
                <w:ilvl w:val="0"/>
                <w:numId w:val="0"/>
              </w:numPr>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需要启动三级响应的其他情形。</w:t>
            </w:r>
          </w:p>
        </w:tc>
        <w:tc>
          <w:tcPr>
            <w:tcW w:w="3546" w:type="dxa"/>
            <w:noWrap w:val="0"/>
            <w:vAlign w:val="top"/>
          </w:tcPr>
          <w:p w14:paraId="6515F9EC">
            <w:pPr>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符合以下情形之一时，启动四级响应：</w:t>
            </w:r>
          </w:p>
          <w:p w14:paraId="1AE90046">
            <w:pPr>
              <w:numPr>
                <w:ilvl w:val="0"/>
                <w:numId w:val="0"/>
              </w:num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发生一般事故；</w:t>
            </w:r>
          </w:p>
          <w:p w14:paraId="4847515A">
            <w:pPr>
              <w:numPr>
                <w:ilvl w:val="0"/>
                <w:numId w:val="0"/>
              </w:numPr>
              <w:ind w:firstLine="640" w:firstLineChars="200"/>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需要启动四级响应的其他情形。</w:t>
            </w:r>
          </w:p>
          <w:p w14:paraId="14407733">
            <w:pPr>
              <w:jc w:val="both"/>
              <w:rPr>
                <w:rFonts w:hint="eastAsia" w:ascii="仿宋_GB2312" w:hAnsi="仿宋_GB2312" w:eastAsia="仿宋_GB2312" w:cs="仿宋_GB2312"/>
                <w:sz w:val="32"/>
                <w:szCs w:val="32"/>
                <w:vertAlign w:val="baseline"/>
                <w:lang w:val="en-US" w:eastAsia="zh-CN"/>
              </w:rPr>
            </w:pPr>
          </w:p>
        </w:tc>
      </w:tr>
    </w:tbl>
    <w:p w14:paraId="7EF5F746">
      <w:pPr>
        <w:ind w:left="0" w:leftChars="0" w:firstLine="0" w:firstLineChars="0"/>
        <w:rPr>
          <w:rFonts w:hint="default"/>
          <w:color w:val="auto"/>
          <w:lang w:val="en-US" w:eastAsia="zh-CN"/>
        </w:rPr>
      </w:pPr>
    </w:p>
    <w:p w14:paraId="7DF30223">
      <w:pPr>
        <w:rPr>
          <w:color w:val="auto"/>
        </w:rPr>
        <w:sectPr>
          <w:footerReference r:id="rId9" w:type="default"/>
          <w:pgSz w:w="16838" w:h="11906" w:orient="landscape"/>
          <w:pgMar w:top="1800" w:right="1440" w:bottom="1800" w:left="1440" w:header="851" w:footer="992" w:gutter="0"/>
          <w:pgNumType w:fmt="decimal"/>
          <w:cols w:space="425" w:num="1"/>
          <w:docGrid w:type="lines" w:linePitch="312" w:charSpace="0"/>
        </w:sectPr>
      </w:pPr>
    </w:p>
    <w:p w14:paraId="321CBC3F">
      <w:pPr>
        <w:keepNext w:val="0"/>
        <w:keepLines w:val="0"/>
        <w:pageBreakBefore w:val="0"/>
        <w:widowControl w:val="0"/>
        <w:kinsoku/>
        <w:wordWrap/>
        <w:overflowPunct/>
        <w:topLinePunct w:val="0"/>
        <w:autoSpaceDE w:val="0"/>
        <w:autoSpaceDN w:val="0"/>
        <w:bidi w:val="0"/>
        <w:adjustRightInd/>
        <w:snapToGrid/>
        <w:spacing w:line="578" w:lineRule="exact"/>
        <w:ind w:left="0" w:leftChars="0" w:firstLine="0" w:firstLineChars="0"/>
        <w:jc w:val="both"/>
        <w:textAlignment w:val="auto"/>
        <w:outlineLvl w:val="0"/>
        <w:rPr>
          <w:rFonts w:hint="eastAsia" w:ascii="方正小标宋简体" w:hAnsi="方正小标宋简体" w:eastAsia="方正小标宋简体" w:cs="方正小标宋简体"/>
          <w:color w:val="auto"/>
          <w:sz w:val="44"/>
          <w:szCs w:val="44"/>
          <w:lang w:val="zh-CN" w:eastAsia="zh-CN" w:bidi="ar-SA"/>
        </w:rPr>
      </w:pPr>
    </w:p>
    <w:p w14:paraId="3FE56F8A">
      <w:pPr>
        <w:jc w:val="center"/>
        <w:rPr>
          <w:rFonts w:hint="eastAsia" w:ascii="方正小标宋简体" w:hAnsi="方正小标宋简体" w:eastAsia="方正小标宋简体" w:cs="方正小标宋简体"/>
          <w:b w:val="0"/>
          <w:bCs/>
          <w:sz w:val="44"/>
          <w:szCs w:val="44"/>
        </w:rPr>
        <w:sectPr>
          <w:headerReference r:id="rId10" w:type="default"/>
          <w:footerReference r:id="rId11" w:type="default"/>
          <w:pgSz w:w="11906" w:h="16838"/>
          <w:pgMar w:top="1984" w:right="1474" w:bottom="2098" w:left="1587" w:header="850" w:footer="1134" w:gutter="0"/>
          <w:pgBorders>
            <w:top w:val="none" w:sz="0" w:space="0"/>
            <w:left w:val="none" w:sz="0" w:space="0"/>
            <w:bottom w:val="none" w:sz="0" w:space="0"/>
            <w:right w:val="none" w:sz="0" w:space="0"/>
          </w:pgBorders>
          <w:pgNumType w:fmt="decimal"/>
          <w:cols w:space="0" w:num="1"/>
          <w:rtlGutter w:val="0"/>
          <w:docGrid w:type="lines" w:linePitch="409" w:charSpace="0"/>
        </w:sectPr>
      </w:pPr>
    </w:p>
    <w:p w14:paraId="08925F53">
      <w:pPr>
        <w:pStyle w:val="9"/>
        <w:ind w:left="0" w:leftChars="0" w:firstLine="0" w:firstLineChars="0"/>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F20185-0F05-48F9-9E9C-0ECCEC0B18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22E14C2-874D-47AB-8ED6-194A5A072421}"/>
  </w:font>
  <w:font w:name="仿宋_GB2312">
    <w:altName w:val="仿宋"/>
    <w:panose1 w:val="02010609030101010101"/>
    <w:charset w:val="86"/>
    <w:family w:val="auto"/>
    <w:pitch w:val="default"/>
    <w:sig w:usb0="00000000" w:usb1="00000000" w:usb2="00000000" w:usb3="00000000" w:csb0="00040000" w:csb1="00000000"/>
    <w:embedRegular r:id="rId3" w:fontKey="{C48CD366-5498-42B3-A669-7A0F381D5009}"/>
  </w:font>
  <w:font w:name="仿宋">
    <w:panose1 w:val="02010609060101010101"/>
    <w:charset w:val="86"/>
    <w:family w:val="auto"/>
    <w:pitch w:val="default"/>
    <w:sig w:usb0="800002BF" w:usb1="38CF7CFA" w:usb2="00000016" w:usb3="00000000" w:csb0="00040001" w:csb1="00000000"/>
    <w:embedRegular r:id="rId4" w:fontKey="{972E606D-57BB-4696-A5EF-E297F93C8C0D}"/>
  </w:font>
  <w:font w:name="楷体_GB2312">
    <w:altName w:val="楷体"/>
    <w:panose1 w:val="02010609030101010101"/>
    <w:charset w:val="86"/>
    <w:family w:val="auto"/>
    <w:pitch w:val="default"/>
    <w:sig w:usb0="00000000" w:usb1="00000000" w:usb2="00000000" w:usb3="00000000" w:csb0="00040000" w:csb1="00000000"/>
    <w:embedRegular r:id="rId5" w:fontKey="{33FC9BFF-0299-4255-9802-77561D651998}"/>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6" w:fontKey="{DBFBAF5F-B534-4806-AFEB-D21F66D2EE0E}"/>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8AEF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7CE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AA10">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9565">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ABA4F">
                          <w:pPr>
                            <w:pStyle w:val="11"/>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4"/>
                              <w:szCs w:val="40"/>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D8ABA4F">
                    <w:pPr>
                      <w:pStyle w:val="11"/>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4"/>
                        <w:szCs w:val="40"/>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E3814">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4760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14:paraId="4DE47605">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3C90F">
    <w:pPr>
      <w:pStyle w:val="9"/>
      <w:spacing w:line="14" w:lineRule="auto"/>
      <w:ind w:left="0"/>
      <w:rPr>
        <w:sz w:val="20"/>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C9AFA">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CC9AFA">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3709035</wp:posOffset>
              </wp:positionH>
              <wp:positionV relativeFrom="page">
                <wp:posOffset>6554470</wp:posOffset>
              </wp:positionV>
              <wp:extent cx="381635" cy="203835"/>
              <wp:effectExtent l="0" t="0" r="0" b="0"/>
              <wp:wrapNone/>
              <wp:docPr id="42" name="文本框 4"/>
              <wp:cNvGraphicFramePr/>
              <a:graphic xmlns:a="http://schemas.openxmlformats.org/drawingml/2006/main">
                <a:graphicData uri="http://schemas.microsoft.com/office/word/2010/wordprocessingShape">
                  <wps:wsp>
                    <wps:cNvSpPr txBox="1"/>
                    <wps:spPr>
                      <a:xfrm>
                        <a:off x="0" y="0"/>
                        <a:ext cx="381635" cy="203835"/>
                      </a:xfrm>
                      <a:prstGeom prst="rect">
                        <a:avLst/>
                      </a:prstGeom>
                      <a:noFill/>
                      <a:ln>
                        <a:noFill/>
                      </a:ln>
                    </wps:spPr>
                    <wps:txbx>
                      <w:txbxContent>
                        <w:p w14:paraId="7546FD4E">
                          <w:pPr>
                            <w:spacing w:before="0" w:line="321" w:lineRule="exact"/>
                            <w:ind w:left="20" w:right="0" w:firstLine="0"/>
                            <w:jc w:val="left"/>
                            <w:rPr>
                              <w:rFonts w:ascii="宋体"/>
                              <w:sz w:val="28"/>
                            </w:rPr>
                          </w:pPr>
                        </w:p>
                      </w:txbxContent>
                    </wps:txbx>
                    <wps:bodyPr lIns="0" tIns="0" rIns="0" bIns="0" upright="1"/>
                  </wps:wsp>
                </a:graphicData>
              </a:graphic>
            </wp:anchor>
          </w:drawing>
        </mc:Choice>
        <mc:Fallback>
          <w:pict>
            <v:shape id="文本框 4" o:spid="_x0000_s1026" o:spt="202" type="#_x0000_t202" style="position:absolute;left:0pt;margin-left:292.05pt;margin-top:516.1pt;height:16.05pt;width:30.05pt;mso-position-horizontal-relative:page;mso-position-vertical-relative:page;z-index:-251657216;mso-width-relative:page;mso-height-relative:page;" filled="f" stroked="f" coordsize="21600,21600" o:gfxdata="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f0KvXbAAAADQEAAA8AAAAAAAAAAQAgAAAAIgAAAGRycy9kb3ducmV2LnhtbFBL&#10;AQIUABQAAAAIAIdO4kDi2ObsugEAAHIDAAAOAAAAAAAAAAEAIAAAACoBAABkcnMvZTJvRG9jLnht&#10;bFBLBQYAAAAABgAGAFkBAABWBQAAAAA=&#10;">
              <v:fill on="f" focussize="0,0"/>
              <v:stroke on="f"/>
              <v:imagedata o:title=""/>
              <o:lock v:ext="edit" aspectratio="f"/>
              <v:textbox inset="0mm,0mm,0mm,0mm">
                <w:txbxContent>
                  <w:p w14:paraId="7546FD4E">
                    <w:pPr>
                      <w:spacing w:before="0" w:line="321" w:lineRule="exact"/>
                      <w:ind w:left="20" w:right="0" w:firstLine="0"/>
                      <w:jc w:val="left"/>
                      <w:rPr>
                        <w:rFonts w:ascii="宋体"/>
                        <w:sz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718B0">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jcxMWE3YmQ5OGYxNTA0NTEwOTVjMjkyYzNkYjcifQ=="/>
  </w:docVars>
  <w:rsids>
    <w:rsidRoot w:val="450F3C05"/>
    <w:rsid w:val="00496DA9"/>
    <w:rsid w:val="00704336"/>
    <w:rsid w:val="00F9432B"/>
    <w:rsid w:val="016245C6"/>
    <w:rsid w:val="0264611C"/>
    <w:rsid w:val="02D54924"/>
    <w:rsid w:val="030D2310"/>
    <w:rsid w:val="03215DBB"/>
    <w:rsid w:val="032F672A"/>
    <w:rsid w:val="033B4C67"/>
    <w:rsid w:val="03E243D5"/>
    <w:rsid w:val="04E018CC"/>
    <w:rsid w:val="050B287F"/>
    <w:rsid w:val="05551D4C"/>
    <w:rsid w:val="0717375D"/>
    <w:rsid w:val="07293490"/>
    <w:rsid w:val="074B3407"/>
    <w:rsid w:val="078E1545"/>
    <w:rsid w:val="07AF1BE8"/>
    <w:rsid w:val="07C1191B"/>
    <w:rsid w:val="07FE491D"/>
    <w:rsid w:val="08A74FB5"/>
    <w:rsid w:val="08FD2E27"/>
    <w:rsid w:val="09047D11"/>
    <w:rsid w:val="09320D22"/>
    <w:rsid w:val="09750A67"/>
    <w:rsid w:val="09F00295"/>
    <w:rsid w:val="09F07890"/>
    <w:rsid w:val="0A2A37A7"/>
    <w:rsid w:val="0A5E152D"/>
    <w:rsid w:val="0AF12517"/>
    <w:rsid w:val="0BAD5C75"/>
    <w:rsid w:val="0C3923C8"/>
    <w:rsid w:val="0CD65E68"/>
    <w:rsid w:val="0D0C53E6"/>
    <w:rsid w:val="0D7717A5"/>
    <w:rsid w:val="0D977119"/>
    <w:rsid w:val="0D991370"/>
    <w:rsid w:val="0DB735A4"/>
    <w:rsid w:val="0DDA54E4"/>
    <w:rsid w:val="0E15651D"/>
    <w:rsid w:val="0E77288B"/>
    <w:rsid w:val="0ED91C40"/>
    <w:rsid w:val="0F024CF3"/>
    <w:rsid w:val="0F274759"/>
    <w:rsid w:val="0F3B1FB3"/>
    <w:rsid w:val="0FAB7138"/>
    <w:rsid w:val="0FD22917"/>
    <w:rsid w:val="103E1D5B"/>
    <w:rsid w:val="10525806"/>
    <w:rsid w:val="10A5002C"/>
    <w:rsid w:val="112371A2"/>
    <w:rsid w:val="11EC3A38"/>
    <w:rsid w:val="12575356"/>
    <w:rsid w:val="12617F82"/>
    <w:rsid w:val="12843C71"/>
    <w:rsid w:val="12B97DBE"/>
    <w:rsid w:val="135B70C7"/>
    <w:rsid w:val="13FA243C"/>
    <w:rsid w:val="140E5EE8"/>
    <w:rsid w:val="146855F8"/>
    <w:rsid w:val="149F4D92"/>
    <w:rsid w:val="14E07884"/>
    <w:rsid w:val="15543DCE"/>
    <w:rsid w:val="16557DFE"/>
    <w:rsid w:val="16AF39B2"/>
    <w:rsid w:val="179B7A92"/>
    <w:rsid w:val="17E7717C"/>
    <w:rsid w:val="18491BE4"/>
    <w:rsid w:val="184C5231"/>
    <w:rsid w:val="18C82B09"/>
    <w:rsid w:val="19257F5C"/>
    <w:rsid w:val="192D0BBE"/>
    <w:rsid w:val="197467ED"/>
    <w:rsid w:val="19F8741E"/>
    <w:rsid w:val="1A345F7C"/>
    <w:rsid w:val="1A756CC1"/>
    <w:rsid w:val="1A7A6085"/>
    <w:rsid w:val="1A7A7E33"/>
    <w:rsid w:val="1AB01AA7"/>
    <w:rsid w:val="1AC668F6"/>
    <w:rsid w:val="1B03607B"/>
    <w:rsid w:val="1C2344FA"/>
    <w:rsid w:val="1C9E3D00"/>
    <w:rsid w:val="1D2F75FB"/>
    <w:rsid w:val="1E220F0E"/>
    <w:rsid w:val="1F1C3BAF"/>
    <w:rsid w:val="1F552C1D"/>
    <w:rsid w:val="20943C19"/>
    <w:rsid w:val="20D504B9"/>
    <w:rsid w:val="221072CF"/>
    <w:rsid w:val="22576CAC"/>
    <w:rsid w:val="23825FAA"/>
    <w:rsid w:val="23871813"/>
    <w:rsid w:val="239006C7"/>
    <w:rsid w:val="23AC3027"/>
    <w:rsid w:val="23CD36CA"/>
    <w:rsid w:val="24670B4F"/>
    <w:rsid w:val="24961D0D"/>
    <w:rsid w:val="263A2B6C"/>
    <w:rsid w:val="26492DAF"/>
    <w:rsid w:val="272A2BB2"/>
    <w:rsid w:val="27314692"/>
    <w:rsid w:val="2780578F"/>
    <w:rsid w:val="285D199F"/>
    <w:rsid w:val="2874680A"/>
    <w:rsid w:val="28877B31"/>
    <w:rsid w:val="28C130D1"/>
    <w:rsid w:val="29057462"/>
    <w:rsid w:val="299D3B3E"/>
    <w:rsid w:val="2A027E45"/>
    <w:rsid w:val="2A9E7B6E"/>
    <w:rsid w:val="2B4A1AA4"/>
    <w:rsid w:val="2B872367"/>
    <w:rsid w:val="2BA56CDA"/>
    <w:rsid w:val="2BB67139"/>
    <w:rsid w:val="2C372028"/>
    <w:rsid w:val="2CDC497D"/>
    <w:rsid w:val="2DC25921"/>
    <w:rsid w:val="2E5F13C2"/>
    <w:rsid w:val="2E903C71"/>
    <w:rsid w:val="2F081A5A"/>
    <w:rsid w:val="2FA15A0A"/>
    <w:rsid w:val="300E30A0"/>
    <w:rsid w:val="308E0C14"/>
    <w:rsid w:val="309A4933"/>
    <w:rsid w:val="312B1A2F"/>
    <w:rsid w:val="31A041CB"/>
    <w:rsid w:val="31AC0DC2"/>
    <w:rsid w:val="31FB7654"/>
    <w:rsid w:val="3296737C"/>
    <w:rsid w:val="3304078A"/>
    <w:rsid w:val="33260700"/>
    <w:rsid w:val="33EF4F96"/>
    <w:rsid w:val="35747E49"/>
    <w:rsid w:val="35DE1766"/>
    <w:rsid w:val="37082692"/>
    <w:rsid w:val="379A16BD"/>
    <w:rsid w:val="37E34E12"/>
    <w:rsid w:val="38BE762D"/>
    <w:rsid w:val="39B12CEE"/>
    <w:rsid w:val="3AC32CD9"/>
    <w:rsid w:val="3B443E1A"/>
    <w:rsid w:val="3B6C3370"/>
    <w:rsid w:val="3BFD046C"/>
    <w:rsid w:val="3C566C8A"/>
    <w:rsid w:val="3D4D1087"/>
    <w:rsid w:val="3D532A3A"/>
    <w:rsid w:val="3E860BED"/>
    <w:rsid w:val="3E9A01F4"/>
    <w:rsid w:val="3ECD05CA"/>
    <w:rsid w:val="3EDC25BB"/>
    <w:rsid w:val="3EE15E23"/>
    <w:rsid w:val="3F0B5BDB"/>
    <w:rsid w:val="3F3146B5"/>
    <w:rsid w:val="3FA210AF"/>
    <w:rsid w:val="3FC419CD"/>
    <w:rsid w:val="3FE43E1D"/>
    <w:rsid w:val="402B37FA"/>
    <w:rsid w:val="40C15F0C"/>
    <w:rsid w:val="412F2E76"/>
    <w:rsid w:val="41EA1493"/>
    <w:rsid w:val="41EA3241"/>
    <w:rsid w:val="42226F2E"/>
    <w:rsid w:val="42FC322C"/>
    <w:rsid w:val="431247FD"/>
    <w:rsid w:val="43811983"/>
    <w:rsid w:val="44113A10"/>
    <w:rsid w:val="4427252A"/>
    <w:rsid w:val="44705C7F"/>
    <w:rsid w:val="450F3C05"/>
    <w:rsid w:val="45497BDD"/>
    <w:rsid w:val="45CA7611"/>
    <w:rsid w:val="45CF2E79"/>
    <w:rsid w:val="465E7D59"/>
    <w:rsid w:val="46F32B98"/>
    <w:rsid w:val="476F3549"/>
    <w:rsid w:val="48254FD3"/>
    <w:rsid w:val="48582C8C"/>
    <w:rsid w:val="48632753"/>
    <w:rsid w:val="48C52312"/>
    <w:rsid w:val="4903535F"/>
    <w:rsid w:val="49325BF9"/>
    <w:rsid w:val="499046CE"/>
    <w:rsid w:val="49957F36"/>
    <w:rsid w:val="49C820BA"/>
    <w:rsid w:val="4A2F63B0"/>
    <w:rsid w:val="4A5D0A54"/>
    <w:rsid w:val="4A673681"/>
    <w:rsid w:val="4A73485D"/>
    <w:rsid w:val="4AB368C6"/>
    <w:rsid w:val="4B1A6945"/>
    <w:rsid w:val="4BB74194"/>
    <w:rsid w:val="4BCD1C09"/>
    <w:rsid w:val="4C0F3FD0"/>
    <w:rsid w:val="4C59349D"/>
    <w:rsid w:val="4C87625C"/>
    <w:rsid w:val="4C96649F"/>
    <w:rsid w:val="4CA010CC"/>
    <w:rsid w:val="4DA07BFD"/>
    <w:rsid w:val="4E2F0959"/>
    <w:rsid w:val="4EC217CD"/>
    <w:rsid w:val="4F644633"/>
    <w:rsid w:val="4FA11FC7"/>
    <w:rsid w:val="4FA42C81"/>
    <w:rsid w:val="4FC3798E"/>
    <w:rsid w:val="50830D73"/>
    <w:rsid w:val="50F10148"/>
    <w:rsid w:val="51581F75"/>
    <w:rsid w:val="51AA02F7"/>
    <w:rsid w:val="51AE7DE7"/>
    <w:rsid w:val="53733096"/>
    <w:rsid w:val="53B84F4D"/>
    <w:rsid w:val="53F87B6B"/>
    <w:rsid w:val="543D36A4"/>
    <w:rsid w:val="545C19DE"/>
    <w:rsid w:val="54705828"/>
    <w:rsid w:val="551E7032"/>
    <w:rsid w:val="560B1CAC"/>
    <w:rsid w:val="56242D6E"/>
    <w:rsid w:val="571B1660"/>
    <w:rsid w:val="571B5F1F"/>
    <w:rsid w:val="574C432A"/>
    <w:rsid w:val="57B10631"/>
    <w:rsid w:val="57B5057D"/>
    <w:rsid w:val="583B614D"/>
    <w:rsid w:val="584E5E80"/>
    <w:rsid w:val="587A4EC7"/>
    <w:rsid w:val="58937D37"/>
    <w:rsid w:val="58F85DEC"/>
    <w:rsid w:val="590E560F"/>
    <w:rsid w:val="59594ADC"/>
    <w:rsid w:val="5A845B89"/>
    <w:rsid w:val="5A9B2ED2"/>
    <w:rsid w:val="5AC71F19"/>
    <w:rsid w:val="5ACC12DE"/>
    <w:rsid w:val="5B9E2C7A"/>
    <w:rsid w:val="5BAF4E87"/>
    <w:rsid w:val="5BF22FC6"/>
    <w:rsid w:val="5BF40AEC"/>
    <w:rsid w:val="5C6A7000"/>
    <w:rsid w:val="5CCB7A9F"/>
    <w:rsid w:val="5D5C2DED"/>
    <w:rsid w:val="5E12399E"/>
    <w:rsid w:val="5E323B4E"/>
    <w:rsid w:val="5E403F29"/>
    <w:rsid w:val="5E483371"/>
    <w:rsid w:val="5E510478"/>
    <w:rsid w:val="5E761C8C"/>
    <w:rsid w:val="5F180F96"/>
    <w:rsid w:val="5F2931A3"/>
    <w:rsid w:val="5F786586"/>
    <w:rsid w:val="5FA36AB1"/>
    <w:rsid w:val="5FA97E40"/>
    <w:rsid w:val="60651FB9"/>
    <w:rsid w:val="609603C4"/>
    <w:rsid w:val="609805E0"/>
    <w:rsid w:val="60A96349"/>
    <w:rsid w:val="60C2740B"/>
    <w:rsid w:val="60F66458"/>
    <w:rsid w:val="612E4AA0"/>
    <w:rsid w:val="616F4D57"/>
    <w:rsid w:val="618648DC"/>
    <w:rsid w:val="618F19E3"/>
    <w:rsid w:val="61AB7E9F"/>
    <w:rsid w:val="61B2122D"/>
    <w:rsid w:val="61ED04B8"/>
    <w:rsid w:val="62F615EE"/>
    <w:rsid w:val="632E2B36"/>
    <w:rsid w:val="63B868A3"/>
    <w:rsid w:val="63D21A76"/>
    <w:rsid w:val="63FC0E86"/>
    <w:rsid w:val="644F0FB6"/>
    <w:rsid w:val="645760BC"/>
    <w:rsid w:val="648A6492"/>
    <w:rsid w:val="64C01EB3"/>
    <w:rsid w:val="651D10B4"/>
    <w:rsid w:val="655D5954"/>
    <w:rsid w:val="65CE23AE"/>
    <w:rsid w:val="65F938CF"/>
    <w:rsid w:val="6686712D"/>
    <w:rsid w:val="668D4017"/>
    <w:rsid w:val="67010561"/>
    <w:rsid w:val="67654F94"/>
    <w:rsid w:val="67B42B16"/>
    <w:rsid w:val="683A1F7D"/>
    <w:rsid w:val="68646FFA"/>
    <w:rsid w:val="688B4586"/>
    <w:rsid w:val="68CA3301"/>
    <w:rsid w:val="69AC0C58"/>
    <w:rsid w:val="69C02956"/>
    <w:rsid w:val="69D87C9F"/>
    <w:rsid w:val="6A1707C7"/>
    <w:rsid w:val="6A440E91"/>
    <w:rsid w:val="6AD42215"/>
    <w:rsid w:val="6ADF6E0B"/>
    <w:rsid w:val="6AE54C87"/>
    <w:rsid w:val="6BD05FBC"/>
    <w:rsid w:val="6BDF3567"/>
    <w:rsid w:val="6C0E1756"/>
    <w:rsid w:val="6CBC5656"/>
    <w:rsid w:val="6CF21078"/>
    <w:rsid w:val="6D967C55"/>
    <w:rsid w:val="6D9739CD"/>
    <w:rsid w:val="6DB85E1E"/>
    <w:rsid w:val="6DCF3167"/>
    <w:rsid w:val="6DE94229"/>
    <w:rsid w:val="6E153270"/>
    <w:rsid w:val="6E557B10"/>
    <w:rsid w:val="6F03756C"/>
    <w:rsid w:val="6F2B261F"/>
    <w:rsid w:val="6F9B59F7"/>
    <w:rsid w:val="6FBB39A3"/>
    <w:rsid w:val="700A0487"/>
    <w:rsid w:val="703F2826"/>
    <w:rsid w:val="70BA00FF"/>
    <w:rsid w:val="70D54F38"/>
    <w:rsid w:val="70F353BF"/>
    <w:rsid w:val="710A33ED"/>
    <w:rsid w:val="71E33685"/>
    <w:rsid w:val="725974A3"/>
    <w:rsid w:val="727367B7"/>
    <w:rsid w:val="727662A7"/>
    <w:rsid w:val="728C1627"/>
    <w:rsid w:val="72B15531"/>
    <w:rsid w:val="72F5541E"/>
    <w:rsid w:val="72F62F44"/>
    <w:rsid w:val="734819F2"/>
    <w:rsid w:val="7379604F"/>
    <w:rsid w:val="739F538A"/>
    <w:rsid w:val="747F7695"/>
    <w:rsid w:val="74EC2851"/>
    <w:rsid w:val="750202C6"/>
    <w:rsid w:val="75041948"/>
    <w:rsid w:val="753164B5"/>
    <w:rsid w:val="75952EE8"/>
    <w:rsid w:val="75A60C51"/>
    <w:rsid w:val="75EF43A6"/>
    <w:rsid w:val="76481D09"/>
    <w:rsid w:val="76522B87"/>
    <w:rsid w:val="77057BFA"/>
    <w:rsid w:val="778154D2"/>
    <w:rsid w:val="782D7408"/>
    <w:rsid w:val="78526E6F"/>
    <w:rsid w:val="78874D6A"/>
    <w:rsid w:val="789456D9"/>
    <w:rsid w:val="791C0C31"/>
    <w:rsid w:val="79FF9C2D"/>
    <w:rsid w:val="7A654135"/>
    <w:rsid w:val="7A9E283F"/>
    <w:rsid w:val="7AC1208A"/>
    <w:rsid w:val="7B2F3497"/>
    <w:rsid w:val="7B551150"/>
    <w:rsid w:val="7B7A0BB6"/>
    <w:rsid w:val="7B9D6653"/>
    <w:rsid w:val="7BAE0860"/>
    <w:rsid w:val="7D012C11"/>
    <w:rsid w:val="7D545437"/>
    <w:rsid w:val="7DF06F0E"/>
    <w:rsid w:val="7E861620"/>
    <w:rsid w:val="7EFC7B34"/>
    <w:rsid w:val="7F6F0306"/>
    <w:rsid w:val="7FE02FB2"/>
    <w:rsid w:val="7FE540D4"/>
    <w:rsid w:val="9B7EA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5">
    <w:name w:val="heading 1"/>
    <w:basedOn w:val="1"/>
    <w:next w:val="1"/>
    <w:qFormat/>
    <w:uiPriority w:val="0"/>
    <w:pPr>
      <w:keepNext/>
      <w:keepLines/>
      <w:spacing w:beforeLines="0" w:beforeAutospacing="0" w:afterLines="0" w:afterAutospacing="0" w:line="578" w:lineRule="exact"/>
      <w:outlineLvl w:val="0"/>
    </w:pPr>
    <w:rPr>
      <w:rFonts w:ascii="黑体" w:hAnsi="黑体" w:eastAsia="黑体"/>
      <w:kern w:val="44"/>
    </w:rPr>
  </w:style>
  <w:style w:type="paragraph" w:styleId="6">
    <w:name w:val="heading 2"/>
    <w:basedOn w:val="1"/>
    <w:next w:val="1"/>
    <w:link w:val="27"/>
    <w:semiHidden/>
    <w:unhideWhenUsed/>
    <w:qFormat/>
    <w:uiPriority w:val="0"/>
    <w:pPr>
      <w:keepNext/>
      <w:keepLines/>
      <w:spacing w:beforeLines="0" w:beforeAutospacing="0" w:afterLines="0" w:afterAutospacing="0" w:line="578" w:lineRule="exact"/>
      <w:outlineLvl w:val="1"/>
    </w:pPr>
    <w:rPr>
      <w:rFonts w:ascii="楷体_GB2312" w:hAnsi="楷体_GB2312" w:eastAsia="楷体_GB2312"/>
    </w:rPr>
  </w:style>
  <w:style w:type="paragraph" w:styleId="7">
    <w:name w:val="heading 3"/>
    <w:basedOn w:val="1"/>
    <w:next w:val="1"/>
    <w:link w:val="32"/>
    <w:semiHidden/>
    <w:unhideWhenUsed/>
    <w:qFormat/>
    <w:uiPriority w:val="0"/>
    <w:pPr>
      <w:keepNext/>
      <w:keepLines/>
      <w:spacing w:before="260" w:beforeLines="0" w:beforeAutospacing="0" w:after="260" w:afterLines="0" w:afterAutospacing="0" w:line="413" w:lineRule="auto"/>
      <w:outlineLvl w:val="2"/>
    </w:pPr>
    <w:rPr>
      <w:rFonts w:ascii="仿宋_GB2312" w:hAnsi="仿宋_GB2312"/>
      <w:b/>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rPr>
      <w:rFonts w:ascii="Calibri" w:hAnsi="Calibri" w:eastAsia="宋体" w:cs="Times New Roman"/>
      <w:szCs w:val="24"/>
    </w:r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rPr>
      <w:rFonts w:ascii="Calibri" w:hAnsi="Calibri" w:eastAsia="宋体" w:cs="Times New Roman"/>
      <w:sz w:val="24"/>
      <w:szCs w:val="24"/>
    </w:rPr>
  </w:style>
  <w:style w:type="paragraph" w:styleId="8">
    <w:name w:val="annotation text"/>
    <w:basedOn w:val="1"/>
    <w:qFormat/>
    <w:uiPriority w:val="0"/>
    <w:pPr>
      <w:jc w:val="left"/>
    </w:pPr>
  </w:style>
  <w:style w:type="paragraph" w:styleId="9">
    <w:name w:val="Body Text"/>
    <w:basedOn w:val="1"/>
    <w:qFormat/>
    <w:uiPriority w:val="0"/>
  </w:style>
  <w:style w:type="paragraph" w:styleId="10">
    <w:name w:val="Plain Text"/>
    <w:basedOn w:val="1"/>
    <w:qFormat/>
    <w:uiPriority w:val="0"/>
    <w:pPr>
      <w:snapToGrid/>
      <w:spacing w:line="240" w:lineRule="auto"/>
      <w:ind w:firstLine="0" w:firstLineChars="0"/>
    </w:pPr>
    <w:rPr>
      <w:rFonts w:ascii="宋体" w:hAnsi="Courier New"/>
      <w:kern w:val="2"/>
      <w:sz w:val="21"/>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Title"/>
    <w:basedOn w:val="1"/>
    <w:next w:val="1"/>
    <w:qFormat/>
    <w:uiPriority w:val="0"/>
    <w:pPr>
      <w:spacing w:before="240" w:beforeLines="0" w:after="60" w:afterLines="0"/>
      <w:jc w:val="center"/>
      <w:outlineLvl w:val="0"/>
    </w:pPr>
    <w:rPr>
      <w:rFonts w:ascii="Cambria" w:hAnsi="Cambria" w:cs="Times New Roman"/>
      <w:b/>
      <w:bCs/>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3 Char"/>
    <w:link w:val="7"/>
    <w:qFormat/>
    <w:uiPriority w:val="0"/>
    <w:rPr>
      <w:rFonts w:ascii="仿宋_GB2312" w:hAnsi="仿宋_GB2312"/>
      <w:b/>
    </w:rPr>
  </w:style>
  <w:style w:type="paragraph" w:customStyle="1" w:styleId="20">
    <w:name w:val="分类号"/>
    <w:basedOn w:val="1"/>
    <w:qFormat/>
    <w:uiPriority w:val="0"/>
    <w:pPr>
      <w:spacing w:line="240" w:lineRule="auto"/>
      <w:ind w:firstLine="0" w:firstLineChars="0"/>
    </w:pPr>
    <w:rPr>
      <w:rFonts w:ascii="仿宋_GB2312" w:hAnsi="Times New Roman" w:eastAsia="仿宋_GB2312" w:cs="Times New Roman"/>
      <w:sz w:val="28"/>
      <w:szCs w:val="28"/>
    </w:rPr>
  </w:style>
  <w:style w:type="paragraph" w:customStyle="1" w:styleId="21">
    <w:name w:val="封面日期"/>
    <w:basedOn w:val="1"/>
    <w:qFormat/>
    <w:uiPriority w:val="0"/>
    <w:pPr>
      <w:spacing w:line="240" w:lineRule="auto"/>
      <w:ind w:firstLine="0" w:firstLineChars="0"/>
      <w:jc w:val="center"/>
    </w:pPr>
    <w:rPr>
      <w:rFonts w:ascii="黑体" w:hAnsi="Times New Roman" w:eastAsia="黑体" w:cs="Times New Roman"/>
      <w:sz w:val="32"/>
      <w:szCs w:val="32"/>
    </w:rPr>
  </w:style>
  <w:style w:type="paragraph" w:customStyle="1" w:styleId="22">
    <w:name w:val="论文标题"/>
    <w:basedOn w:val="1"/>
    <w:qFormat/>
    <w:uiPriority w:val="0"/>
    <w:pPr>
      <w:spacing w:line="240" w:lineRule="auto"/>
      <w:ind w:firstLine="0" w:firstLineChars="0"/>
      <w:jc w:val="center"/>
    </w:pPr>
    <w:rPr>
      <w:rFonts w:ascii="Times New Roman" w:hAnsi="Times New Roman" w:eastAsia="楷体_GB2312" w:cs="Times New Roman"/>
      <w:b/>
      <w:kern w:val="36"/>
      <w:sz w:val="52"/>
      <w:szCs w:val="52"/>
    </w:rPr>
  </w:style>
  <w:style w:type="paragraph" w:customStyle="1" w:styleId="23">
    <w:name w:val="硕士学位论文"/>
    <w:basedOn w:val="1"/>
    <w:qFormat/>
    <w:uiPriority w:val="0"/>
    <w:pPr>
      <w:spacing w:before="240" w:line="240" w:lineRule="auto"/>
      <w:ind w:firstLine="0" w:firstLineChars="0"/>
      <w:jc w:val="center"/>
    </w:pPr>
    <w:rPr>
      <w:rFonts w:ascii="Times New Roman" w:hAnsi="Times New Roman" w:eastAsia="宋体" w:cs="Times New Roman"/>
      <w:sz w:val="44"/>
      <w:szCs w:val="44"/>
    </w:rPr>
  </w:style>
  <w:style w:type="paragraph" w:customStyle="1" w:styleId="24">
    <w:name w:val="研究生姓名"/>
    <w:basedOn w:val="1"/>
    <w:qFormat/>
    <w:uiPriority w:val="0"/>
    <w:pPr>
      <w:spacing w:line="240" w:lineRule="auto"/>
      <w:ind w:firstLine="700" w:firstLineChars="700"/>
    </w:pPr>
    <w:rPr>
      <w:rFonts w:ascii="Times New Roman" w:hAnsi="Times New Roman" w:eastAsia="宋体" w:cs="Times New Roman"/>
      <w:sz w:val="28"/>
      <w:szCs w:val="28"/>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paragraph" w:customStyle="1" w:styleId="26">
    <w:name w:val="WPSOffice手动目录 2"/>
    <w:qFormat/>
    <w:uiPriority w:val="0"/>
    <w:pPr>
      <w:ind w:leftChars="200"/>
    </w:pPr>
    <w:rPr>
      <w:rFonts w:asciiTheme="minorHAnsi" w:hAnsiTheme="minorHAnsi" w:eastAsiaTheme="minorEastAsia" w:cstheme="minorBidi"/>
      <w:sz w:val="20"/>
      <w:szCs w:val="20"/>
    </w:rPr>
  </w:style>
  <w:style w:type="character" w:customStyle="1" w:styleId="27">
    <w:name w:val="标题 2 Char"/>
    <w:link w:val="6"/>
    <w:qFormat/>
    <w:uiPriority w:val="0"/>
    <w:rPr>
      <w:rFonts w:ascii="楷体_GB2312" w:hAnsi="楷体_GB2312" w:eastAsia="楷体_GB2312"/>
    </w:rPr>
  </w:style>
  <w:style w:type="paragraph" w:customStyle="1" w:styleId="28">
    <w:name w:val="其他"/>
    <w:basedOn w:val="1"/>
    <w:qFormat/>
    <w:uiPriority w:val="0"/>
    <w:pPr>
      <w:widowControl w:val="0"/>
      <w:shd w:val="clear" w:color="auto" w:fill="auto"/>
      <w:spacing w:line="360" w:lineRule="auto"/>
      <w:ind w:firstLine="400"/>
    </w:pPr>
    <w:rPr>
      <w:rFonts w:ascii="宋体" w:hAnsi="宋体" w:eastAsia="宋体" w:cs="宋体"/>
      <w:sz w:val="32"/>
      <w:szCs w:val="32"/>
      <w:u w:val="none"/>
      <w:shd w:val="clear" w:color="auto" w:fill="auto"/>
    </w:rPr>
  </w:style>
  <w:style w:type="paragraph" w:customStyle="1" w:styleId="29">
    <w:name w:val="Other|1"/>
    <w:basedOn w:val="1"/>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30">
    <w:name w:val="Body text|1"/>
    <w:basedOn w:val="1"/>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31">
    <w:name w:val="p0"/>
    <w:basedOn w:val="1"/>
    <w:qFormat/>
    <w:uiPriority w:val="0"/>
    <w:pPr>
      <w:widowControl/>
    </w:pPr>
    <w:rPr>
      <w:rFonts w:ascii="Times New Roman" w:hAnsi="Times New Roman"/>
      <w:kern w:val="0"/>
      <w:szCs w:val="21"/>
    </w:rPr>
  </w:style>
  <w:style w:type="character" w:customStyle="1" w:styleId="32">
    <w:name w:val="标题 3 字符"/>
    <w:link w:val="7"/>
    <w:qFormat/>
    <w:uiPriority w:val="0"/>
    <w:rPr>
      <w:rFonts w:eastAsia="楷体"/>
    </w:rPr>
  </w:style>
  <w:style w:type="character" w:customStyle="1" w:styleId="33">
    <w:name w:val="font51"/>
    <w:basedOn w:val="18"/>
    <w:qFormat/>
    <w:uiPriority w:val="0"/>
    <w:rPr>
      <w:rFonts w:hint="eastAsia" w:ascii="宋体" w:hAnsi="宋体" w:eastAsia="宋体" w:cs="宋体"/>
      <w:color w:val="000000"/>
      <w:sz w:val="22"/>
      <w:szCs w:val="22"/>
      <w:u w:val="none"/>
    </w:rPr>
  </w:style>
  <w:style w:type="character" w:customStyle="1" w:styleId="34">
    <w:name w:val="font61"/>
    <w:basedOn w:val="1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9518</Words>
  <Characters>9805</Characters>
  <Lines>0</Lines>
  <Paragraphs>0</Paragraphs>
  <TotalTime>10</TotalTime>
  <ScaleCrop>false</ScaleCrop>
  <LinksUpToDate>false</LinksUpToDate>
  <CharactersWithSpaces>9842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2020-02-16T12:46:00Z</dcterms:created>
  <dc:creator>咕咕</dc:creator>
  <cp:lastModifiedBy>成</cp:lastModifiedBy>
  <cp:lastPrinted>2024-08-06T11:11:00Z</cp:lastPrinted>
  <dcterms:modified xsi:type="dcterms:W3CDTF">2026-02-03T08:56:46Z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26CB26D4C02A42FB9B54AA1E9D626AB7_13</vt:lpwstr>
  </property>
  <property fmtid="{D5CDD505-2E9C-101B-9397-08002B2CF9AE}" pid="4" name="KSOTemplateDocerSaveRecord">
    <vt:lpwstr>eyJoZGlkIjoiMGUzZjcxMWE3YmQ5OGYxNTA0NTEwOTVjMjkyYzNkYjciLCJ1c2VySWQiOiIxMTQ5OTg3NTc2In0=</vt:lpwstr>
  </property>
</Properties>
</file>