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center"/>
        <w:rPr>
          <w:rStyle w:val="17"/>
          <w:rFonts w:ascii="方正小标宋简体" w:eastAsia="方正小标宋简体" w:cs="方正小标宋简体" w:hint="eastAsia"/>
          <w:b w:val="0"/>
          <w:color w:val="000000"/>
          <w:sz w:val="44"/>
          <w:szCs w:val="44"/>
          <w:lang w:val="en-US" w:eastAsia="zh-CN" w:bidi="ar-SA"/>
        </w:rPr>
      </w:pPr>
      <w:r>
        <w:rPr>
          <w:rStyle w:val="17"/>
          <w:rFonts w:ascii="方正小标宋简体" w:eastAsia="方正小标宋简体" w:cs="方正小标宋简体" w:hint="eastAsia"/>
          <w:b w:val="0"/>
          <w:color w:val="000000"/>
          <w:sz w:val="44"/>
          <w:szCs w:val="44"/>
          <w:lang w:val="en-US" w:eastAsia="zh-CN" w:bidi="ar-SA"/>
        </w:rPr>
        <w:t>文水县2025年度住房用地供应计划</w:t>
      </w:r>
      <w:r>
        <w:rPr>
          <w:rStyle w:val="17"/>
          <w:rFonts w:ascii="方正小标宋简体" w:eastAsia="方正小标宋简体" w:cs="方正小标宋简体"/>
          <w:b w:val="0"/>
          <w:color w:val="000000"/>
          <w:sz w:val="44"/>
          <w:szCs w:val="44"/>
          <w:lang w:val="en-US" w:eastAsia="zh-CN" w:bidi="ar-SA"/>
        </w:rPr>
        <w:t>汇总</w:t>
      </w:r>
      <w:bookmarkStart w:id="0" w:name="_GoBack"/>
      <w:bookmarkEnd w:id="0"/>
      <w:r>
        <w:rPr>
          <w:rStyle w:val="17"/>
          <w:rFonts w:ascii="方正小标宋简体" w:eastAsia="方正小标宋简体" w:cs="方正小标宋简体" w:hint="eastAsia"/>
          <w:b w:val="0"/>
          <w:color w:val="000000"/>
          <w:sz w:val="44"/>
          <w:szCs w:val="44"/>
          <w:lang w:val="en-US" w:eastAsia="zh-CN" w:bidi="ar-SA"/>
        </w:rPr>
        <w:t>表</w:t>
      </w:r>
    </w:p>
    <w:tbl>
      <w:tblPr>
        <w:jc w:val="left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64"/>
        <w:gridCol w:w="581"/>
        <w:gridCol w:w="964"/>
        <w:gridCol w:w="625"/>
        <w:gridCol w:w="713"/>
        <w:gridCol w:w="849"/>
        <w:gridCol w:w="625"/>
        <w:gridCol w:w="713"/>
        <w:gridCol w:w="583"/>
        <w:gridCol w:w="593"/>
        <w:gridCol w:w="809"/>
        <w:gridCol w:w="964"/>
        <w:gridCol w:w="953"/>
        <w:gridCol w:w="2084"/>
      </w:tblGrid>
      <w:tr>
        <w:trPr>
          <w:trHeight w:val="39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48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单位：公顷、％</w:t>
            </w:r>
          </w:p>
        </w:tc>
      </w:tr>
      <w:tr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县、市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住房供地总量</w:t>
            </w:r>
          </w:p>
        </w:tc>
        <w:tc>
          <w:tcPr>
            <w:tcW w:w="5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保障性安居工程用地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商品住房用地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保障性安居工程和中小套型商品房用地占比（</w:t>
            </w:r>
            <w:r>
              <w:rPr>
                <w:rStyle w:val="18"/>
                <w:rFonts w:eastAsia="宋体"/>
                <w:lang w:val="en-US" w:eastAsia="zh-CN" w:bidi="ar-SA"/>
              </w:rPr>
              <w:t>%</w:t>
            </w:r>
            <w:r>
              <w:rPr>
                <w:rStyle w:val="19"/>
                <w:lang w:val="en-US" w:eastAsia="zh-CN" w:bidi="ar-SA"/>
              </w:rPr>
              <w:t>）</w:t>
            </w:r>
          </w:p>
        </w:tc>
      </w:tr>
      <w:tr>
        <w:trPr>
          <w:trHeight w:val="67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保障性住房用地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各类棚户区改造用地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公共租赁房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限价商品房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中小套型商品住房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60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合计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存量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增量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廉租房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经济适用房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廉租房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经济适用房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划拨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出让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6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8</w:t>
            </w:r>
          </w:p>
        </w:tc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3"/>
                <w:szCs w:val="23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9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</w:tr>
      <w:tr>
        <w:trPr>
          <w:trHeight w:val="6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18.2934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18.2934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 xml:space="preserve">2.9803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 xml:space="preserve">15.3131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  <w:t>19%</w:t>
            </w:r>
          </w:p>
        </w:tc>
      </w:tr>
      <w:tr>
        <w:trPr>
          <w:trHeight w:val="6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</w:tc>
      </w:tr>
      <w:tr>
        <w:trPr>
          <w:trHeight w:val="6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sz w:val="23"/>
                <w:szCs w:val="23"/>
                <w:u w:val="none"/>
                <w:lang w:bidi="ar-SA"/>
              </w:rPr>
            </w:pPr>
          </w:p>
        </w:tc>
      </w:tr>
      <w:tr>
        <w:trPr>
          <w:trHeight w:val="6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eastAsia="宋体" w:cs="Times New Roman" w:hAnsi="Times New Roman"/>
                <w:b/>
                <w:bCs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  <w:tr>
        <w:trPr>
          <w:trHeight w:val="600"/>
        </w:trPr>
        <w:tc>
          <w:tcPr>
            <w:tcW w:w="12879" w:type="dxa"/>
            <w:gridSpan w:val="15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填表日期：                 审核人：                          联系人：                     联系方式：</w:t>
            </w:r>
          </w:p>
        </w:tc>
      </w:tr>
      <w:tr>
        <w:trPr>
          <w:trHeight w:val="1395"/>
        </w:trPr>
        <w:tc>
          <w:tcPr>
            <w:tcW w:w="12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hangingChars="300" w:hanging="720"/>
              <w:jc w:val="left"/>
              <w:textAlignment w:val="center"/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注：1.本表中第2栏“存量”是指拟使用（实际使用）存量建设用地面积；第3栏“增量”是指拟使用（实际使用）的新增建设用地面积。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80"/>
              <w:jc w:val="left"/>
              <w:textAlignment w:val="center"/>
              <w:rPr>
                <w:rFonts w:ascii="宋体" w:eastAsia="宋体" w:cs="宋体" w:hint="eastAsia"/>
                <w:b/>
                <w:bCs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2.“各类棚户区改造用地”中第7栏、第8栏，与“保障性住房用地”下第4栏、第5栏不能重复计算。</w:t>
              <w:br/>
              <w:t xml:space="preserve">    3.第6栏≥第7、8栏之和；第12栏≥第13栏；所有类型限价商品房统计在第11栏，归属于保障性安居工程用地。</w:t>
              <w:br/>
              <w:t xml:space="preserve">    4.第12栏和第13栏中的数据，不包括“保障性安居工程用地”下第11栏“限价商品房”。</w:t>
              <w:br/>
              <w:t xml:space="preserve">    5.第14栏是按照以下等式计算：第14栏＝（第4、5栏+第7、8栏+第9栏+第10栏+第11栏+第13栏）/第1栏。</w:t>
              <w:br/>
              <w:t xml:space="preserve">    6.第1栏＝第2栏+第3栏＝第4、5、6栏+第9栏+第10栏+第11栏+第12栏。</w:t>
              <w:br/>
              <w:t xml:space="preserve">    7.附件2中数据要与附件1保持一致。</w:t>
            </w:r>
          </w:p>
        </w:tc>
      </w:tr>
      <w:tr>
        <w:trPr>
          <w:trHeight w:val="1065"/>
        </w:trPr>
        <w:tc>
          <w:tcPr>
            <w:tcW w:w="12879" w:type="dxa"/>
            <w:gridSpan w:val="1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/>
        </w:tc>
      </w:tr>
    </w:tbl>
    <w:p/>
    <w:sectPr>
      <w:pgSz w:w="16839" w:h="11907" w:orient="landscape"/>
      <w:pgMar w:top="1800" w:right="1440" w:bottom="1800" w:left="1440" w:header="851" w:footer="992" w:gutter="0"/>
      <w:docGrid w:type="lines" w:linePitch="4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80"/>
  <w:drawingGridVerticalSpacing w:val="24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rPr>
      <w:rFonts w:ascii="Arial" w:eastAsia="黑体" w:hAnsi="Arial"/>
      <w:b/>
      <w:sz w:val="20"/>
    </w:rPr>
  </w:style>
  <w:style w:type="paragraph" w:styleId="16">
    <w:name w:val="table of figures"/>
    <w:basedOn w:val="0"/>
    <w:next w:val="0"/>
  </w:style>
  <w:style w:type="character" w:styleId="17">
    <w:name w:val="Strong"/>
    <w:rPr>
      <w:rFonts w:ascii="Times New Roman" w:hAnsi="Times New Roman"/>
      <w:b/>
    </w:rPr>
  </w:style>
  <w:style w:type="character" w:customStyle="1" w:styleId="18">
    <w:name w:val="font121"/>
    <w:basedOn w:val="0"/>
    <w:rPr>
      <w:rFonts w:ascii="Times New Roman" w:cs="Times New Roman" w:hAnsi="Times New Roman"/>
      <w:color w:val="000000"/>
      <w:sz w:val="22"/>
      <w:szCs w:val="22"/>
      <w:u w:val="none"/>
      <w:lang w:bidi="ar-SA"/>
    </w:rPr>
  </w:style>
  <w:style w:type="character" w:customStyle="1" w:styleId="19">
    <w:name w:val="font112"/>
    <w:basedOn w:val="0"/>
    <w:rPr>
      <w:rFonts w:ascii="宋体" w:eastAsia="宋体" w:cs="宋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472</Words>
  <Characters>526</Characters>
  <Lines>140</Lines>
  <Paragraphs>44</Paragraphs>
  <CharactersWithSpaces>630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2025-07-10T07:47:18Z</dcterms:created>
  <dcterms:modified xsi:type="dcterms:W3CDTF">2025-07-10T07:50:02Z</dcterms:modified>
</cp:coreProperties>
</file>