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B8E9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《文水县中心城区详细规划》</w:t>
      </w:r>
      <w:r>
        <w:rPr>
          <w:rFonts w:hint="eastAsia" w:ascii="方正小标宋简体" w:hAnsi="方正小标宋简体" w:eastAsia="方正小标宋简体" w:cs="方正小标宋简体"/>
          <w:b w:val="0"/>
          <w:bCs w:val="0"/>
          <w:sz w:val="44"/>
          <w:szCs w:val="44"/>
          <w:lang w:val="en-US" w:eastAsia="zh-CN"/>
        </w:rPr>
        <w:t>主要内容</w:t>
      </w:r>
    </w:p>
    <w:p w14:paraId="57F8D64D">
      <w:pPr>
        <w:keepNext w:val="0"/>
        <w:keepLines w:val="0"/>
        <w:pageBreakBefore w:val="0"/>
        <w:widowControl w:val="0"/>
        <w:kinsoku/>
        <w:wordWrap/>
        <w:overflowPunct/>
        <w:topLinePunct w:val="0"/>
        <w:autoSpaceDE/>
        <w:autoSpaceDN/>
        <w:bidi w:val="0"/>
        <w:adjustRightInd/>
        <w:snapToGrid/>
        <w:spacing w:line="578" w:lineRule="exact"/>
        <w:ind w:leftChars="0" w:firstLine="904" w:firstLineChars="200"/>
        <w:jc w:val="center"/>
        <w:textAlignment w:val="auto"/>
        <w:rPr>
          <w:rFonts w:hint="eastAsia" w:ascii="宋体" w:hAnsi="宋体" w:eastAsia="宋体"/>
          <w:b/>
          <w:bCs/>
          <w:sz w:val="44"/>
          <w:szCs w:val="44"/>
          <w:lang w:val="en-US" w:eastAsia="zh-CN"/>
        </w:rPr>
      </w:pPr>
    </w:p>
    <w:p w14:paraId="4C7C71E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一、规划范围</w:t>
      </w:r>
    </w:p>
    <w:p w14:paraId="126D4FE7">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此次详细规划东南至太中银铁路、西至青银高速、北至规划北二环路北侧，面积26.89平方公里。其中城镇开发边界面积为19.31平方</w:t>
      </w:r>
      <w:r>
        <w:rPr>
          <w:rFonts w:hint="eastAsia" w:ascii="仿宋_GB2312" w:hAnsi="仿宋_GB2312" w:eastAsia="仿宋_GB2312" w:cs="仿宋_GB2312"/>
          <w:sz w:val="32"/>
          <w:szCs w:val="32"/>
          <w:lang w:eastAsia="zh-CN"/>
        </w:rPr>
        <w:t>公里</w:t>
      </w:r>
      <w:r>
        <w:rPr>
          <w:rFonts w:hint="eastAsia" w:ascii="仿宋_GB2312" w:hAnsi="仿宋_GB2312" w:eastAsia="仿宋_GB2312" w:cs="仿宋_GB2312"/>
          <w:sz w:val="32"/>
          <w:szCs w:val="32"/>
        </w:rPr>
        <w:t>。</w:t>
      </w:r>
    </w:p>
    <w:p w14:paraId="754F6AD5">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二、功能定位</w:t>
      </w:r>
    </w:p>
    <w:p w14:paraId="5A9C6E74">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文水县综合服务中心、吕梁市产业转型升级及城市更新示范区和山西省新型城镇化示范样板。</w:t>
      </w:r>
    </w:p>
    <w:p w14:paraId="4B8EAD11">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三、规划结构</w:t>
      </w:r>
    </w:p>
    <w:p w14:paraId="15BA8DF9">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规划形成“一带、两轴、三心、三片区”的规划结构。</w:t>
      </w:r>
    </w:p>
    <w:p w14:paraId="3AED6B51">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一带：文峪河景观带。</w:t>
      </w:r>
    </w:p>
    <w:p w14:paraId="41DB5EB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两轴：则天大街发展轴和兴华路发展轴。</w:t>
      </w:r>
    </w:p>
    <w:p w14:paraId="0D858850">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三心：老城综合服务中心、文东综合服务中心和城南综合服务中心。</w:t>
      </w:r>
    </w:p>
    <w:p w14:paraId="03696F7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三片区：老城片区、文东新区和城南片区。</w:t>
      </w:r>
    </w:p>
    <w:p w14:paraId="37574F04">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四、用地布局</w:t>
      </w:r>
    </w:p>
    <w:p w14:paraId="01FC9D95">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城镇开发边界内建设用地1910.45公顷，</w:t>
      </w:r>
      <w:r>
        <w:rPr>
          <w:rFonts w:hint="eastAsia" w:ascii="仿宋_GB2312" w:hAnsi="仿宋_GB2312" w:eastAsia="仿宋_GB2312" w:cs="仿宋_GB2312"/>
          <w:color w:val="000000" w:themeColor="text1"/>
          <w:sz w:val="32"/>
          <w:szCs w:val="32"/>
          <w14:textFill>
            <w14:solidFill>
              <w14:schemeClr w14:val="tx1"/>
            </w14:solidFill>
          </w14:textFill>
        </w:rPr>
        <w:t>其中居住用地797.25公顷，公共管理与公共服务用地227.87公顷，商业服务业用地131.38公顷，工矿用地19.11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公顷</w:t>
      </w:r>
      <w:r>
        <w:rPr>
          <w:rFonts w:hint="eastAsia" w:ascii="仿宋_GB2312" w:hAnsi="仿宋_GB2312" w:eastAsia="仿宋_GB2312" w:cs="仿宋_GB2312"/>
          <w:color w:val="000000" w:themeColor="text1"/>
          <w:sz w:val="32"/>
          <w:szCs w:val="32"/>
          <w14:textFill>
            <w14:solidFill>
              <w14:schemeClr w14:val="tx1"/>
            </w14:solidFill>
          </w14:textFill>
        </w:rPr>
        <w:t>，交通运输用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,409.87公顷，公用设施用地10.02公顷，绿地与开敞空间用地248.73公顷，特殊用地1.71公顷，留白用地9.74公顷。</w:t>
      </w:r>
    </w:p>
    <w:p w14:paraId="26AE0281">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多元化的土地复合使用，设置商住混合用地、商业商务混合用地。商住混合用地为居住建筑和商业建筑混合，包括商业建筑占比不超过20%和居住建筑占比不超过40%两类。商业商务混合用地为商业建筑和商务建筑混合，其中商业建筑占比不超过40%。</w:t>
      </w:r>
    </w:p>
    <w:p w14:paraId="47876AAA">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五、公共服务设施规划</w:t>
      </w:r>
    </w:p>
    <w:p w14:paraId="25815BB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）城市级公共服务设施</w:t>
      </w:r>
    </w:p>
    <w:p w14:paraId="7A27728E">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行政办公设施：</w:t>
      </w:r>
      <w:r>
        <w:rPr>
          <w:rFonts w:hint="eastAsia" w:ascii="仿宋_GB2312" w:hAnsi="仿宋_GB2312" w:eastAsia="仿宋_GB2312" w:cs="仿宋_GB2312"/>
          <w:sz w:val="32"/>
          <w:szCs w:val="32"/>
        </w:rPr>
        <w:t>行政办公设施以现状设施为主，主要有文水县</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政府、人民法院、司法</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纪委监委</w:t>
      </w:r>
      <w:r>
        <w:rPr>
          <w:rFonts w:hint="eastAsia" w:ascii="仿宋_GB2312" w:hAnsi="仿宋_GB2312" w:eastAsia="仿宋_GB2312" w:cs="仿宋_GB2312"/>
          <w:sz w:val="32"/>
          <w:szCs w:val="32"/>
        </w:rPr>
        <w:t>、税务局、自然资源局、农业局、公安局、教育</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局等。行政办公设施用地面积23.64公顷。</w:t>
      </w:r>
    </w:p>
    <w:p w14:paraId="6F8A5D8C">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文化设施：</w:t>
      </w:r>
      <w:r>
        <w:rPr>
          <w:rFonts w:hint="eastAsia" w:ascii="仿宋_GB2312" w:hAnsi="仿宋_GB2312" w:eastAsia="仿宋_GB2312" w:cs="仿宋_GB2312"/>
          <w:sz w:val="32"/>
          <w:szCs w:val="32"/>
        </w:rPr>
        <w:t>城市级文化设施主要为</w:t>
      </w:r>
      <w:bookmarkStart w:id="0" w:name="_GoBack"/>
      <w:bookmarkEnd w:id="0"/>
      <w:r>
        <w:rPr>
          <w:rFonts w:hint="eastAsia" w:ascii="仿宋_GB2312" w:hAnsi="仿宋_GB2312" w:eastAsia="仿宋_GB2312" w:cs="仿宋_GB2312"/>
          <w:sz w:val="32"/>
          <w:szCs w:val="32"/>
        </w:rPr>
        <w:t>文化馆、图书馆、博物馆、非遗展示馆等。城市级文化设施用地面积9.58公顷。</w:t>
      </w:r>
    </w:p>
    <w:p w14:paraId="7932C2F4">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教育设施：</w:t>
      </w:r>
      <w:r>
        <w:rPr>
          <w:rFonts w:hint="eastAsia" w:ascii="仿宋_GB2312" w:hAnsi="仿宋_GB2312" w:eastAsia="仿宋_GB2312" w:cs="仿宋_GB2312"/>
          <w:sz w:val="32"/>
          <w:szCs w:val="32"/>
        </w:rPr>
        <w:t>城市级教育设施主要有高中、职高、党校、特殊学校等教育设施，党校1所；高中6所，分别为文水中学、吕梁名师高中、众成高中、刘胡兰高中和2所规划高中；职业高中有3所，分别为徐特立高级职业中学和2所规划职业高中；特殊教育学校1所。高中和职业高中既服务中心城区也服务整个县域。城市级教育设施用地面积75.51公顷。</w:t>
      </w:r>
    </w:p>
    <w:p w14:paraId="40E12BAA">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体育设施：</w:t>
      </w:r>
      <w:r>
        <w:rPr>
          <w:rFonts w:hint="eastAsia" w:ascii="仿宋_GB2312" w:hAnsi="仿宋_GB2312" w:eastAsia="仿宋_GB2312" w:cs="仿宋_GB2312"/>
          <w:sz w:val="32"/>
          <w:szCs w:val="32"/>
        </w:rPr>
        <w:t>城市级体育设施主要有体育场、体育馆。城市级体育设施用地面积6.94公顷。</w:t>
      </w:r>
    </w:p>
    <w:p w14:paraId="43A93C6B">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医疗卫生设施：</w:t>
      </w:r>
      <w:r>
        <w:rPr>
          <w:rFonts w:hint="eastAsia" w:ascii="仿宋_GB2312" w:hAnsi="仿宋_GB2312" w:eastAsia="仿宋_GB2312" w:cs="仿宋_GB2312"/>
          <w:sz w:val="32"/>
          <w:szCs w:val="32"/>
        </w:rPr>
        <w:t>城市级医疗卫生设施主要包括县人民医院、中医院、妇幼保健院、疾控中心等，为居民就医提供服务。城市级医疗卫生设施用地面积14.58公顷。</w:t>
      </w:r>
    </w:p>
    <w:p w14:paraId="43B867F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社会福利设施：</w:t>
      </w:r>
      <w:r>
        <w:rPr>
          <w:rFonts w:hint="eastAsia" w:ascii="仿宋_GB2312" w:hAnsi="仿宋_GB2312" w:eastAsia="仿宋_GB2312" w:cs="仿宋_GB2312"/>
          <w:sz w:val="32"/>
          <w:szCs w:val="32"/>
        </w:rPr>
        <w:t>城市级社会福利设施主要为社会福利院，为孤儿、残疾人等社会弱势群体提供学习、康复、服务、救助等服务。城市级社会福利设施用地面积为1.90公顷。</w:t>
      </w:r>
    </w:p>
    <w:p w14:paraId="75D36DDD">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）社区生活圈公共服务设施</w:t>
      </w:r>
    </w:p>
    <w:p w14:paraId="19F9B5E6">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教育设施：</w:t>
      </w:r>
      <w:r>
        <w:rPr>
          <w:rFonts w:hint="eastAsia" w:ascii="仿宋_GB2312" w:hAnsi="仿宋_GB2312" w:eastAsia="仿宋_GB2312" w:cs="仿宋_GB2312"/>
          <w:sz w:val="32"/>
          <w:szCs w:val="32"/>
        </w:rPr>
        <w:t>规划布局3所九年一贯制学校，7所初中，16所小学，24所幼儿园，用地面积共计118.78公顷。</w:t>
      </w:r>
    </w:p>
    <w:p w14:paraId="246F7A6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文化设施：</w:t>
      </w:r>
      <w:r>
        <w:rPr>
          <w:rFonts w:hint="eastAsia" w:ascii="仿宋_GB2312" w:hAnsi="仿宋_GB2312" w:eastAsia="仿宋_GB2312" w:cs="仿宋_GB2312"/>
          <w:sz w:val="32"/>
          <w:szCs w:val="32"/>
        </w:rPr>
        <w:t>规划6处文化活动中心，用地面积共计5.93公顷。规划29处文化活动站，均不独立占地，结合社区服务站设置。</w:t>
      </w:r>
    </w:p>
    <w:p w14:paraId="3469360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体育设施：</w:t>
      </w:r>
      <w:r>
        <w:rPr>
          <w:rFonts w:hint="eastAsia" w:ascii="仿宋_GB2312" w:hAnsi="仿宋_GB2312" w:eastAsia="仿宋_GB2312" w:cs="仿宋_GB2312"/>
          <w:sz w:val="32"/>
          <w:szCs w:val="32"/>
        </w:rPr>
        <w:t>规划7处大型多功能运动场地，用地面积共计3.78公顷。规划10处中型多功能运动场地，规划29处小型多功能运动场地，规划29处室外综合健身场地，均不独立占地，结合公园绿地设置。</w:t>
      </w:r>
    </w:p>
    <w:p w14:paraId="4690B03C">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医疗设施：</w:t>
      </w:r>
      <w:r>
        <w:rPr>
          <w:rFonts w:hint="eastAsia" w:ascii="仿宋_GB2312" w:hAnsi="仿宋_GB2312" w:eastAsia="仿宋_GB2312" w:cs="仿宋_GB2312"/>
          <w:sz w:val="32"/>
          <w:szCs w:val="32"/>
        </w:rPr>
        <w:t>规划6处社区医院，用地面积共计2.87公顷。规划15处社区卫生服务站，均不独立占地，结合社区服务站设置。</w:t>
      </w:r>
    </w:p>
    <w:p w14:paraId="0B0AB9D7">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社会福利设施：</w:t>
      </w:r>
      <w:r>
        <w:rPr>
          <w:rFonts w:hint="eastAsia" w:ascii="仿宋_GB2312" w:hAnsi="仿宋_GB2312" w:eastAsia="仿宋_GB2312" w:cs="仿宋_GB2312"/>
          <w:sz w:val="32"/>
          <w:szCs w:val="32"/>
        </w:rPr>
        <w:t>规划6处养老院，用地面积共计4.19公顷。规划2处老年养护院，用地面积共计2.51公顷。规划29处托老所，其中27处结合社区卫生服务站设置，2处独立设置。</w:t>
      </w:r>
    </w:p>
    <w:p w14:paraId="700D7061">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行政管理服务设施：</w:t>
      </w:r>
      <w:r>
        <w:rPr>
          <w:rFonts w:hint="eastAsia" w:ascii="仿宋_GB2312" w:hAnsi="仿宋_GB2312" w:eastAsia="仿宋_GB2312" w:cs="仿宋_GB2312"/>
          <w:sz w:val="32"/>
          <w:szCs w:val="32"/>
        </w:rPr>
        <w:t>规划5处街道综合服务中心，用地面积共计4.44公顷，综合设置派出所。规划29处社区服务站，其中14处不独立占地，结合居住用地设置，15处独立占地。</w:t>
      </w:r>
    </w:p>
    <w:p w14:paraId="11CD02C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商业设施：</w:t>
      </w:r>
      <w:r>
        <w:rPr>
          <w:rFonts w:hint="eastAsia" w:ascii="仿宋_GB2312" w:hAnsi="仿宋_GB2312" w:eastAsia="仿宋_GB2312" w:cs="仿宋_GB2312"/>
          <w:sz w:val="32"/>
          <w:szCs w:val="32"/>
        </w:rPr>
        <w:t>规划8处十五分钟生活圈综合商业，结合商业用地设置。规划19处菜市场，不独立占地，结合商业用地设置。规划29处五-十分钟生活圈综合商业，不独立占地，结合居住用地和商业用地设置。</w:t>
      </w:r>
    </w:p>
    <w:p w14:paraId="7DF5E3E2">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六、道路交通规划</w:t>
      </w:r>
    </w:p>
    <w:p w14:paraId="70929F5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）道路等级结构</w:t>
      </w:r>
    </w:p>
    <w:p w14:paraId="02268D8D">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规划形成主干路、次干路、支路和街巷路四级路网体系。</w:t>
      </w:r>
    </w:p>
    <w:p w14:paraId="70B385F0">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干路：规划形成“五横六纵”的主干路系统，五横主要有北横二路—东横二路、北环路、则天西街—则天东街、胡兰西街—胡兰东街和南环路，六纵主要有西环路、南纵一路、凤凰北路—凤凰南路、兴华北路—兴华南路、梧桐北路—梧桐南路和学府北路—学府南路。</w:t>
      </w:r>
    </w:p>
    <w:p w14:paraId="1195998B">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次干路：主要有大陵北路—大陵南路、子夏西街—子夏东街、狄青西街—狄青东街、南横六路、朝阳北路—朝阳南路、东纵三路、东纵六路、永田西街—永田东街、东环路、东横五路和东横一路等。</w:t>
      </w:r>
    </w:p>
    <w:p w14:paraId="78D0F02C">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支路：因地制宜布局支路系统。采用多种方式灵活组织支路交通，营造安全的慢行环境和舒适的交往空间。</w:t>
      </w:r>
    </w:p>
    <w:p w14:paraId="76E3D0D7">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街巷路：规划街巷路有效通行宽度2.5-10米，应按照相应规范要求，在综合实施方案编制和项目建设中予以落实。</w:t>
      </w:r>
    </w:p>
    <w:p w14:paraId="556A53DC">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）公共交通</w:t>
      </w:r>
    </w:p>
    <w:p w14:paraId="200BA953">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公交站点按照500米服务半径布局。公交站点在路段上同向换乘距离不应大于50米，对向换乘距离不应大于100米；对置设站，应在车辆前进方向迎面错开30米；在道路平面交叉口两侧设置的车站，换乘距离不宜小于150米，并不得大于200米。规划布局6处公交首末站。</w:t>
      </w:r>
    </w:p>
    <w:p w14:paraId="7CAFCE20">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）交通设施</w:t>
      </w:r>
    </w:p>
    <w:p w14:paraId="4CD24A1C">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社会停车场：规划30处社会停车场，用地面积共计10.96公顷。</w:t>
      </w:r>
    </w:p>
    <w:p w14:paraId="3894179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公共加油加气站及充换电站：规划布局9处加油加气站，用地面积共计2.44公顷。规划3处充换电站联合社会停车场综合设置。</w:t>
      </w:r>
    </w:p>
    <w:p w14:paraId="042821D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能源补充设施：结合社区服务中心、公共服务设施、城市绿地布置分散式充电桩，所有配建停车位需预留充电桩安装条件。社会公共停车场和公共建筑可按照停车位的10%配置充电桩。新建居住小区充电基础设施要预留100%安装条件的建设标准。</w:t>
      </w:r>
    </w:p>
    <w:p w14:paraId="5FADCCAE">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蓝绿空间规划</w:t>
      </w:r>
    </w:p>
    <w:p w14:paraId="01362D0B">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）绿地系统结构</w:t>
      </w:r>
    </w:p>
    <w:p w14:paraId="10F47C59">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规划形成“两环五廊多园”的绿地系统结构。</w:t>
      </w:r>
    </w:p>
    <w:p w14:paraId="5A1683C1">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环”：通过加强青银高速、太中银铁路两侧绿化及规划范围北部开敞空间为骨架形成外围大型生态外环；沿古城原城墙遗址布局绿地形成环古城的生态内环。“五廊”：结合文峪河、狗狼沟、章多沟、梧桐路、凤凰路构建五条生态廊道。“多园”：包括城市内部规划形成的城市公园和社区公园。</w:t>
      </w:r>
    </w:p>
    <w:p w14:paraId="52D4895F">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）公园绿地</w:t>
      </w:r>
    </w:p>
    <w:p w14:paraId="1A96F2C5">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规划公园绿地189.12公顷，公园绿地形成城市公园-社区公园-街头绿地三级公园绿地体系，营造大小结合、层次丰富的公园绿地空间。规划共设置10个城市公园和18个社区公园。</w:t>
      </w:r>
    </w:p>
    <w:p w14:paraId="10E95C46">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）防护绿地</w:t>
      </w:r>
    </w:p>
    <w:p w14:paraId="1B9007BD">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规划防护绿地53.05公顷，防护绿地主要布局在工业用地、垃圾转运站、货运站、加油加气站及充换电电站等用地周边。</w:t>
      </w:r>
    </w:p>
    <w:p w14:paraId="3D2C00C5">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）广场用地</w:t>
      </w:r>
    </w:p>
    <w:p w14:paraId="1B845364">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规划广场用地5.70公顷，结合火车站、城市公共服务中心，商业中心等布置广场用地，满足居民不同的日常活动需要。</w:t>
      </w:r>
    </w:p>
    <w:p w14:paraId="33467128">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）水系布局</w:t>
      </w:r>
    </w:p>
    <w:p w14:paraId="717AD2FD">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规划由河、沟、渠形成“四横两纵”的水系格局，在满足防洪排涝要求的前提下，营造良好的滨水空间和生活环境。四横主要有红砂沟、章多沟、狗狼沟、乐村涧河，两纵主要为文峪河和永田渠。</w:t>
      </w:r>
    </w:p>
    <w:p w14:paraId="226959F0">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八、单元划分</w:t>
      </w:r>
    </w:p>
    <w:p w14:paraId="2C295767">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落实国土空间总体规划中的详细单元划分，并提出单元管控要求。规划形成9个详规单元，分别为LC-01单元、LC-02单元、LC-03单元、LC-04单元、LC-05单元、CN-01单元、CN-02单元、WD-01单元和WD-02单元。</w:t>
      </w:r>
    </w:p>
    <w:p w14:paraId="4A355AE7">
      <w:pPr>
        <w:keepNext w:val="0"/>
        <w:keepLines w:val="0"/>
        <w:pageBreakBefore w:val="0"/>
        <w:widowControl w:val="0"/>
        <w:kinsoku/>
        <w:wordWrap/>
        <w:overflowPunct/>
        <w:topLinePunct w:val="0"/>
        <w:autoSpaceDE/>
        <w:autoSpaceDN/>
        <w:bidi w:val="0"/>
        <w:adjustRightInd/>
        <w:snapToGrid/>
        <w:spacing w:line="578" w:lineRule="exact"/>
        <w:ind w:leftChars="0" w:firstLine="664"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九、规划图件</w:t>
      </w:r>
    </w:p>
    <w:p w14:paraId="145A5D1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（一）空间结构规划图</w:t>
      </w:r>
    </w:p>
    <w:p w14:paraId="2662A21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（二）土地利用规划图</w:t>
      </w:r>
    </w:p>
    <w:p w14:paraId="50906CA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（三）公共管理与公共服务用地规划图</w:t>
      </w:r>
    </w:p>
    <w:p w14:paraId="473043F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（四）道路系统规划图</w:t>
      </w:r>
    </w:p>
    <w:p w14:paraId="26A04A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（五）绿地系统规划图</w:t>
      </w:r>
    </w:p>
    <w:p w14:paraId="021A41B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64"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（六）单元编号索引图</w:t>
      </w:r>
    </w:p>
    <w:sectPr>
      <w:pgSz w:w="11906" w:h="16838"/>
      <w:pgMar w:top="2098" w:right="1474" w:bottom="1984" w:left="1587" w:header="851" w:footer="992" w:gutter="0"/>
      <w:cols w:space="425" w:num="1"/>
      <w:docGrid w:type="linesAndChars" w:linePitch="312"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0E"/>
    <w:rsid w:val="00007318"/>
    <w:rsid w:val="000130C7"/>
    <w:rsid w:val="000540F7"/>
    <w:rsid w:val="0008011D"/>
    <w:rsid w:val="000D6C1F"/>
    <w:rsid w:val="000F57A5"/>
    <w:rsid w:val="00101862"/>
    <w:rsid w:val="00134175"/>
    <w:rsid w:val="00196994"/>
    <w:rsid w:val="001A2F03"/>
    <w:rsid w:val="001D62C2"/>
    <w:rsid w:val="001E5308"/>
    <w:rsid w:val="001F0431"/>
    <w:rsid w:val="00222D3D"/>
    <w:rsid w:val="00253B41"/>
    <w:rsid w:val="00261D6C"/>
    <w:rsid w:val="00262A68"/>
    <w:rsid w:val="002974AD"/>
    <w:rsid w:val="003649A4"/>
    <w:rsid w:val="0037134C"/>
    <w:rsid w:val="00381481"/>
    <w:rsid w:val="003B0B1A"/>
    <w:rsid w:val="003C5B44"/>
    <w:rsid w:val="00401EA4"/>
    <w:rsid w:val="004173C9"/>
    <w:rsid w:val="004256AD"/>
    <w:rsid w:val="00434AE3"/>
    <w:rsid w:val="004D6E63"/>
    <w:rsid w:val="004D7D71"/>
    <w:rsid w:val="004E37A9"/>
    <w:rsid w:val="00574017"/>
    <w:rsid w:val="00583D4C"/>
    <w:rsid w:val="005F6EE7"/>
    <w:rsid w:val="00676C0E"/>
    <w:rsid w:val="006920AF"/>
    <w:rsid w:val="006F3D33"/>
    <w:rsid w:val="006F61E1"/>
    <w:rsid w:val="00735701"/>
    <w:rsid w:val="007462E7"/>
    <w:rsid w:val="00822F0E"/>
    <w:rsid w:val="00880D75"/>
    <w:rsid w:val="00890C09"/>
    <w:rsid w:val="008A7F4D"/>
    <w:rsid w:val="00907B88"/>
    <w:rsid w:val="00955CE7"/>
    <w:rsid w:val="0098002F"/>
    <w:rsid w:val="009A6A12"/>
    <w:rsid w:val="009B77B7"/>
    <w:rsid w:val="009C0E0E"/>
    <w:rsid w:val="009C6943"/>
    <w:rsid w:val="009F3C1C"/>
    <w:rsid w:val="00A178FF"/>
    <w:rsid w:val="00A41626"/>
    <w:rsid w:val="00A44994"/>
    <w:rsid w:val="00A64DE7"/>
    <w:rsid w:val="00A9733A"/>
    <w:rsid w:val="00AF5B33"/>
    <w:rsid w:val="00B22B79"/>
    <w:rsid w:val="00B26724"/>
    <w:rsid w:val="00B5188A"/>
    <w:rsid w:val="00B91763"/>
    <w:rsid w:val="00B963D3"/>
    <w:rsid w:val="00BC6730"/>
    <w:rsid w:val="00BD5360"/>
    <w:rsid w:val="00BE122D"/>
    <w:rsid w:val="00C51ECF"/>
    <w:rsid w:val="00C5495D"/>
    <w:rsid w:val="00CA58E2"/>
    <w:rsid w:val="00CC680F"/>
    <w:rsid w:val="00CD124D"/>
    <w:rsid w:val="00CD73C4"/>
    <w:rsid w:val="00D96290"/>
    <w:rsid w:val="00EA25C5"/>
    <w:rsid w:val="00EB3C6B"/>
    <w:rsid w:val="00EC47CA"/>
    <w:rsid w:val="00F45361"/>
    <w:rsid w:val="00F924B8"/>
    <w:rsid w:val="00FA2C66"/>
    <w:rsid w:val="061D286A"/>
    <w:rsid w:val="0DC62429"/>
    <w:rsid w:val="0E9D6C3E"/>
    <w:rsid w:val="24FF7842"/>
    <w:rsid w:val="29F36FD5"/>
    <w:rsid w:val="2D03015C"/>
    <w:rsid w:val="336F6858"/>
    <w:rsid w:val="386F1860"/>
    <w:rsid w:val="3A2B0CF2"/>
    <w:rsid w:val="5D1179D5"/>
    <w:rsid w:val="5D2D075A"/>
    <w:rsid w:val="66EA4108"/>
    <w:rsid w:val="701A7A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1010</Words>
  <Characters>1098</Characters>
  <Lines>20</Lines>
  <Paragraphs>5</Paragraphs>
  <TotalTime>12</TotalTime>
  <ScaleCrop>false</ScaleCrop>
  <LinksUpToDate>false</LinksUpToDate>
  <CharactersWithSpaces>1098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2025-09-28T10:03:00Z</dcterms:created>
  <dc:creator>CXGZS</dc:creator>
  <cp:lastModifiedBy>咿呀</cp:lastModifiedBy>
  <cp:lastPrinted>2025-09-30T01:09:00Z</cp:lastPrinted>
  <dcterms:modified xsi:type="dcterms:W3CDTF">2025-09-30T09:39:17Z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eyJoZGlkIjoiZWQxMjdhODU0YzcxOTM3NzRlZGI4ZmYzYTgyYWRkNjYiLCJ1c2VySWQiOiI0ODg3OTE0MTMifQ==</vt:lpwstr>
  </property>
  <property fmtid="{D5CDD505-2E9C-101B-9397-08002B2CF9AE}" pid="3" name="KSOProductBuildVer">
    <vt:lpwstr>2052-12.1.0.22529</vt:lpwstr>
  </property>
  <property fmtid="{D5CDD505-2E9C-101B-9397-08002B2CF9AE}" pid="4" name="ICV">
    <vt:lpwstr>96609877542A467C9EAE1597894E5455_13</vt:lpwstr>
  </property>
</Properties>
</file>