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10</w:t>
      </w:r>
      <w:r>
        <w:rPr>
          <w:rFonts w:eastAsia="黑体"/>
          <w:sz w:val="32"/>
          <w:szCs w:val="32"/>
          <w:highlight w:val="none"/>
        </w:rPr>
        <w:t>号</w:t>
      </w: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579"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spacing w:line="579" w:lineRule="exact"/>
        <w:jc w:val="center"/>
        <w:textAlignment w:val="auto"/>
        <w:rPr>
          <w:rFonts w:eastAsiaTheme="majorEastAsia"/>
          <w:b/>
          <w:bCs/>
          <w:sz w:val="44"/>
          <w:szCs w:val="44"/>
        </w:rPr>
      </w:pPr>
      <w:r>
        <w:rPr>
          <w:rFonts w:eastAsiaTheme="majorEastAsia"/>
          <w:b/>
          <w:bCs/>
          <w:sz w:val="44"/>
          <w:szCs w:val="44"/>
        </w:rPr>
        <w:t>关于</w:t>
      </w:r>
      <w:r>
        <w:rPr>
          <w:rFonts w:hint="eastAsia" w:eastAsiaTheme="majorEastAsia"/>
          <w:b/>
          <w:bCs/>
          <w:sz w:val="44"/>
          <w:szCs w:val="44"/>
        </w:rPr>
        <w:t>山西德通泰工程机械有限公司年产5万吨钢箱梁及桥隧智能装备</w:t>
      </w:r>
      <w:r>
        <w:rPr>
          <w:rFonts w:hint="eastAsia" w:eastAsiaTheme="majorEastAsia"/>
          <w:b/>
          <w:bCs/>
          <w:sz w:val="44"/>
          <w:szCs w:val="44"/>
          <w:lang w:val="en-US" w:eastAsia="zh-CN"/>
        </w:rPr>
        <w:t>建设</w:t>
      </w:r>
      <w:r>
        <w:rPr>
          <w:rFonts w:hint="eastAsia" w:eastAsiaTheme="majorEastAsia"/>
          <w:b/>
          <w:bCs/>
          <w:sz w:val="44"/>
          <w:szCs w:val="44"/>
        </w:rPr>
        <w:t>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spacing w:line="579"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rPr>
      </w:pPr>
      <w:r>
        <w:rPr>
          <w:rFonts w:hint="eastAsia" w:eastAsia="仿宋_GB2312"/>
          <w:sz w:val="32"/>
          <w:szCs w:val="32"/>
        </w:rPr>
        <w:t>山西德通泰工程机械有限公司</w:t>
      </w:r>
      <w:r>
        <w:rPr>
          <w:rFonts w:eastAsia="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山西德通泰工程机械有限公司年产5万吨钢箱梁及桥隧智能装备建设项目环境影响报告表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eastAsia="仿宋_GB2312"/>
          <w:sz w:val="32"/>
          <w:szCs w:val="32"/>
        </w:rPr>
      </w:pPr>
      <w:r>
        <w:rPr>
          <w:rFonts w:hint="eastAsia" w:eastAsia="仿宋_GB2312"/>
          <w:sz w:val="32"/>
          <w:szCs w:val="32"/>
          <w:lang w:val="en-US" w:eastAsia="zh-CN"/>
        </w:rPr>
        <w:t>一、主要建设内容：该项目占地面积为 75 亩（49950m</w:t>
      </w:r>
      <w:r>
        <w:rPr>
          <w:rFonts w:hint="eastAsia" w:eastAsia="仿宋_GB2312"/>
          <w:sz w:val="32"/>
          <w:szCs w:val="32"/>
          <w:vertAlign w:val="superscript"/>
          <w:lang w:val="en-US" w:eastAsia="zh-CN"/>
        </w:rPr>
        <w:t>2</w:t>
      </w:r>
      <w:r>
        <w:rPr>
          <w:rFonts w:hint="eastAsia" w:eastAsia="仿宋_GB2312"/>
          <w:sz w:val="32"/>
          <w:szCs w:val="32"/>
          <w:lang w:val="en-US" w:eastAsia="zh-CN"/>
        </w:rPr>
        <w:t>），总建筑面积约 35370m</w:t>
      </w:r>
      <w:r>
        <w:rPr>
          <w:rFonts w:hint="eastAsia" w:eastAsia="仿宋_GB2312"/>
          <w:sz w:val="32"/>
          <w:szCs w:val="32"/>
          <w:vertAlign w:val="superscript"/>
          <w:lang w:val="en-US" w:eastAsia="zh-CN"/>
        </w:rPr>
        <w:t>2</w:t>
      </w:r>
      <w:r>
        <w:rPr>
          <w:rFonts w:hint="eastAsia" w:eastAsia="仿宋_GB2312"/>
          <w:sz w:val="32"/>
          <w:szCs w:val="32"/>
          <w:lang w:val="en-US" w:eastAsia="zh-CN"/>
        </w:rPr>
        <w:t>。项</w:t>
      </w:r>
      <w:bookmarkStart w:id="0" w:name="_GoBack"/>
      <w:bookmarkEnd w:id="0"/>
      <w:r>
        <w:rPr>
          <w:rFonts w:hint="eastAsia" w:eastAsia="仿宋_GB2312"/>
          <w:sz w:val="32"/>
          <w:szCs w:val="32"/>
          <w:lang w:val="en-US" w:eastAsia="zh-CN"/>
        </w:rPr>
        <w:t>目主要建设内容为：1#、2#生产厂房、1#、2#办公楼、动力、配电房及其它附属配套设施和环保设施。</w:t>
      </w:r>
      <w:r>
        <w:rPr>
          <w:rFonts w:eastAsia="仿宋_GB2312"/>
          <w:sz w:val="32"/>
          <w:szCs w:val="32"/>
        </w:rPr>
        <w:t>项目经文水经济开发区管理委员会备案，备案代码：</w:t>
      </w:r>
      <w:r>
        <w:rPr>
          <w:rFonts w:hint="eastAsia" w:eastAsia="仿宋_GB2312"/>
          <w:sz w:val="32"/>
          <w:szCs w:val="32"/>
        </w:rPr>
        <w:t>2308-141152-89-01-860151</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lang w:val="en-US" w:eastAsia="zh-CN"/>
        </w:rPr>
        <w:t>21000</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95</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切割焊接烟尘、喷砂粉尘经集气罩收集后引至布袋除尘器处理，处理后的废气经15m高排气筒排放；抛丸机全封闭运行，配置脉冲式布袋除尘器，产生的粉尘经处理后通过排气筒达标排放；喷漆在喷漆房内进行，喷漆房废气经一套“干式过滤+活性炭吸附+催化燃烧”装置处理，处理后的废气经15m高排气筒排放；食堂油烟经净化器处理后达标排放。</w:t>
      </w:r>
      <w:r>
        <w:rPr>
          <w:rFonts w:eastAsia="仿宋_GB2312"/>
          <w:sz w:val="32"/>
          <w:szCs w:val="32"/>
        </w:rPr>
        <w:t>经过以上措施处理后</w:t>
      </w:r>
      <w:r>
        <w:rPr>
          <w:rFonts w:hint="eastAsia" w:eastAsia="仿宋_GB2312"/>
          <w:sz w:val="32"/>
          <w:szCs w:val="32"/>
          <w:lang w:val="en-US" w:eastAsia="zh-CN"/>
        </w:rPr>
        <w:t>确</w:t>
      </w:r>
      <w:r>
        <w:rPr>
          <w:rFonts w:hint="eastAsia" w:ascii="仿宋_GB2312" w:hAnsi="仿宋_GB2312" w:eastAsia="仿宋_GB2312" w:cs="仿宋_GB2312"/>
          <w:sz w:val="32"/>
          <w:szCs w:val="32"/>
          <w:lang w:val="en-US" w:eastAsia="zh-CN"/>
        </w:rPr>
        <w:t>保大气污染排放满足《大气污染物综合排放标准》</w:t>
      </w:r>
    </w:p>
    <w:p>
      <w:pPr>
        <w:keepNext w:val="0"/>
        <w:keepLines w:val="0"/>
        <w:pageBreakBefore w:val="0"/>
        <w:widowControl/>
        <w:suppressLineNumbers w:val="0"/>
        <w:kinsoku/>
        <w:wordWrap/>
        <w:overflowPunct/>
        <w:topLinePunct w:val="0"/>
        <w:autoSpaceDE/>
        <w:autoSpaceDN/>
        <w:bidi w:val="0"/>
        <w:spacing w:line="579"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（GB16297-1996）</w:t>
      </w:r>
      <w:r>
        <w:rPr>
          <w:rFonts w:hint="eastAsia" w:ascii="仿宋_GB2312" w:hAnsi="仿宋_GB2312" w:eastAsia="仿宋_GB2312" w:cs="仿宋_GB2312"/>
          <w:color w:val="000000"/>
          <w:kern w:val="0"/>
          <w:sz w:val="32"/>
          <w:szCs w:val="32"/>
          <w:lang w:val="en-US" w:eastAsia="zh-CN" w:bidi="ar"/>
        </w:rPr>
        <w:t>、《工业企业挥发性有机物排放控制标</w:t>
      </w:r>
    </w:p>
    <w:p>
      <w:pPr>
        <w:keepNext w:val="0"/>
        <w:keepLines w:val="0"/>
        <w:pageBreakBefore w:val="0"/>
        <w:widowControl/>
        <w:suppressLineNumbers w:val="0"/>
        <w:kinsoku/>
        <w:wordWrap/>
        <w:overflowPunct/>
        <w:topLinePunct w:val="0"/>
        <w:autoSpaceDE/>
        <w:autoSpaceDN/>
        <w:bidi w:val="0"/>
        <w:spacing w:line="579"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准》(DB13/2322-2016)、饮食业油烟排放标准（试行）》</w:t>
      </w:r>
    </w:p>
    <w:p>
      <w:pPr>
        <w:keepNext w:val="0"/>
        <w:keepLines w:val="0"/>
        <w:pageBreakBefore w:val="0"/>
        <w:widowControl/>
        <w:suppressLineNumbers w:val="0"/>
        <w:kinsoku/>
        <w:wordWrap/>
        <w:overflowPunct/>
        <w:topLinePunct w:val="0"/>
        <w:autoSpaceDE/>
        <w:autoSpaceDN/>
        <w:bidi w:val="0"/>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（GB18483-2001）中的相关排放标准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选择低噪声设备、合理布局、封闭厂房，基础减震，厂房门窗隔声等；合理安排车流，运输车辆限超限速，减速慢行，禁止鸣笛，加强机械设备保养。</w:t>
      </w:r>
      <w:r>
        <w:rPr>
          <w:rFonts w:eastAsia="仿宋_GB2312"/>
          <w:sz w:val="32"/>
          <w:szCs w:val="32"/>
        </w:rPr>
        <w:t>经过以上措施处理后确保噪声污染防治满足</w:t>
      </w:r>
      <w:r>
        <w:rPr>
          <w:rFonts w:hint="eastAsia" w:eastAsia="仿宋_GB2312"/>
          <w:sz w:val="32"/>
          <w:szCs w:val="32"/>
        </w:rPr>
        <w:t>《工业企业厂界环境噪声排放标准》（GB12348-2008）（厂界南侧）昼间：70dB（A）（厂界东、西、北侧）：65dB（A）</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生活垃圾：设垃圾桶收集，由环卫部门统一处理；废边角料、废焊头、焊渣：收集后暂存于固废暂存间，由废品回收站回收；废过滤棉、废活性炭、废机油：危废暂存间暂存，委托有资质的单位处置。</w:t>
      </w:r>
      <w:r>
        <w:rPr>
          <w:rFonts w:eastAsia="仿宋_GB2312"/>
          <w:sz w:val="32"/>
          <w:szCs w:val="32"/>
        </w:rPr>
        <w:t>经过以上措施处理后确保</w:t>
      </w:r>
      <w:r>
        <w:rPr>
          <w:rFonts w:hint="eastAsia" w:eastAsia="仿宋_GB2312"/>
          <w:sz w:val="32"/>
          <w:szCs w:val="32"/>
          <w:lang w:val="en-US" w:eastAsia="zh-CN"/>
        </w:rPr>
        <w:t>危废处置满足《危险废物贮存污染控制标准》（GB18597-2023）及生态环境部公告2023 年第 5 号-《环境保护图形标志—固体废物贮存（处置）场》（GB15562.2-1995）修改单中的相关要求，确保固废合理处置，不会对周围环境产生影响。</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。生活污水</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化粪池处理，定期清掏，不外排。</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6、严格落实土壤及地下水污染防治措施。危废暂存间进行重点防渗，确保不会对土壤及地下水产生影响。</w:t>
      </w:r>
    </w:p>
    <w:p>
      <w:pPr>
        <w:pStyle w:val="2"/>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7、严格落实报告表提出的环境风险防范措施。加强项目环境风险管控，按照报告表中环境风险防范措施要求制定有效的应急预案并采取可靠的防范措施，防止安全生产事故引发环境污染，确保环境安全。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lang w:val="en-US" w:eastAsia="zh-CN"/>
        </w:rPr>
      </w:pPr>
      <w:r>
        <w:rPr>
          <w:rFonts w:hint="eastAsia" w:eastAsia="仿宋_GB2312"/>
          <w:color w:val="000000"/>
          <w:kern w:val="0"/>
          <w:sz w:val="32"/>
          <w:szCs w:val="32"/>
          <w:lang w:val="en-US" w:eastAsia="zh-CN" w:bidi="ar"/>
        </w:rPr>
        <w:t>三、严格落实污染物排放总量控制指标。项目产生的污染物排放量须满足吕梁市生态环境局文水分局核定的总量控制指标：颗粒物0.98t/a、挥发性有机物0.25t/a。</w:t>
      </w:r>
    </w:p>
    <w:p>
      <w:pPr>
        <w:pStyle w:val="3"/>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spacing w:line="579" w:lineRule="exact"/>
        <w:ind w:firstLine="3840" w:firstLineChars="1200"/>
        <w:textAlignment w:val="auto"/>
        <w:rPr>
          <w:rFonts w:eastAsia="仿宋_GB2312"/>
          <w:sz w:val="32"/>
          <w:szCs w:val="32"/>
        </w:rPr>
      </w:pPr>
      <w:r>
        <w:rPr>
          <w:rFonts w:eastAsia="仿宋_GB2312"/>
          <w:sz w:val="32"/>
          <w:szCs w:val="32"/>
        </w:rPr>
        <w:t>文水经济开发区管理委员会</w:t>
      </w:r>
    </w:p>
    <w:p>
      <w:pPr>
        <w:keepNext w:val="0"/>
        <w:keepLines w:val="0"/>
        <w:pageBreakBefore w:val="0"/>
        <w:widowControl w:val="0"/>
        <w:kinsoku/>
        <w:wordWrap/>
        <w:overflowPunct/>
        <w:topLinePunct w:val="0"/>
        <w:autoSpaceDE/>
        <w:autoSpaceDN/>
        <w:bidi w:val="0"/>
        <w:spacing w:line="579"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8</w:t>
      </w:r>
      <w:r>
        <w:rPr>
          <w:rFonts w:eastAsia="仿宋_GB2312"/>
          <w:sz w:val="32"/>
          <w:szCs w:val="32"/>
          <w:highlight w:val="none"/>
        </w:rPr>
        <w:t>月</w:t>
      </w:r>
      <w:r>
        <w:rPr>
          <w:rFonts w:hint="eastAsia" w:eastAsia="仿宋_GB2312"/>
          <w:sz w:val="32"/>
          <w:szCs w:val="32"/>
          <w:highlight w:val="none"/>
          <w:lang w:val="en-US" w:eastAsia="zh-CN"/>
        </w:rPr>
        <w:t>30</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u w:val="single"/>
        </w:rPr>
      </w:pPr>
      <w:r>
        <w:rPr>
          <w:rFonts w:eastAsia="仿宋_GB2312"/>
          <w:w w:val="90"/>
          <w:sz w:val="32"/>
          <w:szCs w:val="32"/>
          <w:u w:val="single"/>
        </w:rPr>
        <w:t xml:space="preserve">抄送：吕梁市生态环境局、吕梁市生态环境局文水分局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79" w:lineRule="exact"/>
        <w:jc w:val="left"/>
        <w:textAlignment w:val="auto"/>
        <w:rPr>
          <w:rFonts w:hint="eastAsia" w:eastAsia="仿宋_GB2312"/>
          <w:kern w:val="0"/>
          <w:sz w:val="28"/>
          <w:szCs w:val="28"/>
          <w:highlight w:val="none"/>
          <w:u w:val="thick"/>
        </w:rPr>
      </w:pPr>
      <w:r>
        <w:rPr>
          <w:rFonts w:eastAsia="仿宋_GB2312"/>
          <w:kern w:val="0"/>
          <w:sz w:val="28"/>
          <w:szCs w:val="28"/>
          <w:u w:val="thick"/>
        </w:rPr>
        <w:t xml:space="preserve">文水经济开发区管理委员会        </w:t>
      </w:r>
      <w:r>
        <w:rPr>
          <w:rFonts w:hint="eastAsia" w:eastAsia="仿宋_GB2312"/>
          <w:kern w:val="0"/>
          <w:sz w:val="28"/>
          <w:szCs w:val="28"/>
          <w:u w:val="thick"/>
          <w:lang w:val="en-US" w:eastAsia="zh-CN"/>
        </w:rPr>
        <w:t xml:space="preserve">    </w:t>
      </w:r>
      <w:r>
        <w:rPr>
          <w:rFonts w:eastAsia="仿宋_GB2312"/>
          <w:kern w:val="0"/>
          <w:sz w:val="28"/>
          <w:szCs w:val="28"/>
          <w:u w:val="thick"/>
        </w:rPr>
        <w:t xml:space="preserve">   </w:t>
      </w:r>
      <w:r>
        <w:rPr>
          <w:rFonts w:hint="eastAsia" w:eastAsia="仿宋_GB2312"/>
          <w:kern w:val="0"/>
          <w:sz w:val="28"/>
          <w:szCs w:val="28"/>
          <w:u w:val="thick"/>
          <w:lang w:val="en-US" w:eastAsia="zh-CN"/>
        </w:rPr>
        <w:t xml:space="preserve">  </w:t>
      </w:r>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8</w:t>
      </w:r>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30</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B41EC2"/>
    <w:rsid w:val="01E20BD3"/>
    <w:rsid w:val="02581503"/>
    <w:rsid w:val="025C2544"/>
    <w:rsid w:val="02825CC9"/>
    <w:rsid w:val="02B57ACD"/>
    <w:rsid w:val="03100B91"/>
    <w:rsid w:val="039B617D"/>
    <w:rsid w:val="03A569EC"/>
    <w:rsid w:val="03B41182"/>
    <w:rsid w:val="03E734DD"/>
    <w:rsid w:val="04336690"/>
    <w:rsid w:val="049B0960"/>
    <w:rsid w:val="05B92FEF"/>
    <w:rsid w:val="06412896"/>
    <w:rsid w:val="06C94F09"/>
    <w:rsid w:val="06D66ABD"/>
    <w:rsid w:val="073E2BD5"/>
    <w:rsid w:val="0740351F"/>
    <w:rsid w:val="08FD2E27"/>
    <w:rsid w:val="091D18A2"/>
    <w:rsid w:val="0A651B20"/>
    <w:rsid w:val="0ACC0C9B"/>
    <w:rsid w:val="0AD7027A"/>
    <w:rsid w:val="0B8F510F"/>
    <w:rsid w:val="0BE43942"/>
    <w:rsid w:val="0C6726B6"/>
    <w:rsid w:val="0C9B68E9"/>
    <w:rsid w:val="0CFA56B0"/>
    <w:rsid w:val="0E3810A1"/>
    <w:rsid w:val="0EDD37E9"/>
    <w:rsid w:val="0F1B3B6F"/>
    <w:rsid w:val="0FF31BA3"/>
    <w:rsid w:val="104A2A8B"/>
    <w:rsid w:val="12856D4D"/>
    <w:rsid w:val="12EB2D77"/>
    <w:rsid w:val="12F274B4"/>
    <w:rsid w:val="12F72695"/>
    <w:rsid w:val="1346010F"/>
    <w:rsid w:val="13C93611"/>
    <w:rsid w:val="143472AD"/>
    <w:rsid w:val="14426DE4"/>
    <w:rsid w:val="145A0569"/>
    <w:rsid w:val="15072DEB"/>
    <w:rsid w:val="15806AB7"/>
    <w:rsid w:val="1638543C"/>
    <w:rsid w:val="177C1C15"/>
    <w:rsid w:val="17807980"/>
    <w:rsid w:val="18061E08"/>
    <w:rsid w:val="181E2472"/>
    <w:rsid w:val="18DB00FF"/>
    <w:rsid w:val="19962C07"/>
    <w:rsid w:val="199A0D03"/>
    <w:rsid w:val="1AC37FD5"/>
    <w:rsid w:val="1ADA5C6F"/>
    <w:rsid w:val="1AE37FE9"/>
    <w:rsid w:val="1AED2F6A"/>
    <w:rsid w:val="1C5D220F"/>
    <w:rsid w:val="1C686AE6"/>
    <w:rsid w:val="1C7A40C1"/>
    <w:rsid w:val="1D681394"/>
    <w:rsid w:val="1DFA6E6E"/>
    <w:rsid w:val="1F04050F"/>
    <w:rsid w:val="1F2172BB"/>
    <w:rsid w:val="1FB37371"/>
    <w:rsid w:val="1FB52F37"/>
    <w:rsid w:val="1FDF6641"/>
    <w:rsid w:val="202964C4"/>
    <w:rsid w:val="203A0AC5"/>
    <w:rsid w:val="20447E45"/>
    <w:rsid w:val="207264A1"/>
    <w:rsid w:val="20CA4A1B"/>
    <w:rsid w:val="210533A3"/>
    <w:rsid w:val="212109DE"/>
    <w:rsid w:val="212C1EC6"/>
    <w:rsid w:val="213E5804"/>
    <w:rsid w:val="214933EF"/>
    <w:rsid w:val="217665CE"/>
    <w:rsid w:val="21B21367"/>
    <w:rsid w:val="2202393F"/>
    <w:rsid w:val="22281BC0"/>
    <w:rsid w:val="224149BC"/>
    <w:rsid w:val="2271735A"/>
    <w:rsid w:val="23741E03"/>
    <w:rsid w:val="23CB324F"/>
    <w:rsid w:val="23D464D8"/>
    <w:rsid w:val="23EC1797"/>
    <w:rsid w:val="24303965"/>
    <w:rsid w:val="24B827C8"/>
    <w:rsid w:val="26043243"/>
    <w:rsid w:val="260A1B6B"/>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8525EF"/>
    <w:rsid w:val="2BDE3F66"/>
    <w:rsid w:val="2C257FBF"/>
    <w:rsid w:val="2C363542"/>
    <w:rsid w:val="2CD13EB4"/>
    <w:rsid w:val="2E22706B"/>
    <w:rsid w:val="2E266AB4"/>
    <w:rsid w:val="2E313CC4"/>
    <w:rsid w:val="2E553DFF"/>
    <w:rsid w:val="2E7E6708"/>
    <w:rsid w:val="2E935E77"/>
    <w:rsid w:val="2E9A27A4"/>
    <w:rsid w:val="309A7844"/>
    <w:rsid w:val="30DC2C76"/>
    <w:rsid w:val="31233F5D"/>
    <w:rsid w:val="32FF30B0"/>
    <w:rsid w:val="33712348"/>
    <w:rsid w:val="33C345F8"/>
    <w:rsid w:val="346F48F6"/>
    <w:rsid w:val="34764867"/>
    <w:rsid w:val="34B42E83"/>
    <w:rsid w:val="34CB3CB5"/>
    <w:rsid w:val="34F97EA3"/>
    <w:rsid w:val="35000B00"/>
    <w:rsid w:val="35A3775F"/>
    <w:rsid w:val="360C4FC1"/>
    <w:rsid w:val="3619091C"/>
    <w:rsid w:val="372739A9"/>
    <w:rsid w:val="37BB3F92"/>
    <w:rsid w:val="37C37A23"/>
    <w:rsid w:val="37E016D7"/>
    <w:rsid w:val="391240F0"/>
    <w:rsid w:val="39DF4DCD"/>
    <w:rsid w:val="3A876E57"/>
    <w:rsid w:val="3A995C5C"/>
    <w:rsid w:val="3B8A161F"/>
    <w:rsid w:val="3BC774D3"/>
    <w:rsid w:val="3C4A20EA"/>
    <w:rsid w:val="3C872FFC"/>
    <w:rsid w:val="3D1244B0"/>
    <w:rsid w:val="3D255DD8"/>
    <w:rsid w:val="3D5567B2"/>
    <w:rsid w:val="3DA470FD"/>
    <w:rsid w:val="3DFD1F97"/>
    <w:rsid w:val="3E015BE4"/>
    <w:rsid w:val="3E225E80"/>
    <w:rsid w:val="3E265A58"/>
    <w:rsid w:val="3E932392"/>
    <w:rsid w:val="3EDC3534"/>
    <w:rsid w:val="3F446ADE"/>
    <w:rsid w:val="3F544743"/>
    <w:rsid w:val="3F556ACF"/>
    <w:rsid w:val="3FB87213"/>
    <w:rsid w:val="40013FCD"/>
    <w:rsid w:val="400569B0"/>
    <w:rsid w:val="40684118"/>
    <w:rsid w:val="41807E63"/>
    <w:rsid w:val="41D21032"/>
    <w:rsid w:val="41FC78C8"/>
    <w:rsid w:val="421E258F"/>
    <w:rsid w:val="426B25D4"/>
    <w:rsid w:val="431F1C0E"/>
    <w:rsid w:val="43300E55"/>
    <w:rsid w:val="433044FD"/>
    <w:rsid w:val="43D03E74"/>
    <w:rsid w:val="44352FB9"/>
    <w:rsid w:val="449A549F"/>
    <w:rsid w:val="44F91756"/>
    <w:rsid w:val="458628E9"/>
    <w:rsid w:val="45901228"/>
    <w:rsid w:val="45A63882"/>
    <w:rsid w:val="45B778DE"/>
    <w:rsid w:val="45EB2C74"/>
    <w:rsid w:val="45F20916"/>
    <w:rsid w:val="462A3940"/>
    <w:rsid w:val="469C1F45"/>
    <w:rsid w:val="46F94A83"/>
    <w:rsid w:val="47A33CFE"/>
    <w:rsid w:val="48474F49"/>
    <w:rsid w:val="484A5D44"/>
    <w:rsid w:val="48751E9B"/>
    <w:rsid w:val="48A8591D"/>
    <w:rsid w:val="491F1D83"/>
    <w:rsid w:val="4948430A"/>
    <w:rsid w:val="496646D2"/>
    <w:rsid w:val="4AA24002"/>
    <w:rsid w:val="4AE90539"/>
    <w:rsid w:val="4B7B04BB"/>
    <w:rsid w:val="4C065A07"/>
    <w:rsid w:val="4C1669DA"/>
    <w:rsid w:val="4C5D2215"/>
    <w:rsid w:val="4CD03BD8"/>
    <w:rsid w:val="4D600263"/>
    <w:rsid w:val="4DCB4939"/>
    <w:rsid w:val="4E112812"/>
    <w:rsid w:val="4E6134C0"/>
    <w:rsid w:val="4E73688E"/>
    <w:rsid w:val="4E7452A7"/>
    <w:rsid w:val="4E772300"/>
    <w:rsid w:val="4E7B2BB3"/>
    <w:rsid w:val="4EB866A1"/>
    <w:rsid w:val="4F3467C8"/>
    <w:rsid w:val="4F786330"/>
    <w:rsid w:val="4FB01626"/>
    <w:rsid w:val="501601C3"/>
    <w:rsid w:val="508430C2"/>
    <w:rsid w:val="50930741"/>
    <w:rsid w:val="532259BB"/>
    <w:rsid w:val="533C09EF"/>
    <w:rsid w:val="53860509"/>
    <w:rsid w:val="54D0469C"/>
    <w:rsid w:val="5500549A"/>
    <w:rsid w:val="55023D93"/>
    <w:rsid w:val="553404A9"/>
    <w:rsid w:val="55487236"/>
    <w:rsid w:val="557567B0"/>
    <w:rsid w:val="55913CA7"/>
    <w:rsid w:val="56462CE4"/>
    <w:rsid w:val="5684771A"/>
    <w:rsid w:val="56A53C37"/>
    <w:rsid w:val="56E56D6C"/>
    <w:rsid w:val="57DD6EEC"/>
    <w:rsid w:val="581806B0"/>
    <w:rsid w:val="58584CF7"/>
    <w:rsid w:val="585D087C"/>
    <w:rsid w:val="58F033DB"/>
    <w:rsid w:val="590D16BD"/>
    <w:rsid w:val="59637AC3"/>
    <w:rsid w:val="599A5702"/>
    <w:rsid w:val="59AD1593"/>
    <w:rsid w:val="59EF6740"/>
    <w:rsid w:val="5A277C91"/>
    <w:rsid w:val="5B222313"/>
    <w:rsid w:val="5B6A45D8"/>
    <w:rsid w:val="5BBB6BB1"/>
    <w:rsid w:val="5C135265"/>
    <w:rsid w:val="5C150F5B"/>
    <w:rsid w:val="5D0B72D1"/>
    <w:rsid w:val="5D2654A7"/>
    <w:rsid w:val="5D325225"/>
    <w:rsid w:val="5E071C5E"/>
    <w:rsid w:val="5E08053E"/>
    <w:rsid w:val="5EE35C58"/>
    <w:rsid w:val="60FD0C18"/>
    <w:rsid w:val="610B6A53"/>
    <w:rsid w:val="610C4B2A"/>
    <w:rsid w:val="611C0E1D"/>
    <w:rsid w:val="613D0728"/>
    <w:rsid w:val="61696464"/>
    <w:rsid w:val="623A29DC"/>
    <w:rsid w:val="63322CC4"/>
    <w:rsid w:val="640D5DFB"/>
    <w:rsid w:val="643D0F0F"/>
    <w:rsid w:val="653741D2"/>
    <w:rsid w:val="656634CA"/>
    <w:rsid w:val="661C7247"/>
    <w:rsid w:val="662446C4"/>
    <w:rsid w:val="663C3947"/>
    <w:rsid w:val="66713981"/>
    <w:rsid w:val="66BE4FD1"/>
    <w:rsid w:val="66F95B50"/>
    <w:rsid w:val="67F62C88"/>
    <w:rsid w:val="685F6366"/>
    <w:rsid w:val="6894012E"/>
    <w:rsid w:val="68BC0BE4"/>
    <w:rsid w:val="69A61BDF"/>
    <w:rsid w:val="69D813A5"/>
    <w:rsid w:val="69F009C9"/>
    <w:rsid w:val="6A212B99"/>
    <w:rsid w:val="6A9379C7"/>
    <w:rsid w:val="6AED11AF"/>
    <w:rsid w:val="6BB8046D"/>
    <w:rsid w:val="6BBB7D92"/>
    <w:rsid w:val="6C8156FE"/>
    <w:rsid w:val="6C950AE3"/>
    <w:rsid w:val="6CA10509"/>
    <w:rsid w:val="6CC268E9"/>
    <w:rsid w:val="6CD16D68"/>
    <w:rsid w:val="6D4C18C9"/>
    <w:rsid w:val="6D55204A"/>
    <w:rsid w:val="6D66763D"/>
    <w:rsid w:val="6D863381"/>
    <w:rsid w:val="6E1C5069"/>
    <w:rsid w:val="6E62446F"/>
    <w:rsid w:val="6FB305A7"/>
    <w:rsid w:val="701661FC"/>
    <w:rsid w:val="706F010A"/>
    <w:rsid w:val="70965A8C"/>
    <w:rsid w:val="70D92B51"/>
    <w:rsid w:val="715C4459"/>
    <w:rsid w:val="719575AF"/>
    <w:rsid w:val="71E673BA"/>
    <w:rsid w:val="73317CAF"/>
    <w:rsid w:val="7383614B"/>
    <w:rsid w:val="73EA3021"/>
    <w:rsid w:val="742D0561"/>
    <w:rsid w:val="74A35A1C"/>
    <w:rsid w:val="74B377E3"/>
    <w:rsid w:val="759E7FEF"/>
    <w:rsid w:val="75CB0789"/>
    <w:rsid w:val="76393874"/>
    <w:rsid w:val="767D3F0E"/>
    <w:rsid w:val="76B6128D"/>
    <w:rsid w:val="773B1CB5"/>
    <w:rsid w:val="773D6A8C"/>
    <w:rsid w:val="777F0E61"/>
    <w:rsid w:val="77C42208"/>
    <w:rsid w:val="78634A38"/>
    <w:rsid w:val="7879264D"/>
    <w:rsid w:val="78CD23D5"/>
    <w:rsid w:val="792E6801"/>
    <w:rsid w:val="79F1067A"/>
    <w:rsid w:val="7A3A6A1A"/>
    <w:rsid w:val="7A57621C"/>
    <w:rsid w:val="7A642A22"/>
    <w:rsid w:val="7A6F5DCF"/>
    <w:rsid w:val="7A9D0AF2"/>
    <w:rsid w:val="7B182423"/>
    <w:rsid w:val="7BB67EE9"/>
    <w:rsid w:val="7CC02243"/>
    <w:rsid w:val="7D5B6C5B"/>
    <w:rsid w:val="7E127812"/>
    <w:rsid w:val="7E5E094E"/>
    <w:rsid w:val="7EAD2FA1"/>
    <w:rsid w:val="7F654EEB"/>
    <w:rsid w:val="7F97770B"/>
    <w:rsid w:val="7F98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1666</Words>
  <Characters>1820</Characters>
  <Lines>12</Lines>
  <Paragraphs>3</Paragraphs>
  <TotalTime>2</TotalTime>
  <ScaleCrop>false</ScaleCrop>
  <LinksUpToDate>false</LinksUpToDate>
  <CharactersWithSpaces>1927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2020-02-13T01:49:00Z</dcterms:created>
  <dc:creator>朦朦lucky王</dc:creator>
  <cp:lastModifiedBy>0</cp:lastModifiedBy>
  <cp:lastPrinted>2023-07-17T08:02:00Z</cp:lastPrinted>
  <dcterms:modified xsi:type="dcterms:W3CDTF">2023-08-30T01:29:42Z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0E7A7417BEA34DDFA6E78B69319B28FF</vt:lpwstr>
  </property>
</Properties>
</file>