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2240" w:firstLineChars="700"/>
        <w:textAlignment w:val="auto"/>
        <w:rPr>
          <w:rFonts w:eastAsia="黑体"/>
          <w:sz w:val="32"/>
          <w:szCs w:val="32"/>
          <w:highlight w:val="none"/>
        </w:rPr>
      </w:pPr>
      <w:r>
        <w:rPr>
          <w:rFonts w:eastAsia="黑体"/>
          <w:sz w:val="32"/>
          <w:szCs w:val="32"/>
          <w:highlight w:val="none"/>
        </w:rPr>
        <w:t>文开发行审环﹝202</w:t>
      </w:r>
      <w:r>
        <w:rPr>
          <w:rFonts w:hint="eastAsia" w:eastAsia="黑体"/>
          <w:sz w:val="32"/>
          <w:szCs w:val="32"/>
          <w:highlight w:val="none"/>
          <w:lang w:val="en-US" w:eastAsia="zh-CN"/>
        </w:rPr>
        <w:t>3</w:t>
      </w:r>
      <w:r>
        <w:rPr>
          <w:rFonts w:eastAsia="黑体"/>
          <w:sz w:val="32"/>
          <w:szCs w:val="32"/>
          <w:highlight w:val="none"/>
        </w:rPr>
        <w:t>﹞</w:t>
      </w:r>
      <w:r>
        <w:rPr>
          <w:rFonts w:hint="eastAsia" w:eastAsia="黑体"/>
          <w:sz w:val="32"/>
          <w:szCs w:val="32"/>
          <w:highlight w:val="none"/>
          <w:lang w:val="en-US" w:eastAsia="zh-CN"/>
        </w:rPr>
        <w:t>11</w:t>
      </w:r>
      <w:r>
        <w:rPr>
          <w:rFonts w:eastAsia="黑体"/>
          <w:sz w:val="32"/>
          <w:szCs w:val="32"/>
          <w:highlight w:val="none"/>
        </w:rPr>
        <w:t>号</w:t>
      </w:r>
    </w:p>
    <w:p>
      <w:pPr>
        <w:keepNext w:val="0"/>
        <w:keepLines w:val="0"/>
        <w:pageBreakBefore w:val="0"/>
        <w:widowControl w:val="0"/>
        <w:kinsoku/>
        <w:wordWrap/>
        <w:overflowPunct/>
        <w:topLinePunct w:val="0"/>
        <w:autoSpaceDE/>
        <w:autoSpaceDN/>
        <w:bidi w:val="0"/>
        <w:spacing w:line="560" w:lineRule="exact"/>
        <w:ind w:firstLine="2240" w:firstLineChars="700"/>
        <w:textAlignment w:val="auto"/>
        <w:rPr>
          <w:rFonts w:eastAsia="黑体"/>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eastAsiaTheme="majorEastAsia"/>
          <w:b/>
          <w:bCs/>
          <w:sz w:val="44"/>
          <w:szCs w:val="44"/>
        </w:rPr>
      </w:pPr>
      <w:r>
        <w:rPr>
          <w:rFonts w:eastAsiaTheme="majorEastAsia"/>
          <w:b/>
          <w:bCs/>
          <w:sz w:val="44"/>
          <w:szCs w:val="44"/>
        </w:rPr>
        <w:t>文水经济开发区管理委员会</w:t>
      </w:r>
    </w:p>
    <w:p>
      <w:pPr>
        <w:keepNext w:val="0"/>
        <w:keepLines w:val="0"/>
        <w:pageBreakBefore w:val="0"/>
        <w:widowControl w:val="0"/>
        <w:kinsoku/>
        <w:wordWrap/>
        <w:overflowPunct/>
        <w:topLinePunct w:val="0"/>
        <w:autoSpaceDE/>
        <w:autoSpaceDN/>
        <w:bidi w:val="0"/>
        <w:spacing w:line="560" w:lineRule="exact"/>
        <w:jc w:val="center"/>
        <w:textAlignment w:val="auto"/>
        <w:rPr>
          <w:rFonts w:eastAsiaTheme="majorEastAsia"/>
          <w:b/>
          <w:bCs/>
          <w:sz w:val="44"/>
          <w:szCs w:val="44"/>
        </w:rPr>
      </w:pPr>
      <w:r>
        <w:rPr>
          <w:rFonts w:eastAsiaTheme="majorEastAsia"/>
          <w:b/>
          <w:bCs/>
          <w:sz w:val="44"/>
          <w:szCs w:val="44"/>
        </w:rPr>
        <w:t>关于</w:t>
      </w:r>
      <w:r>
        <w:rPr>
          <w:rFonts w:hint="eastAsia" w:eastAsiaTheme="majorEastAsia"/>
          <w:b/>
          <w:bCs/>
          <w:sz w:val="44"/>
          <w:szCs w:val="44"/>
        </w:rPr>
        <w:t>山西金达建材科技有限公司年产 2 万吨陶瓷熔块</w:t>
      </w:r>
      <w:r>
        <w:rPr>
          <w:rFonts w:hint="eastAsia" w:eastAsiaTheme="majorEastAsia"/>
          <w:b/>
          <w:bCs/>
          <w:sz w:val="44"/>
          <w:szCs w:val="44"/>
          <w:lang w:val="en-US" w:eastAsia="zh-CN"/>
        </w:rPr>
        <w:t>建设</w:t>
      </w:r>
      <w:r>
        <w:rPr>
          <w:rFonts w:hint="eastAsia" w:eastAsiaTheme="majorEastAsia"/>
          <w:b/>
          <w:bCs/>
          <w:sz w:val="44"/>
          <w:szCs w:val="44"/>
        </w:rPr>
        <w:t>项目</w:t>
      </w:r>
      <w:r>
        <w:rPr>
          <w:rFonts w:eastAsiaTheme="majorEastAsia"/>
          <w:b/>
          <w:bCs/>
          <w:sz w:val="44"/>
          <w:szCs w:val="44"/>
        </w:rPr>
        <w:t>环境影响报告</w:t>
      </w:r>
      <w:r>
        <w:rPr>
          <w:rFonts w:hint="eastAsia" w:eastAsiaTheme="majorEastAsia"/>
          <w:b/>
          <w:bCs/>
          <w:sz w:val="44"/>
          <w:szCs w:val="44"/>
          <w:lang w:val="en-US" w:eastAsia="zh-CN"/>
        </w:rPr>
        <w:t>表</w:t>
      </w:r>
      <w:r>
        <w:rPr>
          <w:rFonts w:eastAsiaTheme="majorEastAsia"/>
          <w:b/>
          <w:bCs/>
          <w:sz w:val="44"/>
          <w:szCs w:val="44"/>
        </w:rPr>
        <w:t>的批复</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sz w:val="30"/>
          <w:szCs w:val="30"/>
        </w:rPr>
      </w:pPr>
    </w:p>
    <w:p>
      <w:pPr>
        <w:keepNext w:val="0"/>
        <w:keepLines w:val="0"/>
        <w:pageBreakBefore w:val="0"/>
        <w:widowControl w:val="0"/>
        <w:kinsoku/>
        <w:wordWrap/>
        <w:overflowPunct/>
        <w:topLinePunct w:val="0"/>
        <w:autoSpaceDE/>
        <w:autoSpaceDN/>
        <w:bidi w:val="0"/>
        <w:spacing w:line="560" w:lineRule="exact"/>
        <w:textAlignment w:val="auto"/>
        <w:rPr>
          <w:rFonts w:eastAsia="仿宋_GB2312"/>
          <w:sz w:val="32"/>
          <w:szCs w:val="32"/>
        </w:rPr>
      </w:pPr>
      <w:r>
        <w:rPr>
          <w:rFonts w:hint="eastAsia" w:eastAsia="仿宋_GB2312"/>
          <w:sz w:val="32"/>
          <w:szCs w:val="32"/>
        </w:rPr>
        <w:t>山西金达建材科技有限公司</w:t>
      </w:r>
      <w:r>
        <w:rPr>
          <w:rFonts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eastAsia="仿宋_GB2312"/>
          <w:sz w:val="32"/>
          <w:szCs w:val="32"/>
        </w:rPr>
        <w:t>你公司报送的《</w:t>
      </w:r>
      <w:r>
        <w:rPr>
          <w:rFonts w:hint="eastAsia" w:eastAsia="仿宋_GB2312"/>
          <w:sz w:val="32"/>
          <w:szCs w:val="32"/>
        </w:rPr>
        <w:t>山西金达建材科技有限公司年产 2 万吨陶瓷熔块建设项目环境影响报告表</w:t>
      </w:r>
      <w:r>
        <w:rPr>
          <w:rFonts w:eastAsia="仿宋_GB2312"/>
          <w:sz w:val="32"/>
          <w:szCs w:val="32"/>
        </w:rPr>
        <w:t>》(以下简称《报告</w:t>
      </w:r>
      <w:r>
        <w:rPr>
          <w:rFonts w:hint="eastAsia" w:eastAsia="仿宋_GB2312"/>
          <w:sz w:val="32"/>
          <w:szCs w:val="32"/>
          <w:lang w:val="en-US" w:eastAsia="zh-CN"/>
        </w:rPr>
        <w:t>表</w:t>
      </w:r>
      <w:r>
        <w:rPr>
          <w:rFonts w:eastAsia="仿宋_GB2312"/>
          <w:sz w:val="32"/>
          <w:szCs w:val="32"/>
        </w:rPr>
        <w:t>》)及该项目报批申请已收悉。依据《中华人民共和国环境保护法》、《中华人民共和国环境影响评价法》等相关法律法规之规定。我委组织行业专家及相关部门审查完毕，结合专家审查意见，现批复如下：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eastAsia="仿宋_GB2312"/>
          <w:sz w:val="32"/>
          <w:szCs w:val="32"/>
          <w:lang w:val="en-US" w:eastAsia="zh-CN"/>
        </w:rPr>
        <w:t>一、主要建设内容：该项目占地 6 亩，建设原料库 1000平方米，成品库 800 平方米，生产车间 1000 平方米，购置节能环保型气烧窑炉及配套螺旋出料机，配套搅拌系统、循环水池、道路硬化、厂区绿化以及办公用房等。</w:t>
      </w:r>
      <w:r>
        <w:rPr>
          <w:rFonts w:eastAsia="仿宋_GB2312"/>
          <w:sz w:val="32"/>
          <w:szCs w:val="32"/>
        </w:rPr>
        <w:t>项目经文水经济开发区管理委员会备案，备案代码：</w:t>
      </w:r>
      <w:r>
        <w:rPr>
          <w:rFonts w:hint="eastAsia" w:eastAsia="仿宋_GB2312"/>
          <w:sz w:val="32"/>
          <w:szCs w:val="32"/>
        </w:rPr>
        <w:t>2304-141161-89-01-619275</w:t>
      </w:r>
      <w:r>
        <w:rPr>
          <w:rFonts w:eastAsia="仿宋_GB2312"/>
          <w:sz w:val="32"/>
          <w:szCs w:val="32"/>
        </w:rPr>
        <w:t>，</w:t>
      </w:r>
      <w:r>
        <w:rPr>
          <w:rFonts w:hint="eastAsia" w:eastAsia="仿宋_GB2312"/>
          <w:sz w:val="32"/>
          <w:szCs w:val="32"/>
          <w:lang w:val="en-US" w:eastAsia="zh-CN"/>
        </w:rPr>
        <w:t>符合国家产业政策，符合文水经济开发区规划要求。项目</w:t>
      </w:r>
      <w:r>
        <w:rPr>
          <w:rFonts w:eastAsia="仿宋_GB2312"/>
          <w:sz w:val="32"/>
          <w:szCs w:val="32"/>
        </w:rPr>
        <w:t>总投资</w:t>
      </w:r>
      <w:r>
        <w:rPr>
          <w:rFonts w:hint="eastAsia" w:eastAsia="仿宋_GB2312"/>
          <w:sz w:val="32"/>
          <w:szCs w:val="32"/>
          <w:lang w:val="en-US" w:eastAsia="zh-CN"/>
        </w:rPr>
        <w:t>1400</w:t>
      </w:r>
      <w:r>
        <w:rPr>
          <w:rFonts w:hint="eastAsia" w:eastAsia="仿宋_GB2312"/>
          <w:sz w:val="32"/>
          <w:szCs w:val="32"/>
        </w:rPr>
        <w:t>万元</w:t>
      </w:r>
      <w:r>
        <w:rPr>
          <w:rFonts w:hint="eastAsia" w:eastAsia="仿宋_GB2312"/>
          <w:sz w:val="32"/>
          <w:szCs w:val="32"/>
          <w:lang w:eastAsia="zh-CN"/>
        </w:rPr>
        <w:t>，</w:t>
      </w:r>
      <w:r>
        <w:rPr>
          <w:rFonts w:eastAsia="仿宋_GB2312"/>
          <w:sz w:val="32"/>
          <w:szCs w:val="32"/>
        </w:rPr>
        <w:t>其中环保投资</w:t>
      </w:r>
      <w:r>
        <w:rPr>
          <w:rFonts w:hint="eastAsia" w:eastAsia="仿宋_GB2312"/>
          <w:sz w:val="32"/>
          <w:szCs w:val="32"/>
          <w:lang w:val="en-US" w:eastAsia="zh-CN"/>
        </w:rPr>
        <w:t>116</w:t>
      </w:r>
      <w:r>
        <w:rPr>
          <w:rFonts w:eastAsia="仿宋_GB2312"/>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lang w:val="en-US" w:eastAsia="zh-CN"/>
        </w:rPr>
      </w:pPr>
      <w:r>
        <w:rPr>
          <w:rFonts w:eastAsia="仿宋"/>
          <w:sz w:val="32"/>
          <w:szCs w:val="32"/>
        </w:rPr>
        <w:t>你公司要全面落实环境影响报告</w:t>
      </w:r>
      <w:r>
        <w:rPr>
          <w:rFonts w:hint="eastAsia" w:eastAsia="仿宋"/>
          <w:sz w:val="32"/>
          <w:szCs w:val="32"/>
          <w:lang w:eastAsia="zh-CN"/>
        </w:rPr>
        <w:t>表</w:t>
      </w:r>
      <w:r>
        <w:rPr>
          <w:rFonts w:eastAsia="仿宋"/>
          <w:sz w:val="32"/>
          <w:szCs w:val="32"/>
        </w:rPr>
        <w:t>和本批复提出的各项污染防治措施和环境风险防范措施，缓解和控制不利环境影响。</w:t>
      </w:r>
      <w:r>
        <w:rPr>
          <w:rFonts w:eastAsia="仿宋_GB2312"/>
          <w:sz w:val="32"/>
          <w:szCs w:val="32"/>
        </w:rPr>
        <w:t>我委原则同意</w:t>
      </w:r>
      <w:r>
        <w:rPr>
          <w:rFonts w:hint="eastAsia" w:eastAsia="仿宋_GB2312"/>
          <w:sz w:val="32"/>
          <w:szCs w:val="32"/>
          <w:lang w:val="en-US" w:eastAsia="zh-CN"/>
        </w:rPr>
        <w:t>环境影响报告表中所列工程性质、地点、规模、生产工艺和环境保护对策措施及环境影响评价总体结论。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主要污染防治措施及要求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eastAsia="仿宋_GB2312"/>
          <w:sz w:val="32"/>
          <w:szCs w:val="32"/>
          <w:lang w:val="en-US" w:eastAsia="zh-CN"/>
        </w:rPr>
      </w:pPr>
      <w:r>
        <w:rPr>
          <w:rFonts w:hint="eastAsia" w:eastAsia="仿宋_GB2312"/>
          <w:sz w:val="32"/>
          <w:szCs w:val="32"/>
          <w:lang w:val="en-US" w:eastAsia="zh-CN"/>
        </w:rPr>
        <w:t xml:space="preserve">   项目在工程设计、建设和生产过程中必须认真落实环境影响报告表提出的各项环保措施和要求，重点做好以下工作：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Style w:val="13"/>
          <w:rFonts w:eastAsia="仿宋_GB2312"/>
          <w:kern w:val="0"/>
          <w:sz w:val="32"/>
          <w:szCs w:val="32"/>
        </w:rPr>
        <w:t>1、</w:t>
      </w:r>
      <w:r>
        <w:rPr>
          <w:rFonts w:eastAsia="仿宋_GB2312"/>
          <w:sz w:val="32"/>
          <w:szCs w:val="32"/>
        </w:rPr>
        <w:t>严格落实施工期大气、污水、噪声、固废等污染防治措施及生态环境保护措施。施工工地必须严格按照项目环境影响评价确定的施工全过程污染防治实施方案要求，组织落实各项污染防治措施。</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eastAsia="仿宋_GB2312"/>
          <w:sz w:val="32"/>
          <w:szCs w:val="32"/>
        </w:rPr>
        <w:t>2、严格落实</w:t>
      </w:r>
      <w:r>
        <w:rPr>
          <w:rFonts w:hint="eastAsia" w:eastAsia="仿宋_GB2312"/>
          <w:sz w:val="32"/>
          <w:szCs w:val="32"/>
          <w:lang w:val="en-US" w:eastAsia="zh-CN"/>
        </w:rPr>
        <w:t>运行期</w:t>
      </w:r>
      <w:r>
        <w:rPr>
          <w:rFonts w:eastAsia="仿宋_GB2312"/>
          <w:sz w:val="32"/>
          <w:szCs w:val="32"/>
        </w:rPr>
        <w:t>大气污染防治措施。</w:t>
      </w:r>
      <w:r>
        <w:rPr>
          <w:rFonts w:hint="eastAsia" w:eastAsia="仿宋_GB2312"/>
          <w:sz w:val="32"/>
          <w:szCs w:val="32"/>
        </w:rPr>
        <w:t>运输扬尘：厂区道路硬化，定期洒水抑尘；原料上料、配料、混料工序排气筒粉尘：在各工序产尘点分别安装集气罩，通过管道引入布袋除尘器，最后由15 米排气筒排放；节能环保型气烧窑炉排气筒烟尘、SO</w:t>
      </w:r>
      <w:r>
        <w:rPr>
          <w:rFonts w:hint="eastAsia" w:eastAsia="仿宋_GB2312"/>
          <w:sz w:val="32"/>
          <w:szCs w:val="32"/>
          <w:vertAlign w:val="subscript"/>
        </w:rPr>
        <w:t>2</w:t>
      </w:r>
      <w:r>
        <w:rPr>
          <w:rFonts w:hint="eastAsia" w:eastAsia="仿宋_GB2312"/>
          <w:sz w:val="32"/>
          <w:szCs w:val="32"/>
        </w:rPr>
        <w:t>、NO</w:t>
      </w:r>
      <w:r>
        <w:rPr>
          <w:rFonts w:hint="eastAsia" w:eastAsia="仿宋_GB2312"/>
          <w:sz w:val="32"/>
          <w:szCs w:val="32"/>
          <w:vertAlign w:val="subscript"/>
        </w:rPr>
        <w:t>X</w:t>
      </w:r>
      <w:r>
        <w:rPr>
          <w:rFonts w:hint="eastAsia" w:eastAsia="仿宋_GB2312"/>
          <w:sz w:val="32"/>
          <w:szCs w:val="32"/>
        </w:rPr>
        <w:t>：使用焦炉煤气，配套SCR脱硝系统+干法脱硫+布袋除尘器，处理后废气经25m排气筒排放。</w:t>
      </w:r>
      <w:r>
        <w:rPr>
          <w:rFonts w:eastAsia="仿宋_GB2312"/>
          <w:sz w:val="32"/>
          <w:szCs w:val="32"/>
        </w:rPr>
        <w:t>经过以上措施处理后</w:t>
      </w:r>
      <w:r>
        <w:rPr>
          <w:rFonts w:hint="eastAsia" w:eastAsia="仿宋_GB2312"/>
          <w:sz w:val="32"/>
          <w:szCs w:val="32"/>
          <w:lang w:val="en-US" w:eastAsia="zh-CN"/>
        </w:rPr>
        <w:t>确</w:t>
      </w:r>
      <w:r>
        <w:rPr>
          <w:rFonts w:hint="eastAsia" w:ascii="仿宋_GB2312" w:hAnsi="仿宋_GB2312" w:eastAsia="仿宋_GB2312" w:cs="仿宋_GB2312"/>
          <w:sz w:val="32"/>
          <w:szCs w:val="32"/>
          <w:lang w:val="en-US" w:eastAsia="zh-CN"/>
        </w:rPr>
        <w:t>保大气污染排放满足《</w:t>
      </w:r>
      <w:bookmarkStart w:id="0" w:name="_GoBack"/>
      <w:bookmarkEnd w:id="0"/>
      <w:r>
        <w:rPr>
          <w:rFonts w:hint="eastAsia" w:ascii="仿宋_GB2312" w:hAnsi="仿宋_GB2312" w:eastAsia="仿宋_GB2312" w:cs="仿宋_GB2312"/>
          <w:sz w:val="32"/>
          <w:szCs w:val="32"/>
          <w:lang w:val="en-US" w:eastAsia="zh-CN"/>
        </w:rPr>
        <w:t>大气污染物综合排放标准》（GB16297- 1996）、《吕梁市工业炉窑治理专项行动方案》。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lang w:val="en-US" w:eastAsia="zh-CN"/>
        </w:rPr>
      </w:pPr>
      <w:r>
        <w:rPr>
          <w:rFonts w:eastAsia="仿宋_GB2312"/>
          <w:sz w:val="32"/>
          <w:szCs w:val="32"/>
        </w:rPr>
        <w:t>3、严格落实</w:t>
      </w:r>
      <w:r>
        <w:rPr>
          <w:rFonts w:hint="eastAsia" w:eastAsia="仿宋_GB2312"/>
          <w:sz w:val="32"/>
          <w:szCs w:val="32"/>
          <w:lang w:val="en-US" w:eastAsia="zh-CN"/>
        </w:rPr>
        <w:t>运行期</w:t>
      </w:r>
      <w:r>
        <w:rPr>
          <w:rFonts w:eastAsia="仿宋_GB2312"/>
          <w:sz w:val="32"/>
          <w:szCs w:val="32"/>
        </w:rPr>
        <w:t>噪声污染防治措施。</w:t>
      </w:r>
      <w:r>
        <w:rPr>
          <w:rFonts w:hint="eastAsia" w:eastAsia="仿宋_GB2312"/>
          <w:sz w:val="32"/>
          <w:szCs w:val="32"/>
        </w:rPr>
        <w:t>车间合理布局，基础减振，密闭隔声；运输车辆加强管理、减速、限鸣。</w:t>
      </w:r>
      <w:r>
        <w:rPr>
          <w:rFonts w:eastAsia="仿宋_GB2312"/>
          <w:sz w:val="32"/>
          <w:szCs w:val="32"/>
        </w:rPr>
        <w:t>经过以上措施处理后确保噪声污染防治满足</w:t>
      </w:r>
      <w:r>
        <w:rPr>
          <w:rFonts w:hint="eastAsia" w:eastAsia="仿宋_GB2312"/>
          <w:sz w:val="32"/>
          <w:szCs w:val="32"/>
        </w:rPr>
        <w:t>《工业企业厂界环境噪声排放标准》（GB12348- 2008）</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4</w:t>
      </w:r>
      <w:r>
        <w:rPr>
          <w:rFonts w:eastAsia="仿宋_GB2312"/>
          <w:sz w:val="32"/>
          <w:szCs w:val="32"/>
        </w:rPr>
        <w:t>、严格落实</w:t>
      </w:r>
      <w:r>
        <w:rPr>
          <w:rFonts w:hint="eastAsia" w:eastAsia="仿宋_GB2312"/>
          <w:sz w:val="32"/>
          <w:szCs w:val="32"/>
          <w:lang w:val="en-US" w:eastAsia="zh-CN"/>
        </w:rPr>
        <w:t>运行期</w:t>
      </w:r>
      <w:r>
        <w:rPr>
          <w:rFonts w:eastAsia="仿宋_GB2312"/>
          <w:sz w:val="32"/>
          <w:szCs w:val="32"/>
        </w:rPr>
        <w:t>固体废物处理处置。</w:t>
      </w:r>
      <w:r>
        <w:rPr>
          <w:rFonts w:hint="eastAsia" w:eastAsia="仿宋_GB2312"/>
          <w:sz w:val="32"/>
          <w:szCs w:val="32"/>
        </w:rPr>
        <w:t>脉冲布袋除尘器收集的除尘灰收集后回用于生产；脱硫粉收集后作为水泥生产原料综合利用；废脱硝催化剂由厂家回收；散落熔块定期清理后晾干后全部回用于生产；废包装袋外售废品收购单位；废机油、废润滑油暂存于危险废物暂存间内，定期交由有资质单位处理；员工生活产生的生活垃圾统一收集交由环卫部门统一处理。</w:t>
      </w:r>
      <w:r>
        <w:rPr>
          <w:rFonts w:eastAsia="仿宋_GB2312"/>
          <w:sz w:val="32"/>
          <w:szCs w:val="32"/>
        </w:rPr>
        <w:t>经过以上措施处理后</w:t>
      </w:r>
      <w:r>
        <w:rPr>
          <w:rFonts w:hint="eastAsia" w:eastAsia="仿宋_GB2312"/>
          <w:sz w:val="32"/>
          <w:szCs w:val="32"/>
          <w:lang w:val="en-US" w:eastAsia="zh-CN"/>
        </w:rPr>
        <w:t>确保固废合理处置，不会对周围环境产生影响。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sz w:val="32"/>
          <w:szCs w:val="32"/>
          <w:lang w:val="en-US" w:eastAsia="zh-CN"/>
        </w:rPr>
        <w:t>5、</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val="en-US" w:eastAsia="zh-CN"/>
        </w:rPr>
        <w:t>地表水环境</w:t>
      </w:r>
      <w:r>
        <w:rPr>
          <w:rFonts w:hint="eastAsia" w:ascii="仿宋_GB2312" w:hAnsi="仿宋_GB2312" w:eastAsia="仿宋_GB2312" w:cs="仿宋_GB2312"/>
          <w:sz w:val="32"/>
          <w:szCs w:val="32"/>
        </w:rPr>
        <w:t>污染防治措施</w:t>
      </w:r>
      <w:r>
        <w:rPr>
          <w:rFonts w:hint="eastAsia" w:ascii="仿宋_GB2312" w:hAnsi="仿宋_GB2312" w:eastAsia="仿宋_GB2312" w:cs="仿宋_GB2312"/>
          <w:sz w:val="32"/>
          <w:szCs w:val="32"/>
          <w:lang w:eastAsia="zh-CN"/>
        </w:rPr>
        <w:t>。生活污水：生活区设有旱厕，水质简单，用于厂区洒水抑尘，不外排；生产废水：主要为熔块冷却水，循环使用，定期排放回用于道路洒水；洗车废水：经三级沉淀池沉淀后循环使用；初期雨水：厂区地势最低处设有初期雨水池，初期雨水经沉淀后回用于厂区洒水抑尘。</w:t>
      </w:r>
      <w:r>
        <w:rPr>
          <w:rFonts w:eastAsia="仿宋_GB2312"/>
          <w:sz w:val="32"/>
          <w:szCs w:val="32"/>
        </w:rPr>
        <w:t>经过以上措施处理后</w:t>
      </w:r>
      <w:r>
        <w:rPr>
          <w:rFonts w:hint="eastAsia" w:eastAsia="仿宋_GB2312"/>
          <w:sz w:val="32"/>
          <w:szCs w:val="32"/>
          <w:lang w:val="en-US" w:eastAsia="zh-CN"/>
        </w:rPr>
        <w:t>确保地表水污染合理处置，不会对周围环境产生影响。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严格落实土壤及地下水污染防治措施。土壤：①在本项目占地范围外下风向一侧种植树木，将排气筒排放的污染物尽量控制在占地范围内以减少对周边土壤环境的影响；②危废暂存间：按照《危险废物贮存污染控制标准》（GB18597-2023）中相关要求进行危险废物暂存间建设及危险废物贮存。 地下水：严格按照各类防渗区防渗技术要求进行防渗工作。</w:t>
      </w:r>
    </w:p>
    <w:p>
      <w:pPr>
        <w:pStyle w:val="2"/>
        <w:keepNext w:val="0"/>
        <w:keepLines w:val="0"/>
        <w:pageBreakBefore w:val="0"/>
        <w:kinsoku/>
        <w:wordWrap/>
        <w:overflowPunct/>
        <w:topLinePunct w:val="0"/>
        <w:autoSpaceDE/>
        <w:autoSpaceDN/>
        <w:bidi w:val="0"/>
        <w:spacing w:line="560" w:lineRule="exact"/>
        <w:textAlignment w:val="auto"/>
        <w:rPr>
          <w:rFonts w:hint="eastAsia" w:eastAsia="仿宋_GB2312"/>
          <w:color w:val="000000"/>
          <w:kern w:val="0"/>
          <w:sz w:val="32"/>
          <w:szCs w:val="32"/>
          <w:lang w:val="en-US" w:eastAsia="zh-CN" w:bidi="ar"/>
        </w:rPr>
      </w:pPr>
      <w:r>
        <w:rPr>
          <w:rFonts w:hint="eastAsia" w:eastAsia="仿宋_GB2312"/>
          <w:color w:val="000000"/>
          <w:kern w:val="0"/>
          <w:sz w:val="32"/>
          <w:szCs w:val="32"/>
          <w:lang w:val="en-US" w:eastAsia="zh-CN" w:bidi="ar"/>
        </w:rPr>
        <w:t>7、严格落实报告表提出的环境风险防范措施。加强项目环境风险管控，按照报告表中环境风险防范措施要求制定有效的应急预案并采取可靠的防范措施，防止安全生产事故引发环境污染，确保环境安全。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eastAsia" w:eastAsia="仿宋_GB2312"/>
          <w:color w:val="000000"/>
          <w:kern w:val="0"/>
          <w:sz w:val="32"/>
          <w:szCs w:val="32"/>
          <w:lang w:val="en-US" w:eastAsia="zh-CN" w:bidi="ar"/>
        </w:rPr>
        <w:t>三、严格落实污染物排放总量控制指标。项目产生的污染物排放量须满足吕梁市生态环境局文水分局核定的总量控制指标：颗粒物1.246t/a、二氧化硫1.111t/a、氮氧化物2.13t/a。</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lang w:val="en-US" w:eastAsia="zh-CN"/>
        </w:rPr>
        <w:t>四、</w:t>
      </w:r>
      <w:r>
        <w:rPr>
          <w:rFonts w:eastAsia="仿宋_GB2312"/>
          <w:sz w:val="32"/>
          <w:szCs w:val="32"/>
        </w:rPr>
        <w:t>项目建设必须严格执行配套建设的环境保护设施与主体工程同时设计、同时施工、同时投产使用的环境保护“三同时”制度。项目建成后按要求落实排污许可制度并完成项目竣工环境保护验收工作。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color w:val="000000"/>
          <w:kern w:val="0"/>
          <w:sz w:val="32"/>
          <w:szCs w:val="32"/>
          <w:lang w:val="en-US" w:eastAsia="zh-CN" w:bidi="ar"/>
        </w:rPr>
        <w:t>五、</w:t>
      </w:r>
      <w:r>
        <w:rPr>
          <w:rFonts w:eastAsia="仿宋_GB2312"/>
          <w:color w:val="000000"/>
          <w:kern w:val="0"/>
          <w:sz w:val="32"/>
          <w:szCs w:val="32"/>
          <w:lang w:bidi="ar"/>
        </w:rPr>
        <w:t>你公司应按规定接受各级环境保护行政主管部门的监督检查和日常管理。</w:t>
      </w:r>
    </w:p>
    <w:p>
      <w:pPr>
        <w:keepNext w:val="0"/>
        <w:keepLines w:val="0"/>
        <w:pageBreakBefore w:val="0"/>
        <w:widowControl w:val="0"/>
        <w:kinsoku/>
        <w:wordWrap/>
        <w:overflowPunct/>
        <w:topLinePunct w:val="0"/>
        <w:autoSpaceDE/>
        <w:autoSpaceDN/>
        <w:bidi w:val="0"/>
        <w:spacing w:line="56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3840" w:firstLineChars="1200"/>
        <w:textAlignment w:val="auto"/>
        <w:rPr>
          <w:rFonts w:eastAsia="仿宋_GB2312"/>
          <w:sz w:val="32"/>
          <w:szCs w:val="32"/>
        </w:rPr>
      </w:pPr>
      <w:r>
        <w:rPr>
          <w:rFonts w:eastAsia="仿宋_GB2312"/>
          <w:sz w:val="32"/>
          <w:szCs w:val="32"/>
        </w:rPr>
        <w:t>文水经济开发区管理委员会</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eastAsia="仿宋_GB2312"/>
          <w:sz w:val="32"/>
          <w:szCs w:val="32"/>
          <w:highlight w:val="none"/>
        </w:rPr>
      </w:pPr>
      <w:r>
        <w:rPr>
          <w:rFonts w:eastAsia="仿宋_GB2312"/>
          <w:sz w:val="32"/>
          <w:szCs w:val="32"/>
          <w:highlight w:val="none"/>
        </w:rPr>
        <w:t>202</w:t>
      </w:r>
      <w:r>
        <w:rPr>
          <w:rFonts w:hint="default" w:eastAsia="仿宋_GB2312"/>
          <w:sz w:val="32"/>
          <w:szCs w:val="32"/>
          <w:highlight w:val="none"/>
          <w:lang w:eastAsia="zh-CN"/>
        </w:rPr>
        <w:t>3</w:t>
      </w:r>
      <w:r>
        <w:rPr>
          <w:rFonts w:eastAsia="仿宋_GB2312"/>
          <w:sz w:val="32"/>
          <w:szCs w:val="32"/>
          <w:highlight w:val="none"/>
        </w:rPr>
        <w:t>年</w:t>
      </w:r>
      <w:r>
        <w:rPr>
          <w:rFonts w:hint="eastAsia" w:eastAsia="仿宋_GB2312"/>
          <w:sz w:val="32"/>
          <w:szCs w:val="32"/>
          <w:highlight w:val="none"/>
          <w:lang w:val="en-US" w:eastAsia="zh-CN"/>
        </w:rPr>
        <w:t>8</w:t>
      </w:r>
      <w:r>
        <w:rPr>
          <w:rFonts w:eastAsia="仿宋_GB2312"/>
          <w:sz w:val="32"/>
          <w:szCs w:val="32"/>
          <w:highlight w:val="none"/>
        </w:rPr>
        <w:t>月</w:t>
      </w:r>
      <w:r>
        <w:rPr>
          <w:rFonts w:hint="eastAsia" w:eastAsia="仿宋_GB2312"/>
          <w:sz w:val="32"/>
          <w:szCs w:val="32"/>
          <w:highlight w:val="none"/>
          <w:lang w:val="en-US" w:eastAsia="zh-CN"/>
        </w:rPr>
        <w:t>30</w:t>
      </w:r>
      <w:r>
        <w:rPr>
          <w:rFonts w:eastAsia="仿宋_GB2312"/>
          <w:sz w:val="32"/>
          <w:szCs w:val="32"/>
          <w:highlight w:val="none"/>
        </w:rPr>
        <w:t>日</w:t>
      </w:r>
    </w:p>
    <w:p>
      <w:pPr>
        <w:keepNext w:val="0"/>
        <w:keepLines w:val="0"/>
        <w:pageBreakBefore w:val="0"/>
        <w:widowControl w:val="0"/>
        <w:kinsoku/>
        <w:wordWrap/>
        <w:overflowPunct/>
        <w:topLinePunct w:val="0"/>
        <w:autoSpaceDE/>
        <w:autoSpaceDN/>
        <w:bidi w:val="0"/>
        <w:spacing w:line="560" w:lineRule="exact"/>
        <w:jc w:val="left"/>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spacing w:line="560" w:lineRule="exact"/>
        <w:jc w:val="left"/>
        <w:textAlignment w:val="auto"/>
        <w:rPr>
          <w:rFonts w:eastAsia="仿宋_GB2312"/>
          <w:sz w:val="32"/>
          <w:szCs w:val="32"/>
          <w:u w:val="thick"/>
        </w:rPr>
      </w:pPr>
      <w:r>
        <w:rPr>
          <w:rFonts w:eastAsia="仿宋_GB2312"/>
          <w:sz w:val="32"/>
          <w:szCs w:val="32"/>
          <w:u w:val="thick"/>
        </w:rPr>
        <w:t xml:space="preserve">                                       </w:t>
      </w:r>
      <w:r>
        <w:rPr>
          <w:rFonts w:hint="eastAsia" w:eastAsia="仿宋_GB2312"/>
          <w:sz w:val="32"/>
          <w:szCs w:val="32"/>
          <w:u w:val="thick"/>
          <w:lang w:val="en-US" w:eastAsia="zh-CN"/>
        </w:rPr>
        <w:t xml:space="preserve"> </w:t>
      </w:r>
      <w:r>
        <w:rPr>
          <w:rFonts w:eastAsia="仿宋_GB2312"/>
          <w:sz w:val="32"/>
          <w:szCs w:val="32"/>
          <w:u w:val="thick"/>
        </w:rPr>
        <w:t xml:space="preserve">  </w:t>
      </w:r>
      <w:r>
        <w:rPr>
          <w:rFonts w:hint="eastAsia" w:eastAsia="仿宋_GB2312"/>
          <w:sz w:val="32"/>
          <w:szCs w:val="32"/>
          <w:u w:val="thick"/>
          <w:lang w:val="en-US" w:eastAsia="zh-CN"/>
        </w:rPr>
        <w:t xml:space="preserve"> </w:t>
      </w:r>
      <w:r>
        <w:rPr>
          <w:rFonts w:eastAsia="仿宋_GB2312"/>
          <w:sz w:val="32"/>
          <w:szCs w:val="32"/>
          <w:u w:val="thick"/>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eastAsia="仿宋_GB2312"/>
          <w:sz w:val="32"/>
          <w:szCs w:val="32"/>
          <w:u w:val="single"/>
        </w:rPr>
      </w:pPr>
      <w:r>
        <w:rPr>
          <w:rFonts w:eastAsia="仿宋_GB2312"/>
          <w:w w:val="90"/>
          <w:sz w:val="32"/>
          <w:szCs w:val="32"/>
          <w:u w:val="single"/>
        </w:rPr>
        <w:t xml:space="preserve">抄送：吕梁市生态环境局、吕梁市生态环境局文水分局                        </w:t>
      </w:r>
      <w:r>
        <w:rPr>
          <w:rFonts w:eastAsia="仿宋_GB2312"/>
          <w:sz w:val="32"/>
          <w:szCs w:val="32"/>
          <w:u w:val="single"/>
        </w:rPr>
        <w:t xml:space="preserve">    </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eastAsia="仿宋_GB2312"/>
          <w:kern w:val="0"/>
          <w:sz w:val="28"/>
          <w:szCs w:val="28"/>
          <w:highlight w:val="none"/>
          <w:u w:val="thick"/>
        </w:rPr>
      </w:pPr>
      <w:r>
        <w:rPr>
          <w:rFonts w:eastAsia="仿宋_GB2312"/>
          <w:kern w:val="0"/>
          <w:sz w:val="28"/>
          <w:szCs w:val="28"/>
          <w:u w:val="thick"/>
        </w:rPr>
        <w:t xml:space="preserve">文水经济开发区管理委员会        </w:t>
      </w:r>
      <w:r>
        <w:rPr>
          <w:rFonts w:hint="eastAsia" w:eastAsia="仿宋_GB2312"/>
          <w:kern w:val="0"/>
          <w:sz w:val="28"/>
          <w:szCs w:val="28"/>
          <w:u w:val="thick"/>
          <w:lang w:val="en-US" w:eastAsia="zh-CN"/>
        </w:rPr>
        <w:t xml:space="preserve">    </w:t>
      </w:r>
      <w:r>
        <w:rPr>
          <w:rFonts w:eastAsia="仿宋_GB2312"/>
          <w:kern w:val="0"/>
          <w:sz w:val="28"/>
          <w:szCs w:val="28"/>
          <w:u w:val="thick"/>
        </w:rPr>
        <w:t xml:space="preserve">   </w:t>
      </w:r>
      <w:r>
        <w:rPr>
          <w:rFonts w:hint="eastAsia" w:eastAsia="仿宋_GB2312"/>
          <w:kern w:val="0"/>
          <w:sz w:val="28"/>
          <w:szCs w:val="28"/>
          <w:u w:val="thick"/>
          <w:lang w:val="en-US" w:eastAsia="zh-CN"/>
        </w:rPr>
        <w:t xml:space="preserve">  </w:t>
      </w:r>
      <w:r>
        <w:rPr>
          <w:rFonts w:eastAsia="仿宋_GB2312"/>
          <w:kern w:val="0"/>
          <w:sz w:val="28"/>
          <w:szCs w:val="28"/>
          <w:highlight w:val="none"/>
          <w:u w:val="thick"/>
        </w:rPr>
        <w:t>202</w:t>
      </w:r>
      <w:r>
        <w:rPr>
          <w:rFonts w:hint="eastAsia" w:eastAsia="仿宋_GB2312"/>
          <w:kern w:val="0"/>
          <w:sz w:val="28"/>
          <w:szCs w:val="28"/>
          <w:highlight w:val="none"/>
          <w:u w:val="thick"/>
          <w:lang w:val="en-US" w:eastAsia="zh-CN"/>
        </w:rPr>
        <w:t>3</w:t>
      </w:r>
      <w:r>
        <w:rPr>
          <w:rFonts w:eastAsia="仿宋_GB2312"/>
          <w:kern w:val="0"/>
          <w:sz w:val="28"/>
          <w:szCs w:val="28"/>
          <w:highlight w:val="none"/>
          <w:u w:val="thick"/>
        </w:rPr>
        <w:t>年</w:t>
      </w:r>
      <w:r>
        <w:rPr>
          <w:rFonts w:hint="eastAsia" w:eastAsia="仿宋_GB2312"/>
          <w:kern w:val="0"/>
          <w:sz w:val="28"/>
          <w:szCs w:val="28"/>
          <w:highlight w:val="none"/>
          <w:u w:val="thick"/>
          <w:lang w:val="en-US" w:eastAsia="zh-CN"/>
        </w:rPr>
        <w:t>8</w:t>
      </w:r>
      <w:r>
        <w:rPr>
          <w:rFonts w:eastAsia="仿宋_GB2312"/>
          <w:kern w:val="0"/>
          <w:sz w:val="28"/>
          <w:szCs w:val="28"/>
          <w:highlight w:val="none"/>
          <w:u w:val="thick"/>
        </w:rPr>
        <w:t>月</w:t>
      </w:r>
      <w:r>
        <w:rPr>
          <w:rFonts w:hint="eastAsia" w:eastAsia="仿宋_GB2312"/>
          <w:kern w:val="0"/>
          <w:sz w:val="28"/>
          <w:szCs w:val="28"/>
          <w:highlight w:val="none"/>
          <w:u w:val="thick"/>
          <w:lang w:val="en-US" w:eastAsia="zh-CN"/>
        </w:rPr>
        <w:t>30</w:t>
      </w:r>
      <w:r>
        <w:rPr>
          <w:rFonts w:eastAsia="仿宋_GB2312"/>
          <w:kern w:val="0"/>
          <w:sz w:val="28"/>
          <w:szCs w:val="28"/>
          <w:highlight w:val="none"/>
          <w:u w:val="thick"/>
        </w:rPr>
        <w:t>日印发</w:t>
      </w:r>
    </w:p>
    <w:sectPr>
      <w:pgSz w:w="11906" w:h="16838"/>
      <w:pgMar w:top="166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5CF90"/>
    <w:multiLevelType w:val="singleLevel"/>
    <w:tmpl w:val="D6D5CF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ZmZkOTA5YWE2NGY2ZTVkYmFjYThiZDljZmZiNDIifQ=="/>
  </w:docVars>
  <w:rsids>
    <w:rsidRoot w:val="26694D6D"/>
    <w:rsid w:val="00095E8E"/>
    <w:rsid w:val="000A3635"/>
    <w:rsid w:val="001436A7"/>
    <w:rsid w:val="0019276C"/>
    <w:rsid w:val="001C048E"/>
    <w:rsid w:val="001E685D"/>
    <w:rsid w:val="00203C1A"/>
    <w:rsid w:val="002D68F9"/>
    <w:rsid w:val="0048247F"/>
    <w:rsid w:val="004C5B08"/>
    <w:rsid w:val="004C662A"/>
    <w:rsid w:val="004F4D2E"/>
    <w:rsid w:val="0051000C"/>
    <w:rsid w:val="00576D3E"/>
    <w:rsid w:val="006D6DB4"/>
    <w:rsid w:val="00745FCE"/>
    <w:rsid w:val="0078129F"/>
    <w:rsid w:val="00790D22"/>
    <w:rsid w:val="007F0B1C"/>
    <w:rsid w:val="008D201F"/>
    <w:rsid w:val="00921690"/>
    <w:rsid w:val="00A23E3D"/>
    <w:rsid w:val="00AB2C33"/>
    <w:rsid w:val="00B13D2E"/>
    <w:rsid w:val="00B273A4"/>
    <w:rsid w:val="00B41366"/>
    <w:rsid w:val="00B95F52"/>
    <w:rsid w:val="00BB24DB"/>
    <w:rsid w:val="00BC2242"/>
    <w:rsid w:val="00C356FC"/>
    <w:rsid w:val="00CB4B2B"/>
    <w:rsid w:val="00CC5482"/>
    <w:rsid w:val="00D62944"/>
    <w:rsid w:val="00DE0CDB"/>
    <w:rsid w:val="00DF4829"/>
    <w:rsid w:val="00E053F4"/>
    <w:rsid w:val="00E158AF"/>
    <w:rsid w:val="00E371E7"/>
    <w:rsid w:val="00EF0384"/>
    <w:rsid w:val="00F907CF"/>
    <w:rsid w:val="00FB38ED"/>
    <w:rsid w:val="01B41EC2"/>
    <w:rsid w:val="01E20BD3"/>
    <w:rsid w:val="02581503"/>
    <w:rsid w:val="025C2544"/>
    <w:rsid w:val="02825CC9"/>
    <w:rsid w:val="02B57ACD"/>
    <w:rsid w:val="03100B91"/>
    <w:rsid w:val="036D41A2"/>
    <w:rsid w:val="039B617D"/>
    <w:rsid w:val="03A569EC"/>
    <w:rsid w:val="03B41182"/>
    <w:rsid w:val="03E734DD"/>
    <w:rsid w:val="04336690"/>
    <w:rsid w:val="049B0960"/>
    <w:rsid w:val="05B92FEF"/>
    <w:rsid w:val="06412896"/>
    <w:rsid w:val="06C94F09"/>
    <w:rsid w:val="06D66ABD"/>
    <w:rsid w:val="073E2BD5"/>
    <w:rsid w:val="0740351F"/>
    <w:rsid w:val="08FD2E27"/>
    <w:rsid w:val="091D18A2"/>
    <w:rsid w:val="0A651B20"/>
    <w:rsid w:val="0ACC0C9B"/>
    <w:rsid w:val="0AD7027A"/>
    <w:rsid w:val="0B8F510F"/>
    <w:rsid w:val="0BC32105"/>
    <w:rsid w:val="0BE43942"/>
    <w:rsid w:val="0C6726B6"/>
    <w:rsid w:val="0C9B68E9"/>
    <w:rsid w:val="0CF6195F"/>
    <w:rsid w:val="0CFA56B0"/>
    <w:rsid w:val="0E3810A1"/>
    <w:rsid w:val="0EDD37E9"/>
    <w:rsid w:val="0F1B3B6F"/>
    <w:rsid w:val="0FF31BA3"/>
    <w:rsid w:val="104A2A8B"/>
    <w:rsid w:val="11A402E3"/>
    <w:rsid w:val="12856D4D"/>
    <w:rsid w:val="12EB2D77"/>
    <w:rsid w:val="12F274B4"/>
    <w:rsid w:val="12F72695"/>
    <w:rsid w:val="1346010F"/>
    <w:rsid w:val="13C93611"/>
    <w:rsid w:val="143472AD"/>
    <w:rsid w:val="14426DE4"/>
    <w:rsid w:val="145A0569"/>
    <w:rsid w:val="15072DEB"/>
    <w:rsid w:val="15806AB7"/>
    <w:rsid w:val="1638543C"/>
    <w:rsid w:val="177C1C15"/>
    <w:rsid w:val="17807980"/>
    <w:rsid w:val="18061E08"/>
    <w:rsid w:val="181E2472"/>
    <w:rsid w:val="18DB00FF"/>
    <w:rsid w:val="19962C07"/>
    <w:rsid w:val="199A0D03"/>
    <w:rsid w:val="1AC37FD5"/>
    <w:rsid w:val="1ADA5C6F"/>
    <w:rsid w:val="1AE37FE9"/>
    <w:rsid w:val="1AED2F6A"/>
    <w:rsid w:val="1AFC1A94"/>
    <w:rsid w:val="1C5D220F"/>
    <w:rsid w:val="1C686AE6"/>
    <w:rsid w:val="1C7A40C1"/>
    <w:rsid w:val="1D681394"/>
    <w:rsid w:val="1DFA6E6E"/>
    <w:rsid w:val="1F04050F"/>
    <w:rsid w:val="1F2172BB"/>
    <w:rsid w:val="1FB37371"/>
    <w:rsid w:val="1FB52F37"/>
    <w:rsid w:val="1FDF6641"/>
    <w:rsid w:val="202964C4"/>
    <w:rsid w:val="203A0AC5"/>
    <w:rsid w:val="20447E45"/>
    <w:rsid w:val="207264A1"/>
    <w:rsid w:val="20CA4A1B"/>
    <w:rsid w:val="210533A3"/>
    <w:rsid w:val="212109DE"/>
    <w:rsid w:val="212C1EC6"/>
    <w:rsid w:val="213E5804"/>
    <w:rsid w:val="214933EF"/>
    <w:rsid w:val="217665CE"/>
    <w:rsid w:val="21B21367"/>
    <w:rsid w:val="2202393F"/>
    <w:rsid w:val="22281BC0"/>
    <w:rsid w:val="224149BC"/>
    <w:rsid w:val="2271735A"/>
    <w:rsid w:val="23741E03"/>
    <w:rsid w:val="23CB324F"/>
    <w:rsid w:val="23D464D8"/>
    <w:rsid w:val="23EC1797"/>
    <w:rsid w:val="24303965"/>
    <w:rsid w:val="24B827C8"/>
    <w:rsid w:val="26043243"/>
    <w:rsid w:val="260A1B6B"/>
    <w:rsid w:val="264D73AF"/>
    <w:rsid w:val="26694D6D"/>
    <w:rsid w:val="268B5166"/>
    <w:rsid w:val="26A36F28"/>
    <w:rsid w:val="26EE7B71"/>
    <w:rsid w:val="26F27FCF"/>
    <w:rsid w:val="270F308A"/>
    <w:rsid w:val="2748074E"/>
    <w:rsid w:val="27691635"/>
    <w:rsid w:val="27BF77CD"/>
    <w:rsid w:val="28A62AF7"/>
    <w:rsid w:val="28BF7531"/>
    <w:rsid w:val="29252940"/>
    <w:rsid w:val="292E5EBB"/>
    <w:rsid w:val="29E01DA0"/>
    <w:rsid w:val="2A2306BD"/>
    <w:rsid w:val="2A7502E9"/>
    <w:rsid w:val="2AAA494F"/>
    <w:rsid w:val="2B8525EF"/>
    <w:rsid w:val="2BDE3F66"/>
    <w:rsid w:val="2C257FBF"/>
    <w:rsid w:val="2C363542"/>
    <w:rsid w:val="2CD13EB4"/>
    <w:rsid w:val="2E22706B"/>
    <w:rsid w:val="2E266AB4"/>
    <w:rsid w:val="2E313CC4"/>
    <w:rsid w:val="2E553DFF"/>
    <w:rsid w:val="2E7E6708"/>
    <w:rsid w:val="2E935E77"/>
    <w:rsid w:val="2E9A27A4"/>
    <w:rsid w:val="2F7E7F6E"/>
    <w:rsid w:val="309A7844"/>
    <w:rsid w:val="30DC2C76"/>
    <w:rsid w:val="31233F5D"/>
    <w:rsid w:val="32DA7F77"/>
    <w:rsid w:val="32FF30B0"/>
    <w:rsid w:val="33712348"/>
    <w:rsid w:val="33C345F8"/>
    <w:rsid w:val="346F48F6"/>
    <w:rsid w:val="34764867"/>
    <w:rsid w:val="34B42E83"/>
    <w:rsid w:val="34CB3CB5"/>
    <w:rsid w:val="34F97EA3"/>
    <w:rsid w:val="35000B00"/>
    <w:rsid w:val="35A3775F"/>
    <w:rsid w:val="360C4FC1"/>
    <w:rsid w:val="3619091C"/>
    <w:rsid w:val="372739A9"/>
    <w:rsid w:val="37BB3F92"/>
    <w:rsid w:val="37C37A23"/>
    <w:rsid w:val="37E016D7"/>
    <w:rsid w:val="391240F0"/>
    <w:rsid w:val="39DF4DCD"/>
    <w:rsid w:val="3A876E57"/>
    <w:rsid w:val="3A995C5C"/>
    <w:rsid w:val="3B8A161F"/>
    <w:rsid w:val="3BC774D3"/>
    <w:rsid w:val="3C4A20EA"/>
    <w:rsid w:val="3C872FFC"/>
    <w:rsid w:val="3D1244B0"/>
    <w:rsid w:val="3D255DD8"/>
    <w:rsid w:val="3D5567B2"/>
    <w:rsid w:val="3DA470FD"/>
    <w:rsid w:val="3DFD1F97"/>
    <w:rsid w:val="3E015BE4"/>
    <w:rsid w:val="3E225E80"/>
    <w:rsid w:val="3E265A58"/>
    <w:rsid w:val="3E932392"/>
    <w:rsid w:val="3EDC3534"/>
    <w:rsid w:val="3F446ADE"/>
    <w:rsid w:val="3F544743"/>
    <w:rsid w:val="3F556ACF"/>
    <w:rsid w:val="3FB87213"/>
    <w:rsid w:val="40013FCD"/>
    <w:rsid w:val="400569B0"/>
    <w:rsid w:val="40684118"/>
    <w:rsid w:val="41807E63"/>
    <w:rsid w:val="41D21032"/>
    <w:rsid w:val="41FC78C8"/>
    <w:rsid w:val="421E258F"/>
    <w:rsid w:val="426B25D4"/>
    <w:rsid w:val="431F1C0E"/>
    <w:rsid w:val="43300E55"/>
    <w:rsid w:val="433044FD"/>
    <w:rsid w:val="43D03E74"/>
    <w:rsid w:val="44352FB9"/>
    <w:rsid w:val="449A549F"/>
    <w:rsid w:val="44F91756"/>
    <w:rsid w:val="458628E9"/>
    <w:rsid w:val="45901228"/>
    <w:rsid w:val="45A63882"/>
    <w:rsid w:val="45B778DE"/>
    <w:rsid w:val="45EB2C74"/>
    <w:rsid w:val="45F20916"/>
    <w:rsid w:val="462A3940"/>
    <w:rsid w:val="469C1F45"/>
    <w:rsid w:val="46F94A83"/>
    <w:rsid w:val="47A33CFE"/>
    <w:rsid w:val="48474F49"/>
    <w:rsid w:val="484A5D44"/>
    <w:rsid w:val="48751E9B"/>
    <w:rsid w:val="48A8591D"/>
    <w:rsid w:val="48BA1BBF"/>
    <w:rsid w:val="491F1D83"/>
    <w:rsid w:val="4948430A"/>
    <w:rsid w:val="496646D2"/>
    <w:rsid w:val="4AA24002"/>
    <w:rsid w:val="4AE90539"/>
    <w:rsid w:val="4B7B04BB"/>
    <w:rsid w:val="4C065A07"/>
    <w:rsid w:val="4C1669DA"/>
    <w:rsid w:val="4C5D2215"/>
    <w:rsid w:val="4CD03BD8"/>
    <w:rsid w:val="4D0478AD"/>
    <w:rsid w:val="4D600263"/>
    <w:rsid w:val="4DCB4939"/>
    <w:rsid w:val="4E112812"/>
    <w:rsid w:val="4E6134C0"/>
    <w:rsid w:val="4E73688E"/>
    <w:rsid w:val="4E7452A7"/>
    <w:rsid w:val="4E772300"/>
    <w:rsid w:val="4E7B2BB3"/>
    <w:rsid w:val="4EB866A1"/>
    <w:rsid w:val="4F3467C8"/>
    <w:rsid w:val="4F786330"/>
    <w:rsid w:val="4FB01626"/>
    <w:rsid w:val="501601C3"/>
    <w:rsid w:val="508430C2"/>
    <w:rsid w:val="50930741"/>
    <w:rsid w:val="50A56567"/>
    <w:rsid w:val="532259BB"/>
    <w:rsid w:val="533C09EF"/>
    <w:rsid w:val="53582700"/>
    <w:rsid w:val="53860509"/>
    <w:rsid w:val="547C241E"/>
    <w:rsid w:val="54D0469C"/>
    <w:rsid w:val="5500549A"/>
    <w:rsid w:val="55023D93"/>
    <w:rsid w:val="553404A9"/>
    <w:rsid w:val="55487236"/>
    <w:rsid w:val="557567B0"/>
    <w:rsid w:val="55913CA7"/>
    <w:rsid w:val="56462CE4"/>
    <w:rsid w:val="5684771A"/>
    <w:rsid w:val="56A53C37"/>
    <w:rsid w:val="56E56D6C"/>
    <w:rsid w:val="57DD6EEC"/>
    <w:rsid w:val="581806B0"/>
    <w:rsid w:val="58584CF7"/>
    <w:rsid w:val="585D087C"/>
    <w:rsid w:val="58F033DB"/>
    <w:rsid w:val="590D16BD"/>
    <w:rsid w:val="59637AC3"/>
    <w:rsid w:val="599A5702"/>
    <w:rsid w:val="59AD1593"/>
    <w:rsid w:val="59EF6740"/>
    <w:rsid w:val="5A277C91"/>
    <w:rsid w:val="5B222313"/>
    <w:rsid w:val="5B6A45D8"/>
    <w:rsid w:val="5BBB6BB1"/>
    <w:rsid w:val="5C135265"/>
    <w:rsid w:val="5C150F5B"/>
    <w:rsid w:val="5D0B72D1"/>
    <w:rsid w:val="5D2654A7"/>
    <w:rsid w:val="5D325225"/>
    <w:rsid w:val="5E071C5E"/>
    <w:rsid w:val="5E08053E"/>
    <w:rsid w:val="5EE35C58"/>
    <w:rsid w:val="60FD0C18"/>
    <w:rsid w:val="610B6A53"/>
    <w:rsid w:val="610C4B2A"/>
    <w:rsid w:val="611C0E1D"/>
    <w:rsid w:val="613D0728"/>
    <w:rsid w:val="61696464"/>
    <w:rsid w:val="623A29DC"/>
    <w:rsid w:val="63322CC4"/>
    <w:rsid w:val="63FE4BFE"/>
    <w:rsid w:val="640D5DFB"/>
    <w:rsid w:val="643D0F0F"/>
    <w:rsid w:val="653741D2"/>
    <w:rsid w:val="656634CA"/>
    <w:rsid w:val="661C7247"/>
    <w:rsid w:val="662446C4"/>
    <w:rsid w:val="663C3947"/>
    <w:rsid w:val="66713981"/>
    <w:rsid w:val="66BE4FD1"/>
    <w:rsid w:val="66F95B50"/>
    <w:rsid w:val="67F62C88"/>
    <w:rsid w:val="685F6366"/>
    <w:rsid w:val="6894012E"/>
    <w:rsid w:val="68BC0BE4"/>
    <w:rsid w:val="69A61BDF"/>
    <w:rsid w:val="69D813A5"/>
    <w:rsid w:val="69F009C9"/>
    <w:rsid w:val="6A212B99"/>
    <w:rsid w:val="6A9379C7"/>
    <w:rsid w:val="6AED11AF"/>
    <w:rsid w:val="6BB8046D"/>
    <w:rsid w:val="6BBB7D92"/>
    <w:rsid w:val="6C8156FE"/>
    <w:rsid w:val="6C950AE3"/>
    <w:rsid w:val="6CA10509"/>
    <w:rsid w:val="6CC268E9"/>
    <w:rsid w:val="6CD16D68"/>
    <w:rsid w:val="6D4C18C9"/>
    <w:rsid w:val="6D55204A"/>
    <w:rsid w:val="6D66763D"/>
    <w:rsid w:val="6D863381"/>
    <w:rsid w:val="6E1C5069"/>
    <w:rsid w:val="6E62446F"/>
    <w:rsid w:val="6FB305A7"/>
    <w:rsid w:val="701661FC"/>
    <w:rsid w:val="706F010A"/>
    <w:rsid w:val="70965A8C"/>
    <w:rsid w:val="70D92B51"/>
    <w:rsid w:val="715C4459"/>
    <w:rsid w:val="719575AF"/>
    <w:rsid w:val="71E673BA"/>
    <w:rsid w:val="73317CAF"/>
    <w:rsid w:val="7383614B"/>
    <w:rsid w:val="73B43E5D"/>
    <w:rsid w:val="73EA3021"/>
    <w:rsid w:val="742D0561"/>
    <w:rsid w:val="74A35A1C"/>
    <w:rsid w:val="74B377E3"/>
    <w:rsid w:val="759E7FEF"/>
    <w:rsid w:val="75CB0789"/>
    <w:rsid w:val="76393874"/>
    <w:rsid w:val="767D3F0E"/>
    <w:rsid w:val="76B6128D"/>
    <w:rsid w:val="773B1CB5"/>
    <w:rsid w:val="773D6A8C"/>
    <w:rsid w:val="777F0E61"/>
    <w:rsid w:val="77C42208"/>
    <w:rsid w:val="78634A38"/>
    <w:rsid w:val="7879264D"/>
    <w:rsid w:val="78CD23D5"/>
    <w:rsid w:val="792E6801"/>
    <w:rsid w:val="79F1067A"/>
    <w:rsid w:val="7A3A6A1A"/>
    <w:rsid w:val="7A57621C"/>
    <w:rsid w:val="7A5B36EE"/>
    <w:rsid w:val="7A642A22"/>
    <w:rsid w:val="7A6F5DCF"/>
    <w:rsid w:val="7A9D0AF2"/>
    <w:rsid w:val="7B182423"/>
    <w:rsid w:val="7BB67EE9"/>
    <w:rsid w:val="7D5B6C5B"/>
    <w:rsid w:val="7E127812"/>
    <w:rsid w:val="7E5E094E"/>
    <w:rsid w:val="7EAD2FA1"/>
    <w:rsid w:val="7F654EEB"/>
    <w:rsid w:val="7F97770B"/>
    <w:rsid w:val="7F98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3">
    <w:name w:val="annotation text"/>
    <w:basedOn w:val="1"/>
    <w:qFormat/>
    <w:uiPriority w:val="0"/>
    <w:pPr>
      <w:jc w:val="left"/>
    </w:pPr>
  </w:style>
  <w:style w:type="paragraph" w:styleId="4">
    <w:name w:val="Body Text Indent"/>
    <w:basedOn w:val="1"/>
    <w:next w:val="5"/>
    <w:semiHidden/>
    <w:qFormat/>
    <w:uiPriority w:val="0"/>
    <w:pPr>
      <w:spacing w:after="120"/>
      <w:ind w:left="420" w:leftChars="200"/>
    </w:pPr>
    <w:rPr>
      <w:kern w:val="0"/>
      <w:sz w:val="24"/>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alloon Text"/>
    <w:basedOn w:val="1"/>
    <w:link w:val="15"/>
    <w:qFormat/>
    <w:uiPriority w:val="0"/>
    <w:rPr>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Body Text First Indent 2"/>
    <w:basedOn w:val="4"/>
    <w:next w:val="1"/>
    <w:qFormat/>
    <w:uiPriority w:val="0"/>
    <w:pPr>
      <w:spacing w:line="360" w:lineRule="auto"/>
      <w:ind w:firstLine="420" w:firstLineChars="200"/>
      <w:jc w:val="left"/>
    </w:pPr>
  </w:style>
  <w:style w:type="character" w:customStyle="1" w:styleId="11">
    <w:name w:val="页眉 字符"/>
    <w:basedOn w:val="10"/>
    <w:link w:val="5"/>
    <w:qFormat/>
    <w:uiPriority w:val="0"/>
    <w:rPr>
      <w:kern w:val="2"/>
      <w:sz w:val="18"/>
      <w:szCs w:val="18"/>
    </w:rPr>
  </w:style>
  <w:style w:type="character" w:customStyle="1" w:styleId="12">
    <w:name w:val="页脚 字符"/>
    <w:basedOn w:val="10"/>
    <w:link w:val="7"/>
    <w:qFormat/>
    <w:uiPriority w:val="0"/>
    <w:rPr>
      <w:kern w:val="2"/>
      <w:sz w:val="18"/>
      <w:szCs w:val="18"/>
    </w:rPr>
  </w:style>
  <w:style w:type="character" w:customStyle="1" w:styleId="13">
    <w:name w:val="NormalCharacter"/>
    <w:semiHidden/>
    <w:qFormat/>
    <w:uiPriority w:val="0"/>
  </w:style>
  <w:style w:type="paragraph" w:styleId="14">
    <w:name w:val="List Paragraph"/>
    <w:basedOn w:val="1"/>
    <w:unhideWhenUsed/>
    <w:qFormat/>
    <w:uiPriority w:val="99"/>
    <w:pPr>
      <w:ind w:firstLine="420" w:firstLineChars="200"/>
    </w:pPr>
  </w:style>
  <w:style w:type="character" w:customStyle="1" w:styleId="15">
    <w:name w:val="批注框文本 字符"/>
    <w:basedOn w:val="10"/>
    <w:link w:val="6"/>
    <w:qFormat/>
    <w:uiPriority w:val="0"/>
    <w:rPr>
      <w:kern w:val="2"/>
      <w:sz w:val="18"/>
      <w:szCs w:val="18"/>
    </w:rPr>
  </w:style>
  <w:style w:type="paragraph" w:customStyle="1" w:styleId="16">
    <w:name w:val="Default2"/>
    <w:basedOn w:val="1"/>
    <w:qFormat/>
    <w:uiPriority w:val="0"/>
    <w:pPr>
      <w:autoSpaceDE w:val="0"/>
      <w:autoSpaceDN w:val="0"/>
      <w:adjustRightInd w:val="0"/>
      <w:jc w:val="left"/>
    </w:pPr>
    <w:rPr>
      <w:rFonts w:ascii="Tahoma" w:hAnsi="Tahoma" w:cs="Tahoma"/>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1782</Words>
  <Characters>1890</Characters>
  <Lines>12</Lines>
  <Paragraphs>3</Paragraphs>
  <TotalTime>7</TotalTime>
  <ScaleCrop>false</ScaleCrop>
  <LinksUpToDate>false</LinksUpToDate>
  <CharactersWithSpaces>2006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2020-02-13T01:49:00Z</dcterms:created>
  <dc:creator>朦朦lucky王</dc:creator>
  <cp:lastModifiedBy>0</cp:lastModifiedBy>
  <cp:lastPrinted>2023-08-30T01:51:10Z</cp:lastPrinted>
  <dcterms:modified xsi:type="dcterms:W3CDTF">2023-08-30T01:54:49Z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0E7A7417BEA34DDFA6E78B69319B28FF</vt:lpwstr>
  </property>
</Properties>
</file>