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eastAsia="黑体"/>
          <w:sz w:val="32"/>
          <w:szCs w:val="32"/>
          <w:highlight w:val="none"/>
        </w:rPr>
      </w:pPr>
      <w:r>
        <w:rPr>
          <w:rFonts w:eastAsia="黑体"/>
          <w:sz w:val="32"/>
          <w:szCs w:val="32"/>
          <w:highlight w:val="none"/>
        </w:rPr>
        <w:t>文开发行审环﹝202</w:t>
      </w:r>
      <w:r>
        <w:rPr>
          <w:rFonts w:hint="eastAsia" w:eastAsia="黑体"/>
          <w:sz w:val="32"/>
          <w:szCs w:val="32"/>
          <w:highlight w:val="none"/>
          <w:lang w:val="en-US" w:eastAsia="zh-CN"/>
        </w:rPr>
        <w:t>3</w:t>
      </w:r>
      <w:r>
        <w:rPr>
          <w:rFonts w:eastAsia="黑体"/>
          <w:sz w:val="32"/>
          <w:szCs w:val="32"/>
          <w:highlight w:val="none"/>
        </w:rPr>
        <w:t>﹞</w:t>
      </w:r>
      <w:r>
        <w:rPr>
          <w:rFonts w:hint="eastAsia" w:eastAsia="黑体"/>
          <w:sz w:val="32"/>
          <w:szCs w:val="32"/>
          <w:highlight w:val="none"/>
          <w:lang w:val="en-US" w:eastAsia="zh-CN"/>
        </w:rPr>
        <w:t>12</w:t>
      </w:r>
      <w:r>
        <w:rPr>
          <w:rFonts w:eastAsia="黑体"/>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Theme="majorEastAsia"/>
          <w:b/>
          <w:bCs/>
          <w:sz w:val="44"/>
          <w:szCs w:val="44"/>
        </w:rPr>
      </w:pPr>
      <w:r>
        <w:rPr>
          <w:rFonts w:eastAsiaTheme="majorEastAsia"/>
          <w:b/>
          <w:bCs/>
          <w:sz w:val="44"/>
          <w:szCs w:val="44"/>
        </w:rPr>
        <w:t>文水经济开发区管理委员会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Theme="majorEastAsia"/>
          <w:b/>
          <w:bCs/>
          <w:sz w:val="44"/>
          <w:szCs w:val="44"/>
        </w:rPr>
      </w:pPr>
      <w:r>
        <w:rPr>
          <w:rFonts w:eastAsiaTheme="majorEastAsia"/>
          <w:b/>
          <w:bCs/>
          <w:sz w:val="44"/>
          <w:szCs w:val="44"/>
        </w:rPr>
        <w:t>关于</w:t>
      </w:r>
      <w:r>
        <w:rPr>
          <w:rFonts w:hint="eastAsia" w:eastAsiaTheme="majorEastAsia"/>
          <w:b/>
          <w:bCs/>
          <w:sz w:val="44"/>
          <w:szCs w:val="44"/>
        </w:rPr>
        <w:t>山西固废资源化利用交通科技园建设项目</w:t>
      </w:r>
      <w:r>
        <w:rPr>
          <w:rFonts w:eastAsiaTheme="majorEastAsia"/>
          <w:b/>
          <w:bCs/>
          <w:sz w:val="44"/>
          <w:szCs w:val="44"/>
        </w:rPr>
        <w:t>环境影响报告</w:t>
      </w:r>
      <w:r>
        <w:rPr>
          <w:rFonts w:hint="eastAsia" w:eastAsiaTheme="majorEastAsia"/>
          <w:b/>
          <w:bCs/>
          <w:sz w:val="44"/>
          <w:szCs w:val="44"/>
          <w:lang w:val="en-US" w:eastAsia="zh-CN"/>
        </w:rPr>
        <w:t>表</w:t>
      </w:r>
      <w:r>
        <w:rPr>
          <w:rFonts w:eastAsiaTheme="majorEastAsia"/>
          <w:b/>
          <w:bCs/>
          <w:sz w:val="44"/>
          <w:szCs w:val="44"/>
        </w:rPr>
        <w:t>的批复</w:t>
      </w:r>
    </w:p>
    <w:p>
      <w:pPr>
        <w:keepNext w:val="0"/>
        <w:keepLines w:val="0"/>
        <w:pageBreakBefore w:val="0"/>
        <w:widowControl w:val="0"/>
        <w:kinsoku/>
        <w:wordWrap/>
        <w:overflowPunct/>
        <w:topLinePunct w:val="0"/>
        <w:autoSpaceDE/>
        <w:autoSpaceDN/>
        <w:bidi w:val="0"/>
        <w:spacing w:line="556" w:lineRule="exact"/>
        <w:ind w:firstLine="600" w:firstLineChars="200"/>
        <w:textAlignment w:val="auto"/>
        <w:rPr>
          <w:sz w:val="30"/>
          <w:szCs w:val="30"/>
        </w:rPr>
      </w:pPr>
    </w:p>
    <w:p>
      <w:pPr>
        <w:keepNext w:val="0"/>
        <w:keepLines w:val="0"/>
        <w:pageBreakBefore w:val="0"/>
        <w:widowControl w:val="0"/>
        <w:kinsoku/>
        <w:wordWrap/>
        <w:overflowPunct/>
        <w:topLinePunct w:val="0"/>
        <w:autoSpaceDE/>
        <w:autoSpaceDN/>
        <w:bidi w:val="0"/>
        <w:spacing w:line="550" w:lineRule="exact"/>
        <w:textAlignment w:val="auto"/>
        <w:rPr>
          <w:rFonts w:eastAsia="仿宋_GB2312"/>
          <w:sz w:val="32"/>
          <w:szCs w:val="32"/>
        </w:rPr>
      </w:pPr>
      <w:r>
        <w:rPr>
          <w:rFonts w:hint="eastAsia" w:eastAsia="仿宋_GB2312"/>
          <w:sz w:val="32"/>
          <w:szCs w:val="32"/>
        </w:rPr>
        <w:t>山西路桥再生资源开发有限公司文水分公司</w:t>
      </w:r>
      <w:r>
        <w:rPr>
          <w:rFonts w:eastAsia="仿宋_GB2312"/>
          <w:sz w:val="32"/>
          <w:szCs w:val="32"/>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eastAsia="仿宋_GB2312"/>
          <w:sz w:val="32"/>
          <w:szCs w:val="32"/>
        </w:rPr>
        <w:t>你公司报送的《</w:t>
      </w:r>
      <w:r>
        <w:rPr>
          <w:rFonts w:hint="eastAsia" w:eastAsia="仿宋_GB2312"/>
          <w:sz w:val="32"/>
          <w:szCs w:val="32"/>
        </w:rPr>
        <w:t>山西固废资源化利用交通科技园项目环境影响报告表</w:t>
      </w:r>
      <w:r>
        <w:rPr>
          <w:rFonts w:eastAsia="仿宋_GB2312"/>
          <w:sz w:val="32"/>
          <w:szCs w:val="32"/>
        </w:rPr>
        <w:t>》(以下简称《报告</w:t>
      </w:r>
      <w:r>
        <w:rPr>
          <w:rFonts w:hint="eastAsia" w:eastAsia="仿宋_GB2312"/>
          <w:sz w:val="32"/>
          <w:szCs w:val="32"/>
          <w:lang w:val="en-US" w:eastAsia="zh-CN"/>
        </w:rPr>
        <w:t>表</w:t>
      </w:r>
      <w:r>
        <w:rPr>
          <w:rFonts w:eastAsia="仿宋_GB2312"/>
          <w:sz w:val="32"/>
          <w:szCs w:val="32"/>
        </w:rPr>
        <w:t>》)及该项目报批申请已收悉。依据《中华人民共和国环境保护法》、《中华人民共和国环境影响评价法》等相关法律法规之规定。我委组织行业专家及相关部门审查完毕，结合专家审查意见，现批复如下：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一、</w:t>
      </w:r>
      <w:r>
        <w:rPr>
          <w:rFonts w:hint="eastAsia" w:eastAsia="仿宋_GB2312"/>
          <w:sz w:val="32"/>
          <w:szCs w:val="32"/>
        </w:rPr>
        <w:t>山西固废资源化利用交通科技园项目</w:t>
      </w:r>
      <w:r>
        <w:rPr>
          <w:rFonts w:hint="eastAsia" w:eastAsia="仿宋_GB2312"/>
          <w:sz w:val="32"/>
          <w:szCs w:val="32"/>
          <w:lang w:val="en-US" w:eastAsia="zh-CN"/>
        </w:rPr>
        <w:t>主要建设内容：项目占地面积为75563.78m</w:t>
      </w:r>
      <w:r>
        <w:rPr>
          <w:rFonts w:hint="eastAsia" w:eastAsia="仿宋_GB2312"/>
          <w:sz w:val="32"/>
          <w:szCs w:val="32"/>
          <w:vertAlign w:val="superscript"/>
          <w:lang w:val="en-US" w:eastAsia="zh-CN"/>
        </w:rPr>
        <w:t>2</w:t>
      </w:r>
      <w:r>
        <w:rPr>
          <w:rFonts w:hint="eastAsia" w:eastAsia="仿宋_GB2312"/>
          <w:sz w:val="32"/>
          <w:szCs w:val="32"/>
          <w:lang w:val="en-US" w:eastAsia="zh-CN"/>
        </w:rPr>
        <w:t>，新建一座4752.08m</w:t>
      </w:r>
      <w:r>
        <w:rPr>
          <w:rFonts w:hint="eastAsia" w:eastAsia="仿宋_GB2312"/>
          <w:sz w:val="32"/>
          <w:szCs w:val="32"/>
          <w:vertAlign w:val="superscript"/>
          <w:lang w:val="en-US" w:eastAsia="zh-CN"/>
        </w:rPr>
        <w:t>2</w:t>
      </w:r>
      <w:r>
        <w:rPr>
          <w:rFonts w:hint="eastAsia" w:eastAsia="仿宋_GB2312"/>
          <w:sz w:val="32"/>
          <w:szCs w:val="32"/>
          <w:lang w:val="en-US" w:eastAsia="zh-CN"/>
        </w:rPr>
        <w:t>的原料暂存间，1座2676.17m</w:t>
      </w:r>
      <w:r>
        <w:rPr>
          <w:rFonts w:hint="eastAsia" w:eastAsia="仿宋_GB2312"/>
          <w:sz w:val="32"/>
          <w:szCs w:val="32"/>
          <w:vertAlign w:val="superscript"/>
          <w:lang w:val="en-US" w:eastAsia="zh-CN"/>
        </w:rPr>
        <w:t>2</w:t>
      </w:r>
      <w:r>
        <w:rPr>
          <w:rFonts w:hint="eastAsia" w:eastAsia="仿宋_GB2312"/>
          <w:sz w:val="32"/>
          <w:szCs w:val="32"/>
          <w:lang w:val="en-US" w:eastAsia="zh-CN"/>
        </w:rPr>
        <w:t>的再生压制砖车间，1座面积3726.71m</w:t>
      </w:r>
      <w:r>
        <w:rPr>
          <w:rFonts w:hint="eastAsia" w:eastAsia="仿宋_GB2312"/>
          <w:sz w:val="32"/>
          <w:szCs w:val="32"/>
          <w:vertAlign w:val="superscript"/>
          <w:lang w:val="en-US" w:eastAsia="zh-CN"/>
        </w:rPr>
        <w:t>2</w:t>
      </w:r>
      <w:r>
        <w:rPr>
          <w:rFonts w:hint="eastAsia" w:eastAsia="仿宋_GB2312"/>
          <w:sz w:val="32"/>
          <w:szCs w:val="32"/>
          <w:lang w:val="en-US" w:eastAsia="zh-CN"/>
        </w:rPr>
        <w:t>的装配式生产车间，1座沥青存储罐区（包括6个5000m</w:t>
      </w:r>
      <w:r>
        <w:rPr>
          <w:rFonts w:hint="eastAsia" w:eastAsia="仿宋_GB2312"/>
          <w:sz w:val="32"/>
          <w:szCs w:val="32"/>
          <w:vertAlign w:val="superscript"/>
          <w:lang w:val="en-US" w:eastAsia="zh-CN"/>
        </w:rPr>
        <w:t>3</w:t>
      </w:r>
      <w:r>
        <w:rPr>
          <w:rFonts w:hint="eastAsia" w:eastAsia="仿宋_GB2312"/>
          <w:sz w:val="32"/>
          <w:szCs w:val="32"/>
          <w:lang w:val="en-US" w:eastAsia="zh-CN"/>
        </w:rPr>
        <w:t>基质沥青储罐、2个500m</w:t>
      </w:r>
      <w:r>
        <w:rPr>
          <w:rFonts w:hint="eastAsia" w:eastAsia="仿宋_GB2312"/>
          <w:sz w:val="32"/>
          <w:szCs w:val="32"/>
          <w:vertAlign w:val="superscript"/>
          <w:lang w:val="en-US" w:eastAsia="zh-CN"/>
        </w:rPr>
        <w:t>3</w:t>
      </w:r>
      <w:r>
        <w:rPr>
          <w:rFonts w:hint="eastAsia" w:eastAsia="仿宋_GB2312"/>
          <w:sz w:val="32"/>
          <w:szCs w:val="32"/>
          <w:lang w:val="en-US" w:eastAsia="zh-CN"/>
        </w:rPr>
        <w:t>储罐），1座建筑面积4423.95m</w:t>
      </w:r>
      <w:r>
        <w:rPr>
          <w:rFonts w:hint="eastAsia" w:eastAsia="仿宋_GB2312"/>
          <w:sz w:val="32"/>
          <w:szCs w:val="32"/>
          <w:vertAlign w:val="superscript"/>
          <w:lang w:val="en-US" w:eastAsia="zh-CN"/>
        </w:rPr>
        <w:t>2</w:t>
      </w:r>
      <w:r>
        <w:rPr>
          <w:rFonts w:hint="eastAsia" w:eastAsia="仿宋_GB2312"/>
          <w:sz w:val="32"/>
          <w:szCs w:val="32"/>
          <w:lang w:val="en-US" w:eastAsia="zh-CN"/>
        </w:rPr>
        <w:t>的研发中心；购置安装全能砖/石一体机设备、沥青储罐、装配式构件生产线搅拌系统、固定台座振动装置等生产、储存设施；并配套相应公用、辅助、环保措施等。建设规模：建设年产2.5万m</w:t>
      </w:r>
      <w:r>
        <w:rPr>
          <w:rFonts w:hint="eastAsia" w:eastAsia="仿宋_GB2312"/>
          <w:sz w:val="32"/>
          <w:szCs w:val="32"/>
          <w:vertAlign w:val="superscript"/>
          <w:lang w:val="en-US" w:eastAsia="zh-CN"/>
        </w:rPr>
        <w:t>3</w:t>
      </w:r>
      <w:r>
        <w:rPr>
          <w:rFonts w:hint="eastAsia" w:eastAsia="仿宋_GB2312"/>
          <w:sz w:val="32"/>
          <w:szCs w:val="32"/>
          <w:lang w:val="en-US" w:eastAsia="zh-CN"/>
        </w:rPr>
        <w:t>路缘石、12.5万m</w:t>
      </w:r>
      <w:r>
        <w:rPr>
          <w:rFonts w:hint="eastAsia" w:eastAsia="仿宋_GB2312"/>
          <w:sz w:val="32"/>
          <w:szCs w:val="32"/>
          <w:vertAlign w:val="superscript"/>
          <w:lang w:val="en-US" w:eastAsia="zh-CN"/>
        </w:rPr>
        <w:t>3</w:t>
      </w:r>
      <w:r>
        <w:rPr>
          <w:rFonts w:hint="eastAsia" w:eastAsia="仿宋_GB2312"/>
          <w:sz w:val="32"/>
          <w:szCs w:val="32"/>
          <w:lang w:val="en-US" w:eastAsia="zh-CN"/>
        </w:rPr>
        <w:t>防护及排水预制构件板的再生压制砖生产线；建设1套年周转10万吨基质沥青的基质沥青存储系统；建设年产2.5万m</w:t>
      </w:r>
      <w:r>
        <w:rPr>
          <w:rFonts w:hint="eastAsia" w:eastAsia="仿宋_GB2312"/>
          <w:sz w:val="32"/>
          <w:szCs w:val="32"/>
          <w:vertAlign w:val="superscript"/>
          <w:lang w:val="en-US" w:eastAsia="zh-CN"/>
        </w:rPr>
        <w:t>3</w:t>
      </w:r>
      <w:r>
        <w:rPr>
          <w:rFonts w:hint="eastAsia" w:eastAsia="仿宋_GB2312"/>
          <w:sz w:val="32"/>
          <w:szCs w:val="32"/>
          <w:lang w:val="en-US" w:eastAsia="zh-CN"/>
        </w:rPr>
        <w:t>市政预制构件（台模）的生产线。</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仿宋_GB2312"/>
          <w:sz w:val="32"/>
          <w:szCs w:val="32"/>
        </w:rPr>
      </w:pPr>
      <w:r>
        <w:rPr>
          <w:rFonts w:eastAsia="仿宋_GB2312"/>
          <w:sz w:val="32"/>
          <w:szCs w:val="32"/>
        </w:rPr>
        <w:t>项目经文水经济开发区管理委员会备案，备案代码：</w:t>
      </w:r>
      <w:r>
        <w:rPr>
          <w:rFonts w:hint="eastAsia" w:eastAsia="仿宋_GB2312"/>
          <w:sz w:val="32"/>
          <w:szCs w:val="32"/>
        </w:rPr>
        <w:t>2107-141161-89-01-452965</w:t>
      </w:r>
      <w:r>
        <w:rPr>
          <w:rFonts w:eastAsia="仿宋_GB2312"/>
          <w:sz w:val="32"/>
          <w:szCs w:val="32"/>
        </w:rPr>
        <w:t>，</w:t>
      </w:r>
      <w:r>
        <w:rPr>
          <w:rFonts w:hint="eastAsia" w:eastAsia="仿宋_GB2312"/>
          <w:sz w:val="32"/>
          <w:szCs w:val="32"/>
          <w:lang w:val="en-US" w:eastAsia="zh-CN"/>
        </w:rPr>
        <w:t>符合国家产业政策，符合文水经济开发区规划要求。项目</w:t>
      </w:r>
      <w:r>
        <w:rPr>
          <w:rFonts w:eastAsia="仿宋_GB2312"/>
          <w:sz w:val="32"/>
          <w:szCs w:val="32"/>
        </w:rPr>
        <w:t>总投资</w:t>
      </w:r>
      <w:r>
        <w:rPr>
          <w:rFonts w:hint="eastAsia" w:eastAsia="仿宋_GB2312"/>
          <w:sz w:val="32"/>
          <w:szCs w:val="32"/>
        </w:rPr>
        <w:t>33004.82万元</w:t>
      </w:r>
      <w:r>
        <w:rPr>
          <w:rFonts w:hint="eastAsia" w:eastAsia="仿宋_GB2312"/>
          <w:sz w:val="32"/>
          <w:szCs w:val="32"/>
          <w:lang w:eastAsia="zh-CN"/>
        </w:rPr>
        <w:t>，</w:t>
      </w:r>
      <w:r>
        <w:rPr>
          <w:rFonts w:eastAsia="仿宋_GB2312"/>
          <w:sz w:val="32"/>
          <w:szCs w:val="32"/>
        </w:rPr>
        <w:t>其中环保投资</w:t>
      </w:r>
      <w:r>
        <w:rPr>
          <w:rFonts w:hint="eastAsia" w:eastAsia="仿宋_GB2312"/>
          <w:sz w:val="32"/>
          <w:szCs w:val="32"/>
          <w:lang w:val="en-US" w:eastAsia="zh-CN"/>
        </w:rPr>
        <w:t>145</w:t>
      </w:r>
      <w:r>
        <w:rPr>
          <w:rFonts w:eastAsia="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eastAsia="仿宋_GB2312"/>
          <w:sz w:val="32"/>
          <w:szCs w:val="32"/>
          <w:lang w:val="en-US" w:eastAsia="zh-CN"/>
        </w:rPr>
      </w:pPr>
      <w:r>
        <w:rPr>
          <w:rFonts w:eastAsia="仿宋"/>
          <w:sz w:val="32"/>
          <w:szCs w:val="32"/>
        </w:rPr>
        <w:t>你公司要全面落实环境影响报告</w:t>
      </w:r>
      <w:r>
        <w:rPr>
          <w:rFonts w:hint="eastAsia" w:eastAsia="仿宋"/>
          <w:sz w:val="32"/>
          <w:szCs w:val="32"/>
          <w:lang w:eastAsia="zh-CN"/>
        </w:rPr>
        <w:t>表</w:t>
      </w:r>
      <w:r>
        <w:rPr>
          <w:rFonts w:eastAsia="仿宋"/>
          <w:sz w:val="32"/>
          <w:szCs w:val="32"/>
        </w:rPr>
        <w:t>和本批复提出的各项污染防治措施和环境风险防范措施，缓解和控制不利环境影响。</w:t>
      </w:r>
      <w:r>
        <w:rPr>
          <w:rFonts w:eastAsia="仿宋_GB2312"/>
          <w:sz w:val="32"/>
          <w:szCs w:val="32"/>
        </w:rPr>
        <w:t>我委原则同意</w:t>
      </w:r>
      <w:r>
        <w:rPr>
          <w:rFonts w:hint="eastAsia" w:eastAsia="仿宋_GB2312"/>
          <w:sz w:val="32"/>
          <w:szCs w:val="32"/>
          <w:lang w:val="en-US" w:eastAsia="zh-CN"/>
        </w:rPr>
        <w:t>环境影响报告表中所列工程性质、地点、规模、生产工艺和环境保护对策措施及环境影响评价总体结论。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主要污染防治措施及要求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textAlignment w:val="auto"/>
        <w:rPr>
          <w:rFonts w:hint="default" w:eastAsia="仿宋_GB2312"/>
          <w:sz w:val="32"/>
          <w:szCs w:val="32"/>
          <w:lang w:val="en-US" w:eastAsia="zh-CN"/>
        </w:rPr>
      </w:pPr>
      <w:r>
        <w:rPr>
          <w:rFonts w:hint="eastAsia" w:eastAsia="仿宋_GB2312"/>
          <w:sz w:val="32"/>
          <w:szCs w:val="32"/>
          <w:lang w:val="en-US" w:eastAsia="zh-CN"/>
        </w:rPr>
        <w:t xml:space="preserve">   项目在工程设计、建设和生产过程中必须认真落实环境影响报告表提出的各项环保措施和要求，重点做好以下工作：</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Style w:val="13"/>
          <w:rFonts w:eastAsia="仿宋_GB2312"/>
          <w:kern w:val="0"/>
          <w:sz w:val="32"/>
          <w:szCs w:val="32"/>
        </w:rPr>
        <w:t>1、</w:t>
      </w:r>
      <w:r>
        <w:rPr>
          <w:rFonts w:eastAsia="仿宋_GB2312"/>
          <w:sz w:val="32"/>
          <w:szCs w:val="32"/>
        </w:rPr>
        <w:t>严格落实施工期大气、污水、噪声、固废等污染防治措施及生态环境保护措施。施工工地必须严格按照项目环境影响评价确定的施工全过程污染防治实施方案要求，组织落实各项污染防治措施。</w:t>
      </w:r>
    </w:p>
    <w:p>
      <w:pPr>
        <w:keepNext w:val="0"/>
        <w:keepLines w:val="0"/>
        <w:pageBreakBefore w:val="0"/>
        <w:widowControl/>
        <w:suppressLineNumbers w:val="0"/>
        <w:kinsoku/>
        <w:wordWrap/>
        <w:overflowPunct/>
        <w:topLinePunct w:val="0"/>
        <w:autoSpaceDE/>
        <w:autoSpaceDN/>
        <w:bidi w:val="0"/>
        <w:spacing w:line="550" w:lineRule="exact"/>
        <w:ind w:firstLine="640" w:firstLineChars="200"/>
        <w:jc w:val="left"/>
        <w:textAlignment w:val="auto"/>
        <w:rPr>
          <w:rFonts w:hint="default" w:eastAsia="仿宋_GB2312"/>
          <w:sz w:val="32"/>
          <w:szCs w:val="32"/>
          <w:lang w:val="en-US" w:eastAsia="zh-CN"/>
        </w:rPr>
      </w:pPr>
      <w:r>
        <w:rPr>
          <w:rFonts w:eastAsia="仿宋_GB2312"/>
          <w:sz w:val="32"/>
          <w:szCs w:val="32"/>
        </w:rPr>
        <w:t>2、严格落实</w:t>
      </w:r>
      <w:r>
        <w:rPr>
          <w:rFonts w:hint="eastAsia" w:eastAsia="仿宋_GB2312"/>
          <w:sz w:val="32"/>
          <w:szCs w:val="32"/>
          <w:lang w:val="en-US" w:eastAsia="zh-CN"/>
        </w:rPr>
        <w:t>运行期</w:t>
      </w:r>
      <w:r>
        <w:rPr>
          <w:rFonts w:eastAsia="仿宋_GB2312"/>
          <w:sz w:val="32"/>
          <w:szCs w:val="32"/>
        </w:rPr>
        <w:t>大气污染防治措施。</w:t>
      </w:r>
      <w:r>
        <w:rPr>
          <w:rFonts w:hint="eastAsia" w:eastAsia="仿宋_GB2312"/>
          <w:sz w:val="32"/>
          <w:szCs w:val="32"/>
        </w:rPr>
        <w:t>堆场扬尘、装卸扬尘：骨料堆存于全封闭原料库内，库地面全部硬化，安装覆盖整个堆场的喷淋装置；生产线粉尘</w:t>
      </w:r>
      <w:r>
        <w:rPr>
          <w:rFonts w:hint="eastAsia" w:eastAsia="仿宋_GB2312"/>
          <w:sz w:val="32"/>
          <w:szCs w:val="32"/>
          <w:lang w:eastAsia="zh-CN"/>
        </w:rPr>
        <w:t>、</w:t>
      </w:r>
      <w:r>
        <w:rPr>
          <w:rFonts w:hint="eastAsia" w:eastAsia="仿宋_GB2312"/>
          <w:sz w:val="32"/>
          <w:szCs w:val="32"/>
          <w:lang w:val="en-US" w:eastAsia="zh-CN"/>
        </w:rPr>
        <w:t>烟尘</w:t>
      </w:r>
      <w:r>
        <w:rPr>
          <w:rFonts w:hint="eastAsia" w:eastAsia="仿宋_GB2312"/>
          <w:sz w:val="32"/>
          <w:szCs w:val="32"/>
        </w:rPr>
        <w:t>：通过布袋除尘器排气筒排放；</w:t>
      </w:r>
      <w:r>
        <w:rPr>
          <w:rFonts w:hint="eastAsia" w:eastAsia="仿宋_GB2312"/>
          <w:sz w:val="32"/>
          <w:szCs w:val="32"/>
          <w:lang w:val="en-US" w:eastAsia="zh-CN"/>
        </w:rPr>
        <w:t>生产线</w:t>
      </w:r>
      <w:r>
        <w:rPr>
          <w:rFonts w:hint="eastAsia" w:eastAsia="仿宋_GB2312"/>
          <w:sz w:val="32"/>
          <w:szCs w:val="32"/>
        </w:rPr>
        <w:t>沥青烟、苯并芘：经电捕焦油器捕集后，通过活性炭吸附装置处理，处理后经排气筒排放</w:t>
      </w:r>
      <w:r>
        <w:rPr>
          <w:rFonts w:hint="eastAsia" w:eastAsia="仿宋_GB2312"/>
          <w:sz w:val="32"/>
          <w:szCs w:val="32"/>
          <w:lang w:eastAsia="zh-CN"/>
        </w:rPr>
        <w:t>；</w:t>
      </w:r>
      <w:r>
        <w:rPr>
          <w:rFonts w:hint="eastAsia" w:eastAsia="仿宋_GB2312"/>
          <w:sz w:val="32"/>
          <w:szCs w:val="32"/>
          <w:lang w:val="en-US" w:eastAsia="zh-CN"/>
        </w:rPr>
        <w:t>食堂油烟</w:t>
      </w:r>
      <w:r>
        <w:rPr>
          <w:rFonts w:hint="eastAsia" w:eastAsia="仿宋_GB2312"/>
          <w:sz w:val="32"/>
          <w:szCs w:val="32"/>
        </w:rPr>
        <w:t>设集气罩和油烟净化器</w:t>
      </w:r>
      <w:r>
        <w:rPr>
          <w:rFonts w:hint="eastAsia" w:eastAsia="仿宋_GB2312"/>
          <w:sz w:val="32"/>
          <w:szCs w:val="32"/>
          <w:lang w:val="en-US" w:eastAsia="zh-CN"/>
        </w:rPr>
        <w:t>处理</w:t>
      </w:r>
      <w:r>
        <w:rPr>
          <w:rFonts w:hint="eastAsia" w:eastAsia="仿宋_GB2312"/>
          <w:sz w:val="32"/>
          <w:szCs w:val="32"/>
        </w:rPr>
        <w:t>。</w:t>
      </w:r>
      <w:r>
        <w:rPr>
          <w:rFonts w:eastAsia="仿宋_GB2312"/>
          <w:sz w:val="32"/>
          <w:szCs w:val="32"/>
        </w:rPr>
        <w:t>经过以上措施处理后</w:t>
      </w:r>
      <w:r>
        <w:rPr>
          <w:rFonts w:hint="eastAsia" w:eastAsia="仿宋_GB2312"/>
          <w:sz w:val="32"/>
          <w:szCs w:val="32"/>
          <w:lang w:val="en-US" w:eastAsia="zh-CN"/>
        </w:rPr>
        <w:t>确保粉尘排放参照执行《水泥工业大气污染排放标准》（GB4915-2013）重点地区企业大气污染物特别排放限值；烟尘排放执行《大气污染物综合排放标准》（GB16297-1996）表 2 的二级标准；沥青烟、苯并芘及烟尘排放执行《大气污染物综合排放标准》（GB16297-1996）表2的二级标准；食堂油烟排放满足《饮食业油烟排放标准(试行)》（GB18483-2001）相关标准。</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eastAsia="仿宋_GB2312"/>
          <w:sz w:val="32"/>
          <w:szCs w:val="32"/>
          <w:lang w:val="en-US" w:eastAsia="zh-CN"/>
        </w:rPr>
      </w:pPr>
      <w:r>
        <w:rPr>
          <w:rFonts w:eastAsia="仿宋_GB2312"/>
          <w:sz w:val="32"/>
          <w:szCs w:val="32"/>
        </w:rPr>
        <w:t>3、严格落实</w:t>
      </w:r>
      <w:r>
        <w:rPr>
          <w:rFonts w:hint="eastAsia" w:eastAsia="仿宋_GB2312"/>
          <w:sz w:val="32"/>
          <w:szCs w:val="32"/>
          <w:lang w:val="en-US" w:eastAsia="zh-CN"/>
        </w:rPr>
        <w:t>运行期</w:t>
      </w:r>
      <w:r>
        <w:rPr>
          <w:rFonts w:eastAsia="仿宋_GB2312"/>
          <w:sz w:val="32"/>
          <w:szCs w:val="32"/>
        </w:rPr>
        <w:t>噪声污染防治措施。</w:t>
      </w:r>
      <w:r>
        <w:rPr>
          <w:rFonts w:hint="eastAsia" w:eastAsia="仿宋_GB2312"/>
          <w:sz w:val="32"/>
          <w:szCs w:val="32"/>
        </w:rPr>
        <w:t>采用低噪设备、基础减震、管道软连接，车间内设置等措施</w:t>
      </w:r>
      <w:r>
        <w:rPr>
          <w:rFonts w:hint="eastAsia" w:eastAsia="仿宋_GB2312"/>
          <w:sz w:val="32"/>
          <w:szCs w:val="32"/>
          <w:lang w:val="en-US" w:eastAsia="zh-CN"/>
        </w:rPr>
        <w:t>防治</w:t>
      </w:r>
      <w:r>
        <w:rPr>
          <w:rFonts w:hint="eastAsia" w:eastAsia="仿宋_GB2312"/>
          <w:sz w:val="32"/>
          <w:szCs w:val="32"/>
        </w:rPr>
        <w:t>。</w:t>
      </w:r>
      <w:r>
        <w:rPr>
          <w:rFonts w:eastAsia="仿宋_GB2312"/>
          <w:sz w:val="32"/>
          <w:szCs w:val="32"/>
        </w:rPr>
        <w:t>经过以上措施处理后确保噪声污染防治</w:t>
      </w:r>
      <w:r>
        <w:rPr>
          <w:rFonts w:hint="eastAsia" w:eastAsia="仿宋_GB2312"/>
          <w:sz w:val="32"/>
          <w:szCs w:val="32"/>
        </w:rPr>
        <w:t>厂界执行《工业企业厂界环境噪声排放标准》3 类标准</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4</w:t>
      </w:r>
      <w:r>
        <w:rPr>
          <w:rFonts w:eastAsia="仿宋_GB2312"/>
          <w:sz w:val="32"/>
          <w:szCs w:val="32"/>
        </w:rPr>
        <w:t>、严格落实</w:t>
      </w:r>
      <w:r>
        <w:rPr>
          <w:rFonts w:hint="eastAsia" w:eastAsia="仿宋_GB2312"/>
          <w:sz w:val="32"/>
          <w:szCs w:val="32"/>
          <w:lang w:val="en-US" w:eastAsia="zh-CN"/>
        </w:rPr>
        <w:t>运行期</w:t>
      </w:r>
      <w:r>
        <w:rPr>
          <w:rFonts w:eastAsia="仿宋_GB2312"/>
          <w:sz w:val="32"/>
          <w:szCs w:val="32"/>
        </w:rPr>
        <w:t>固体废物处理处置。</w:t>
      </w:r>
      <w:r>
        <w:rPr>
          <w:rFonts w:hint="eastAsia" w:eastAsia="仿宋_GB2312"/>
          <w:sz w:val="32"/>
          <w:szCs w:val="32"/>
        </w:rPr>
        <w:t>废导热油、废活性炭放置于专用收集桶中，与废脱模剂桶，暂存于危废暂存间，定期交由有资质单位处置；楼内各楼层布设生活垃圾桶，统一收集送至垃圾暂存点暂存，环卫部门定期清运处置；粉尘除尘灰集中收集后，回用于生产；烟尘除尘灰收集后外售。</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sz w:val="32"/>
          <w:szCs w:val="32"/>
          <w:lang w:val="en-US" w:eastAsia="zh-CN"/>
        </w:rPr>
        <w:t>5、</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val="en-US" w:eastAsia="zh-CN"/>
        </w:rPr>
        <w:t>地表水环境</w:t>
      </w:r>
      <w:r>
        <w:rPr>
          <w:rFonts w:hint="eastAsia" w:ascii="仿宋_GB2312" w:hAnsi="仿宋_GB2312" w:eastAsia="仿宋_GB2312" w:cs="仿宋_GB2312"/>
          <w:sz w:val="32"/>
          <w:szCs w:val="32"/>
        </w:rPr>
        <w:t>污染防治措施</w:t>
      </w:r>
      <w:r>
        <w:rPr>
          <w:rFonts w:hint="eastAsia" w:ascii="仿宋_GB2312" w:hAnsi="仿宋_GB2312" w:eastAsia="仿宋_GB2312" w:cs="仿宋_GB2312"/>
          <w:sz w:val="32"/>
          <w:szCs w:val="32"/>
          <w:lang w:eastAsia="zh-CN"/>
        </w:rPr>
        <w:t>。食堂废水经隔油池，与其他生活污水一同进入厂区化粪池预处理后，排入园区污水管网，最终进入园区污水处理厂处理。</w:t>
      </w:r>
      <w:r>
        <w:rPr>
          <w:rFonts w:eastAsia="仿宋_GB2312"/>
          <w:sz w:val="32"/>
          <w:szCs w:val="32"/>
        </w:rPr>
        <w:t>经过以上措施处理后确保</w:t>
      </w:r>
      <w:r>
        <w:rPr>
          <w:rFonts w:hint="eastAsia" w:eastAsia="仿宋_GB2312"/>
          <w:sz w:val="32"/>
          <w:szCs w:val="32"/>
          <w:lang w:val="en-US" w:eastAsia="zh-CN"/>
        </w:rPr>
        <w:t>地表水排放执行</w:t>
      </w:r>
      <w:r>
        <w:rPr>
          <w:rFonts w:hint="eastAsia" w:ascii="仿宋_GB2312" w:hAnsi="仿宋_GB2312" w:eastAsia="仿宋_GB2312" w:cs="仿宋_GB2312"/>
          <w:sz w:val="32"/>
          <w:szCs w:val="32"/>
          <w:lang w:eastAsia="zh-CN"/>
        </w:rPr>
        <w:t>《污水排入城镇下水道标准》（GB/T31962-2015）中A级标准。</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6、严格落实土壤及地下水污染防治措施。危废暂存间按照《危险废物贮存污染控制标准》（GB18597-2023）及其修改单要求建设；罐区地面防渗，设围堰。</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eastAsia="仿宋_GB2312"/>
          <w:color w:val="000000"/>
          <w:kern w:val="0"/>
          <w:sz w:val="32"/>
          <w:szCs w:val="32"/>
          <w:lang w:val="en-US" w:eastAsia="zh-CN" w:bidi="ar"/>
        </w:rPr>
        <w:t>7、严格落实污染物排放总量控制指标。项目产生的污染物排放量须满足吕梁市生态环境局文水分局核定的总量控制指标：颗粒物2.119t/a、挥发性有机物0.195t/a。</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hint="eastAsia" w:eastAsia="仿宋_GB2312"/>
          <w:color w:val="000000"/>
          <w:kern w:val="0"/>
          <w:sz w:val="32"/>
          <w:szCs w:val="32"/>
          <w:lang w:val="en-US" w:eastAsia="zh-CN" w:bidi="ar"/>
        </w:rPr>
        <w:t>三、</w:t>
      </w:r>
      <w:r>
        <w:rPr>
          <w:rFonts w:eastAsia="仿宋_GB2312"/>
          <w:color w:val="000000"/>
          <w:kern w:val="0"/>
          <w:sz w:val="32"/>
          <w:szCs w:val="32"/>
          <w:lang w:bidi="ar"/>
        </w:rPr>
        <w:t>做好运营期的环境风险防范工作，严格规范操作程序。按照国家环保部《企业事业单位突发环境事件应急预案备案管理办法（试行）》要求，编制企业突发环境事件应急预案，并报环保相关监管部门备案，作为验收的必备条件。</w:t>
      </w:r>
    </w:p>
    <w:p>
      <w:pPr>
        <w:pStyle w:val="3"/>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hint="eastAsia" w:eastAsia="仿宋_GB2312"/>
          <w:sz w:val="32"/>
          <w:szCs w:val="32"/>
          <w:lang w:val="en-US" w:eastAsia="zh-CN"/>
        </w:rPr>
        <w:t>四、</w:t>
      </w:r>
      <w:r>
        <w:rPr>
          <w:rFonts w:eastAsia="仿宋_GB2312"/>
          <w:sz w:val="32"/>
          <w:szCs w:val="32"/>
        </w:rPr>
        <w:t>项目建设必须严格执行配套建设的环境保护设施与主体工程同时设计、同时施工、同时投产使用的环境保护“三同时”制度。项目建成后按要求落实排污许可制度并完成项目竣工环境保护验收工作。</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eastAsia="仿宋_GB2312"/>
          <w:sz w:val="32"/>
          <w:szCs w:val="32"/>
        </w:rPr>
      </w:pPr>
      <w:r>
        <w:rPr>
          <w:rFonts w:hint="eastAsia" w:eastAsia="仿宋_GB2312"/>
          <w:color w:val="000000"/>
          <w:kern w:val="0"/>
          <w:sz w:val="32"/>
          <w:szCs w:val="32"/>
          <w:lang w:val="en-US" w:eastAsia="zh-CN" w:bidi="ar"/>
        </w:rPr>
        <w:t>五、</w:t>
      </w:r>
      <w:r>
        <w:rPr>
          <w:rFonts w:eastAsia="仿宋_GB2312"/>
          <w:color w:val="000000"/>
          <w:kern w:val="0"/>
          <w:sz w:val="32"/>
          <w:szCs w:val="32"/>
          <w:lang w:bidi="ar"/>
        </w:rPr>
        <w:t>你公司应按规定接受各级环境保护行政主管部门的监督检查和日常管理。</w:t>
      </w:r>
    </w:p>
    <w:p>
      <w:pPr>
        <w:keepNext w:val="0"/>
        <w:keepLines w:val="0"/>
        <w:pageBreakBefore w:val="0"/>
        <w:widowControl w:val="0"/>
        <w:kinsoku/>
        <w:wordWrap/>
        <w:overflowPunct/>
        <w:topLinePunct w:val="0"/>
        <w:autoSpaceDE/>
        <w:autoSpaceDN/>
        <w:bidi w:val="0"/>
        <w:spacing w:line="556" w:lineRule="exact"/>
        <w:ind w:firstLine="3840" w:firstLineChars="1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eastAsia="仿宋_GB2312"/>
          <w:sz w:val="32"/>
          <w:szCs w:val="32"/>
        </w:rPr>
      </w:pPr>
      <w:r>
        <w:rPr>
          <w:rFonts w:eastAsia="仿宋_GB2312"/>
          <w:sz w:val="32"/>
          <w:szCs w:val="32"/>
        </w:rPr>
        <w:t>文水经济开发区管理委员会</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eastAsia="仿宋_GB2312"/>
          <w:sz w:val="32"/>
          <w:szCs w:val="32"/>
          <w:highlight w:val="none"/>
        </w:rPr>
      </w:pPr>
      <w:r>
        <w:rPr>
          <w:rFonts w:eastAsia="仿宋_GB2312"/>
          <w:sz w:val="32"/>
          <w:szCs w:val="32"/>
          <w:highlight w:val="none"/>
        </w:rPr>
        <w:t>202</w:t>
      </w:r>
      <w:r>
        <w:rPr>
          <w:rFonts w:hint="default" w:eastAsia="仿宋_GB2312"/>
          <w:sz w:val="32"/>
          <w:szCs w:val="32"/>
          <w:highlight w:val="none"/>
          <w:lang w:eastAsia="zh-CN"/>
        </w:rPr>
        <w:t>3</w:t>
      </w:r>
      <w:r>
        <w:rPr>
          <w:rFonts w:eastAsia="仿宋_GB2312"/>
          <w:sz w:val="32"/>
          <w:szCs w:val="32"/>
          <w:highlight w:val="none"/>
        </w:rPr>
        <w:t>年</w:t>
      </w:r>
      <w:r>
        <w:rPr>
          <w:rFonts w:hint="eastAsia" w:eastAsia="仿宋_GB2312"/>
          <w:sz w:val="32"/>
          <w:szCs w:val="32"/>
          <w:highlight w:val="none"/>
          <w:lang w:val="en-US" w:eastAsia="zh-CN"/>
        </w:rPr>
        <w:t>11</w:t>
      </w:r>
      <w:r>
        <w:rPr>
          <w:rFonts w:eastAsia="仿宋_GB2312"/>
          <w:sz w:val="32"/>
          <w:szCs w:val="32"/>
          <w:highlight w:val="none"/>
        </w:rPr>
        <w:t>月</w:t>
      </w:r>
      <w:r>
        <w:rPr>
          <w:rFonts w:hint="eastAsia" w:eastAsia="仿宋_GB2312"/>
          <w:sz w:val="32"/>
          <w:szCs w:val="32"/>
          <w:highlight w:val="none"/>
          <w:lang w:val="en-US" w:eastAsia="zh-CN"/>
        </w:rPr>
        <w:t>13</w:t>
      </w:r>
      <w:r>
        <w:rPr>
          <w:rFonts w:eastAsia="仿宋_GB2312"/>
          <w:sz w:val="32"/>
          <w:szCs w:val="32"/>
          <w:highlight w:val="none"/>
        </w:rPr>
        <w:t>日</w:t>
      </w:r>
    </w:p>
    <w:p>
      <w:pPr>
        <w:keepNext w:val="0"/>
        <w:keepLines w:val="0"/>
        <w:pageBreakBefore w:val="0"/>
        <w:widowControl w:val="0"/>
        <w:kinsoku/>
        <w:wordWrap/>
        <w:overflowPunct/>
        <w:topLinePunct w:val="0"/>
        <w:autoSpaceDE/>
        <w:autoSpaceDN/>
        <w:bidi w:val="0"/>
        <w:spacing w:line="556" w:lineRule="exact"/>
        <w:jc w:val="left"/>
        <w:textAlignment w:val="auto"/>
        <w:rPr>
          <w:rFonts w:eastAsia="仿宋_GB2312"/>
          <w:sz w:val="32"/>
          <w:szCs w:val="32"/>
          <w:u w:val="thick"/>
        </w:rPr>
      </w:pPr>
      <w:r>
        <w:rPr>
          <w:rFonts w:eastAsia="仿宋_GB2312"/>
          <w:sz w:val="32"/>
          <w:szCs w:val="32"/>
          <w:u w:val="thick"/>
        </w:rPr>
        <w:t xml:space="preserve">                                         </w:t>
      </w:r>
      <w:r>
        <w:rPr>
          <w:rFonts w:hint="eastAsia" w:eastAsia="仿宋_GB2312"/>
          <w:sz w:val="32"/>
          <w:szCs w:val="32"/>
          <w:u w:val="thick"/>
          <w:lang w:val="en-US" w:eastAsia="zh-CN"/>
        </w:rPr>
        <w:t xml:space="preserve"> </w:t>
      </w:r>
      <w:r>
        <w:rPr>
          <w:rFonts w:eastAsia="仿宋_GB2312"/>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sz w:val="32"/>
          <w:szCs w:val="32"/>
          <w:u w:val="single"/>
        </w:rPr>
      </w:pPr>
      <w:r>
        <w:rPr>
          <w:rFonts w:eastAsia="仿宋_GB2312"/>
          <w:w w:val="90"/>
          <w:sz w:val="32"/>
          <w:szCs w:val="32"/>
          <w:u w:val="single"/>
        </w:rPr>
        <w:t xml:space="preserve">抄送：吕梁市生态环境局、吕梁市生态环境局文水分局                        </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eastAsia="仿宋_GB2312"/>
          <w:kern w:val="0"/>
          <w:sz w:val="28"/>
          <w:szCs w:val="28"/>
          <w:highlight w:val="none"/>
          <w:u w:val="thick"/>
        </w:rPr>
      </w:pPr>
      <w:r>
        <w:rPr>
          <w:rFonts w:eastAsia="仿宋_GB2312"/>
          <w:kern w:val="0"/>
          <w:sz w:val="28"/>
          <w:szCs w:val="28"/>
          <w:u w:val="thick"/>
        </w:rPr>
        <w:t xml:space="preserve">文水经济开发区管理委员会        </w:t>
      </w:r>
      <w:r>
        <w:rPr>
          <w:rFonts w:hint="eastAsia" w:eastAsia="仿宋_GB2312"/>
          <w:kern w:val="0"/>
          <w:sz w:val="28"/>
          <w:szCs w:val="28"/>
          <w:u w:val="thick"/>
          <w:lang w:val="en-US" w:eastAsia="zh-CN"/>
        </w:rPr>
        <w:t xml:space="preserve">    </w:t>
      </w:r>
      <w:r>
        <w:rPr>
          <w:rFonts w:eastAsia="仿宋_GB2312"/>
          <w:kern w:val="0"/>
          <w:sz w:val="28"/>
          <w:szCs w:val="28"/>
          <w:u w:val="thick"/>
        </w:rPr>
        <w:t xml:space="preserve">  </w:t>
      </w:r>
      <w:bookmarkStart w:id="0" w:name="_GoBack"/>
      <w:bookmarkEnd w:id="0"/>
      <w:r>
        <w:rPr>
          <w:rFonts w:eastAsia="仿宋_GB2312"/>
          <w:kern w:val="0"/>
          <w:sz w:val="28"/>
          <w:szCs w:val="28"/>
          <w:highlight w:val="none"/>
          <w:u w:val="thick"/>
        </w:rPr>
        <w:t>202</w:t>
      </w:r>
      <w:r>
        <w:rPr>
          <w:rFonts w:hint="eastAsia" w:eastAsia="仿宋_GB2312"/>
          <w:kern w:val="0"/>
          <w:sz w:val="28"/>
          <w:szCs w:val="28"/>
          <w:highlight w:val="none"/>
          <w:u w:val="thick"/>
          <w:lang w:val="en-US" w:eastAsia="zh-CN"/>
        </w:rPr>
        <w:t>3</w:t>
      </w:r>
      <w:r>
        <w:rPr>
          <w:rFonts w:eastAsia="仿宋_GB2312"/>
          <w:kern w:val="0"/>
          <w:sz w:val="28"/>
          <w:szCs w:val="28"/>
          <w:highlight w:val="none"/>
          <w:u w:val="thick"/>
        </w:rPr>
        <w:t>年</w:t>
      </w:r>
      <w:r>
        <w:rPr>
          <w:rFonts w:hint="eastAsia" w:eastAsia="仿宋_GB2312"/>
          <w:kern w:val="0"/>
          <w:sz w:val="28"/>
          <w:szCs w:val="28"/>
          <w:highlight w:val="none"/>
          <w:u w:val="thick"/>
          <w:lang w:val="en-US" w:eastAsia="zh-CN"/>
        </w:rPr>
        <w:t>11</w:t>
      </w:r>
      <w:r>
        <w:rPr>
          <w:rFonts w:eastAsia="仿宋_GB2312"/>
          <w:kern w:val="0"/>
          <w:sz w:val="28"/>
          <w:szCs w:val="28"/>
          <w:highlight w:val="none"/>
          <w:u w:val="thick"/>
        </w:rPr>
        <w:t>月</w:t>
      </w:r>
      <w:r>
        <w:rPr>
          <w:rFonts w:hint="eastAsia" w:eastAsia="仿宋_GB2312"/>
          <w:kern w:val="0"/>
          <w:sz w:val="28"/>
          <w:szCs w:val="28"/>
          <w:highlight w:val="none"/>
          <w:u w:val="thick"/>
          <w:lang w:val="en-US" w:eastAsia="zh-CN"/>
        </w:rPr>
        <w:t>13</w:t>
      </w:r>
      <w:r>
        <w:rPr>
          <w:rFonts w:eastAsia="仿宋_GB2312"/>
          <w:kern w:val="0"/>
          <w:sz w:val="28"/>
          <w:szCs w:val="28"/>
          <w:highlight w:val="none"/>
          <w:u w:val="thick"/>
        </w:rPr>
        <w:t>日印发</w:t>
      </w:r>
    </w:p>
    <w:sectPr>
      <w:pgSz w:w="11906" w:h="16838"/>
      <w:pgMar w:top="166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Ubuntu"/>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D5CF90"/>
    <w:multiLevelType w:val="singleLevel"/>
    <w:tmpl w:val="D6D5CF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mZkOTA5YWE2NGY2ZTVkYmFjYThiZDljZmZiNDIifQ=="/>
  </w:docVars>
  <w:rsids>
    <w:rsidRoot w:val="26694D6D"/>
    <w:rsid w:val="00095E8E"/>
    <w:rsid w:val="000A3635"/>
    <w:rsid w:val="001436A7"/>
    <w:rsid w:val="0019276C"/>
    <w:rsid w:val="001C048E"/>
    <w:rsid w:val="001E685D"/>
    <w:rsid w:val="00203C1A"/>
    <w:rsid w:val="002D68F9"/>
    <w:rsid w:val="0048247F"/>
    <w:rsid w:val="004C5B08"/>
    <w:rsid w:val="004C662A"/>
    <w:rsid w:val="004F4D2E"/>
    <w:rsid w:val="0051000C"/>
    <w:rsid w:val="00576D3E"/>
    <w:rsid w:val="006D6DB4"/>
    <w:rsid w:val="00745FCE"/>
    <w:rsid w:val="0078129F"/>
    <w:rsid w:val="00790D22"/>
    <w:rsid w:val="007F0B1C"/>
    <w:rsid w:val="008D201F"/>
    <w:rsid w:val="00921690"/>
    <w:rsid w:val="00A23E3D"/>
    <w:rsid w:val="00AB2C33"/>
    <w:rsid w:val="00B13D2E"/>
    <w:rsid w:val="00B273A4"/>
    <w:rsid w:val="00B41366"/>
    <w:rsid w:val="00B95F52"/>
    <w:rsid w:val="00BB24DB"/>
    <w:rsid w:val="00BC2242"/>
    <w:rsid w:val="00C356FC"/>
    <w:rsid w:val="00CB4B2B"/>
    <w:rsid w:val="00CC5482"/>
    <w:rsid w:val="00D62944"/>
    <w:rsid w:val="00DE0CDB"/>
    <w:rsid w:val="00DF4829"/>
    <w:rsid w:val="00E053F4"/>
    <w:rsid w:val="00E158AF"/>
    <w:rsid w:val="00E371E7"/>
    <w:rsid w:val="00EF0384"/>
    <w:rsid w:val="00F907CF"/>
    <w:rsid w:val="00FB38ED"/>
    <w:rsid w:val="01B41EC2"/>
    <w:rsid w:val="01E20BD3"/>
    <w:rsid w:val="02581503"/>
    <w:rsid w:val="025C2544"/>
    <w:rsid w:val="02825CC9"/>
    <w:rsid w:val="02B57ACD"/>
    <w:rsid w:val="03100B91"/>
    <w:rsid w:val="03A569EC"/>
    <w:rsid w:val="03B41182"/>
    <w:rsid w:val="03E734DD"/>
    <w:rsid w:val="04336690"/>
    <w:rsid w:val="049B0960"/>
    <w:rsid w:val="05B92FEF"/>
    <w:rsid w:val="06412896"/>
    <w:rsid w:val="06C94F09"/>
    <w:rsid w:val="06D66ABD"/>
    <w:rsid w:val="073E2BD5"/>
    <w:rsid w:val="0740351F"/>
    <w:rsid w:val="091D18A2"/>
    <w:rsid w:val="0A651B20"/>
    <w:rsid w:val="0ACC0C9B"/>
    <w:rsid w:val="0AD7027A"/>
    <w:rsid w:val="0B8F510F"/>
    <w:rsid w:val="0BE43942"/>
    <w:rsid w:val="0C6726B6"/>
    <w:rsid w:val="0C9B68E9"/>
    <w:rsid w:val="0CFA56B0"/>
    <w:rsid w:val="0E3810A1"/>
    <w:rsid w:val="0EDD37E9"/>
    <w:rsid w:val="0F1B3B6F"/>
    <w:rsid w:val="0FF31BA3"/>
    <w:rsid w:val="104A2A8B"/>
    <w:rsid w:val="114A472F"/>
    <w:rsid w:val="12856D4D"/>
    <w:rsid w:val="12EB2D77"/>
    <w:rsid w:val="12F274B4"/>
    <w:rsid w:val="1346010F"/>
    <w:rsid w:val="13C93611"/>
    <w:rsid w:val="143472AD"/>
    <w:rsid w:val="14426DE4"/>
    <w:rsid w:val="145A0569"/>
    <w:rsid w:val="15072DEB"/>
    <w:rsid w:val="15806AB7"/>
    <w:rsid w:val="1638543C"/>
    <w:rsid w:val="16BF5B64"/>
    <w:rsid w:val="177C1C15"/>
    <w:rsid w:val="17807980"/>
    <w:rsid w:val="18061E08"/>
    <w:rsid w:val="181E2472"/>
    <w:rsid w:val="18DB00FF"/>
    <w:rsid w:val="19962C07"/>
    <w:rsid w:val="199A0D03"/>
    <w:rsid w:val="1A5403CD"/>
    <w:rsid w:val="1AC37FD5"/>
    <w:rsid w:val="1AE37FE9"/>
    <w:rsid w:val="1AED2F6A"/>
    <w:rsid w:val="1BAF1D5E"/>
    <w:rsid w:val="1C5D220F"/>
    <w:rsid w:val="1C686AE6"/>
    <w:rsid w:val="1C7A40C1"/>
    <w:rsid w:val="1CD51C99"/>
    <w:rsid w:val="1D681394"/>
    <w:rsid w:val="1DFA6E6E"/>
    <w:rsid w:val="1F04050F"/>
    <w:rsid w:val="1F2172BB"/>
    <w:rsid w:val="1FB37371"/>
    <w:rsid w:val="1FB52F37"/>
    <w:rsid w:val="1FDF6641"/>
    <w:rsid w:val="202964C4"/>
    <w:rsid w:val="203A0AC5"/>
    <w:rsid w:val="20447E45"/>
    <w:rsid w:val="207264A1"/>
    <w:rsid w:val="20CA4A1B"/>
    <w:rsid w:val="210533A3"/>
    <w:rsid w:val="212109DE"/>
    <w:rsid w:val="213E5804"/>
    <w:rsid w:val="214933EF"/>
    <w:rsid w:val="217665CE"/>
    <w:rsid w:val="21B21367"/>
    <w:rsid w:val="2202393F"/>
    <w:rsid w:val="22281BC0"/>
    <w:rsid w:val="224149BC"/>
    <w:rsid w:val="2271735A"/>
    <w:rsid w:val="23741E03"/>
    <w:rsid w:val="23CB324F"/>
    <w:rsid w:val="23D464D8"/>
    <w:rsid w:val="23EC1797"/>
    <w:rsid w:val="24303965"/>
    <w:rsid w:val="2434087C"/>
    <w:rsid w:val="24716755"/>
    <w:rsid w:val="24B827C8"/>
    <w:rsid w:val="26043243"/>
    <w:rsid w:val="260A1B6B"/>
    <w:rsid w:val="264A7253"/>
    <w:rsid w:val="264D73AF"/>
    <w:rsid w:val="26694D6D"/>
    <w:rsid w:val="268B5166"/>
    <w:rsid w:val="26A36F28"/>
    <w:rsid w:val="26EE7B71"/>
    <w:rsid w:val="26F27FCF"/>
    <w:rsid w:val="270F308A"/>
    <w:rsid w:val="2748074E"/>
    <w:rsid w:val="27691635"/>
    <w:rsid w:val="27BF77CD"/>
    <w:rsid w:val="28A62AF7"/>
    <w:rsid w:val="28BF7531"/>
    <w:rsid w:val="29252940"/>
    <w:rsid w:val="292E5EBB"/>
    <w:rsid w:val="29E01DA0"/>
    <w:rsid w:val="2A2306BD"/>
    <w:rsid w:val="2A7502E9"/>
    <w:rsid w:val="2AAA494F"/>
    <w:rsid w:val="2B8525EF"/>
    <w:rsid w:val="2BDE3F66"/>
    <w:rsid w:val="2C257FBF"/>
    <w:rsid w:val="2C363542"/>
    <w:rsid w:val="2CD13EB4"/>
    <w:rsid w:val="2D577367"/>
    <w:rsid w:val="2DC25921"/>
    <w:rsid w:val="2E22706B"/>
    <w:rsid w:val="2E266AB4"/>
    <w:rsid w:val="2E313CC4"/>
    <w:rsid w:val="2E553DFF"/>
    <w:rsid w:val="2E7E6708"/>
    <w:rsid w:val="2E935E77"/>
    <w:rsid w:val="2E9A27A4"/>
    <w:rsid w:val="30D36139"/>
    <w:rsid w:val="30DC2C76"/>
    <w:rsid w:val="31233F5D"/>
    <w:rsid w:val="32FF30B0"/>
    <w:rsid w:val="33712348"/>
    <w:rsid w:val="33C345F8"/>
    <w:rsid w:val="3466391E"/>
    <w:rsid w:val="346F48F6"/>
    <w:rsid w:val="34764867"/>
    <w:rsid w:val="34CB3CB5"/>
    <w:rsid w:val="34F62995"/>
    <w:rsid w:val="34F97EA3"/>
    <w:rsid w:val="35000B00"/>
    <w:rsid w:val="35A3775F"/>
    <w:rsid w:val="35D572D1"/>
    <w:rsid w:val="360C4FC1"/>
    <w:rsid w:val="3619091C"/>
    <w:rsid w:val="372739A9"/>
    <w:rsid w:val="37BB3F92"/>
    <w:rsid w:val="37C37A23"/>
    <w:rsid w:val="37E016D7"/>
    <w:rsid w:val="39DF4DCD"/>
    <w:rsid w:val="3A876E57"/>
    <w:rsid w:val="3A995C5C"/>
    <w:rsid w:val="3AF54C31"/>
    <w:rsid w:val="3B8A161F"/>
    <w:rsid w:val="3BC774D3"/>
    <w:rsid w:val="3C4A20EA"/>
    <w:rsid w:val="3CFC25BA"/>
    <w:rsid w:val="3D1244B0"/>
    <w:rsid w:val="3D255DD8"/>
    <w:rsid w:val="3DA470FD"/>
    <w:rsid w:val="3DFD1F97"/>
    <w:rsid w:val="3E015BE4"/>
    <w:rsid w:val="3E225E80"/>
    <w:rsid w:val="3E265A58"/>
    <w:rsid w:val="3E932392"/>
    <w:rsid w:val="3EDC3534"/>
    <w:rsid w:val="3F544743"/>
    <w:rsid w:val="3F556ACF"/>
    <w:rsid w:val="3FB87213"/>
    <w:rsid w:val="40013FCD"/>
    <w:rsid w:val="400569B0"/>
    <w:rsid w:val="41807E63"/>
    <w:rsid w:val="41D21032"/>
    <w:rsid w:val="41FC78C8"/>
    <w:rsid w:val="421E258F"/>
    <w:rsid w:val="426B25D4"/>
    <w:rsid w:val="431F1C0E"/>
    <w:rsid w:val="433044FD"/>
    <w:rsid w:val="43D03E74"/>
    <w:rsid w:val="44352FB9"/>
    <w:rsid w:val="449A549F"/>
    <w:rsid w:val="458628E9"/>
    <w:rsid w:val="45901228"/>
    <w:rsid w:val="45927E77"/>
    <w:rsid w:val="45EB2C74"/>
    <w:rsid w:val="45F20916"/>
    <w:rsid w:val="462A3940"/>
    <w:rsid w:val="469C1F45"/>
    <w:rsid w:val="46F94A83"/>
    <w:rsid w:val="47A33CFE"/>
    <w:rsid w:val="484A5D44"/>
    <w:rsid w:val="48751E9B"/>
    <w:rsid w:val="48A8591D"/>
    <w:rsid w:val="491F1D83"/>
    <w:rsid w:val="494476DB"/>
    <w:rsid w:val="4948430A"/>
    <w:rsid w:val="496646D2"/>
    <w:rsid w:val="4AA24002"/>
    <w:rsid w:val="4AE90539"/>
    <w:rsid w:val="4B7B04BB"/>
    <w:rsid w:val="4C065A07"/>
    <w:rsid w:val="4C1669DA"/>
    <w:rsid w:val="4C5D2215"/>
    <w:rsid w:val="4CD03BD8"/>
    <w:rsid w:val="4CE74F4D"/>
    <w:rsid w:val="4D0A4797"/>
    <w:rsid w:val="4D600263"/>
    <w:rsid w:val="4DCB4939"/>
    <w:rsid w:val="4E6134C0"/>
    <w:rsid w:val="4E73688E"/>
    <w:rsid w:val="4E7452A7"/>
    <w:rsid w:val="4E7B2BB3"/>
    <w:rsid w:val="4EB866A1"/>
    <w:rsid w:val="4F3467C8"/>
    <w:rsid w:val="4FB01626"/>
    <w:rsid w:val="501601C3"/>
    <w:rsid w:val="508430C2"/>
    <w:rsid w:val="50930741"/>
    <w:rsid w:val="51420C02"/>
    <w:rsid w:val="532259BB"/>
    <w:rsid w:val="533C09EF"/>
    <w:rsid w:val="53860509"/>
    <w:rsid w:val="5500549A"/>
    <w:rsid w:val="55023D93"/>
    <w:rsid w:val="553404A9"/>
    <w:rsid w:val="55487236"/>
    <w:rsid w:val="557567B0"/>
    <w:rsid w:val="55913CA7"/>
    <w:rsid w:val="56462CE4"/>
    <w:rsid w:val="5684771A"/>
    <w:rsid w:val="56A53C37"/>
    <w:rsid w:val="56E56D6C"/>
    <w:rsid w:val="57DD6EEC"/>
    <w:rsid w:val="581806B0"/>
    <w:rsid w:val="58584CF7"/>
    <w:rsid w:val="585D087C"/>
    <w:rsid w:val="590D16BD"/>
    <w:rsid w:val="59637AC3"/>
    <w:rsid w:val="599A5702"/>
    <w:rsid w:val="59EF6740"/>
    <w:rsid w:val="5A277C91"/>
    <w:rsid w:val="5B222313"/>
    <w:rsid w:val="5B6A45D8"/>
    <w:rsid w:val="5BBB6BB1"/>
    <w:rsid w:val="5C135265"/>
    <w:rsid w:val="5C150F5B"/>
    <w:rsid w:val="5D0B72D1"/>
    <w:rsid w:val="5D2654A7"/>
    <w:rsid w:val="5D325225"/>
    <w:rsid w:val="5E071C5E"/>
    <w:rsid w:val="5E08053E"/>
    <w:rsid w:val="5EE35C58"/>
    <w:rsid w:val="5F1119B5"/>
    <w:rsid w:val="60FD0C18"/>
    <w:rsid w:val="610B6A53"/>
    <w:rsid w:val="610C4B2A"/>
    <w:rsid w:val="611C0E1D"/>
    <w:rsid w:val="613D0728"/>
    <w:rsid w:val="61696464"/>
    <w:rsid w:val="623A29DC"/>
    <w:rsid w:val="63322CC4"/>
    <w:rsid w:val="640D5DFB"/>
    <w:rsid w:val="643D0F0F"/>
    <w:rsid w:val="653741D2"/>
    <w:rsid w:val="656634CA"/>
    <w:rsid w:val="661C7247"/>
    <w:rsid w:val="663C3947"/>
    <w:rsid w:val="66713981"/>
    <w:rsid w:val="668D3D67"/>
    <w:rsid w:val="66BE4FD1"/>
    <w:rsid w:val="66F95B50"/>
    <w:rsid w:val="67F62C88"/>
    <w:rsid w:val="685F6366"/>
    <w:rsid w:val="6894012E"/>
    <w:rsid w:val="68BC0BE4"/>
    <w:rsid w:val="69A61BDF"/>
    <w:rsid w:val="69D813A5"/>
    <w:rsid w:val="69F009C9"/>
    <w:rsid w:val="6A212B99"/>
    <w:rsid w:val="6A9379C7"/>
    <w:rsid w:val="6AED11AF"/>
    <w:rsid w:val="6B9A4761"/>
    <w:rsid w:val="6BB8046D"/>
    <w:rsid w:val="6BBB7D92"/>
    <w:rsid w:val="6C8156FE"/>
    <w:rsid w:val="6C950AE3"/>
    <w:rsid w:val="6CA10509"/>
    <w:rsid w:val="6CC268E9"/>
    <w:rsid w:val="6CD16D68"/>
    <w:rsid w:val="6D4C18C9"/>
    <w:rsid w:val="6D55204A"/>
    <w:rsid w:val="6D66763D"/>
    <w:rsid w:val="6D863381"/>
    <w:rsid w:val="6E1C5069"/>
    <w:rsid w:val="6E62446F"/>
    <w:rsid w:val="6FB305A7"/>
    <w:rsid w:val="7007020C"/>
    <w:rsid w:val="701661FC"/>
    <w:rsid w:val="706F010A"/>
    <w:rsid w:val="70965A8C"/>
    <w:rsid w:val="70D92B51"/>
    <w:rsid w:val="715C4459"/>
    <w:rsid w:val="719575AF"/>
    <w:rsid w:val="71E673BA"/>
    <w:rsid w:val="73317CAF"/>
    <w:rsid w:val="7383614B"/>
    <w:rsid w:val="73EA3021"/>
    <w:rsid w:val="742D0561"/>
    <w:rsid w:val="74A35A1C"/>
    <w:rsid w:val="74B377E3"/>
    <w:rsid w:val="752800D0"/>
    <w:rsid w:val="76393874"/>
    <w:rsid w:val="767D3F0E"/>
    <w:rsid w:val="7697475B"/>
    <w:rsid w:val="76B6128D"/>
    <w:rsid w:val="773D6A8C"/>
    <w:rsid w:val="77482E42"/>
    <w:rsid w:val="777F0E61"/>
    <w:rsid w:val="78634A38"/>
    <w:rsid w:val="7879264D"/>
    <w:rsid w:val="78CD23D5"/>
    <w:rsid w:val="792E6801"/>
    <w:rsid w:val="79D12015"/>
    <w:rsid w:val="79F1067A"/>
    <w:rsid w:val="7A3A6A1A"/>
    <w:rsid w:val="7A57621C"/>
    <w:rsid w:val="7A642A22"/>
    <w:rsid w:val="7A6F5DCF"/>
    <w:rsid w:val="7A9D0AF2"/>
    <w:rsid w:val="7B182423"/>
    <w:rsid w:val="7BB67EE9"/>
    <w:rsid w:val="7D5B6C5B"/>
    <w:rsid w:val="7E127812"/>
    <w:rsid w:val="7E5E094E"/>
    <w:rsid w:val="7EAD2FA1"/>
    <w:rsid w:val="7F654EEB"/>
    <w:rsid w:val="7F91434A"/>
    <w:rsid w:val="7F98588A"/>
    <w:rsid w:val="BEF7D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annotation text"/>
    <w:basedOn w:val="1"/>
    <w:qFormat/>
    <w:uiPriority w:val="0"/>
    <w:pPr>
      <w:jc w:val="left"/>
    </w:pPr>
  </w:style>
  <w:style w:type="paragraph" w:styleId="4">
    <w:name w:val="Body Text Indent"/>
    <w:basedOn w:val="1"/>
    <w:next w:val="5"/>
    <w:semiHidden/>
    <w:qFormat/>
    <w:uiPriority w:val="0"/>
    <w:pPr>
      <w:spacing w:after="120"/>
      <w:ind w:left="420" w:leftChars="200"/>
    </w:pPr>
    <w:rPr>
      <w:kern w:val="0"/>
      <w:sz w:val="24"/>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5"/>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Body Text First Indent 2"/>
    <w:basedOn w:val="4"/>
    <w:next w:val="1"/>
    <w:qFormat/>
    <w:uiPriority w:val="0"/>
    <w:pPr>
      <w:spacing w:line="360" w:lineRule="auto"/>
      <w:ind w:firstLine="420" w:firstLineChars="200"/>
      <w:jc w:val="left"/>
    </w:pPr>
  </w:style>
  <w:style w:type="character" w:customStyle="1" w:styleId="11">
    <w:name w:val="页眉 字符"/>
    <w:basedOn w:val="10"/>
    <w:link w:val="5"/>
    <w:qFormat/>
    <w:uiPriority w:val="0"/>
    <w:rPr>
      <w:kern w:val="2"/>
      <w:sz w:val="18"/>
      <w:szCs w:val="18"/>
    </w:rPr>
  </w:style>
  <w:style w:type="character" w:customStyle="1" w:styleId="12">
    <w:name w:val="页脚 字符"/>
    <w:basedOn w:val="10"/>
    <w:link w:val="7"/>
    <w:qFormat/>
    <w:uiPriority w:val="0"/>
    <w:rPr>
      <w:kern w:val="2"/>
      <w:sz w:val="18"/>
      <w:szCs w:val="18"/>
    </w:rPr>
  </w:style>
  <w:style w:type="character" w:customStyle="1" w:styleId="13">
    <w:name w:val="NormalCharacter"/>
    <w:semiHidden/>
    <w:qFormat/>
    <w:uiPriority w:val="0"/>
  </w:style>
  <w:style w:type="paragraph" w:styleId="14">
    <w:name w:val="List Paragraph"/>
    <w:basedOn w:val="1"/>
    <w:unhideWhenUsed/>
    <w:qFormat/>
    <w:uiPriority w:val="99"/>
    <w:pPr>
      <w:ind w:firstLine="420" w:firstLineChars="200"/>
    </w:pPr>
  </w:style>
  <w:style w:type="character" w:customStyle="1" w:styleId="15">
    <w:name w:val="批注框文本 字符"/>
    <w:basedOn w:val="10"/>
    <w:link w:val="6"/>
    <w:qFormat/>
    <w:uiPriority w:val="0"/>
    <w:rPr>
      <w:kern w:val="2"/>
      <w:sz w:val="18"/>
      <w:szCs w:val="18"/>
    </w:rPr>
  </w:style>
  <w:style w:type="paragraph" w:customStyle="1" w:styleId="16">
    <w:name w:val="Default2"/>
    <w:basedOn w:val="1"/>
    <w:qFormat/>
    <w:uiPriority w:val="0"/>
    <w:pPr>
      <w:autoSpaceDE w:val="0"/>
      <w:autoSpaceDN w:val="0"/>
      <w:adjustRightInd w:val="0"/>
      <w:jc w:val="left"/>
    </w:pPr>
    <w:rPr>
      <w:rFonts w:ascii="Tahoma" w:hAnsi="Tahoma" w:cs="Tahoma"/>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1723</Words>
  <Characters>1854</Characters>
  <Lines>12</Lines>
  <Paragraphs>3</Paragraphs>
  <TotalTime>57</TotalTime>
  <ScaleCrop>false</ScaleCrop>
  <LinksUpToDate>false</LinksUpToDate>
  <CharactersWithSpaces>1956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2020-02-13T09:49:00Z</dcterms:created>
  <dc:creator>朦朦lucky王</dc:creator>
  <cp:lastModifiedBy>greatwall</cp:lastModifiedBy>
  <cp:lastPrinted>2023-11-13T09:53:00Z</cp:lastPrinted>
  <dcterms:modified xsi:type="dcterms:W3CDTF">2023-11-13T16:01:37Z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DDB24BE7199D4DBD869C0D185E81D599_13</vt:lpwstr>
  </property>
</Properties>
</file>