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b/>
          <w:bCs/>
          <w:sz w:val="32"/>
          <w:szCs w:val="32"/>
        </w:rPr>
      </w:pPr>
    </w:p>
    <w:p>
      <w:pPr>
        <w:widowControl w:val="0"/>
        <w:spacing w:line="800" w:lineRule="exact"/>
        <w:jc w:val="center"/>
        <w:rPr>
          <w:rFonts w:ascii="Times New Roman" w:hAnsi="宋体" w:cs="宋体"/>
          <w:sz w:val="44"/>
          <w:szCs w:val="44"/>
        </w:rPr>
      </w:pPr>
    </w:p>
    <w:p>
      <w:pPr>
        <w:widowControl w:val="0"/>
        <w:spacing w:line="800" w:lineRule="exact"/>
        <w:jc w:val="center"/>
        <w:rPr>
          <w:rFonts w:hint="eastAsia" w:ascii="Times New Roman" w:hAnsi="Times New Roman" w:eastAsia="黑体" w:cs="黑体"/>
          <w:sz w:val="48"/>
          <w:szCs w:val="48"/>
          <w:lang w:eastAsia="zh-CN"/>
        </w:rPr>
      </w:pPr>
      <w:r>
        <w:rPr>
          <w:rFonts w:hint="eastAsia" w:ascii="Times New Roman" w:hAnsi="宋体" w:eastAsia="黑体" w:cs="宋体"/>
          <w:sz w:val="44"/>
          <w:szCs w:val="44"/>
          <w:lang w:val="en-US" w:eastAsia="zh-CN"/>
        </w:rPr>
        <w:t xml:space="preserve"> </w:t>
      </w:r>
      <w:bookmarkStart w:id="1443" w:name="_GoBack"/>
      <w:bookmarkEnd w:id="1443"/>
    </w:p>
    <w:p>
      <w:pPr>
        <w:widowControl w:val="0"/>
        <w:spacing w:line="800" w:lineRule="exact"/>
        <w:jc w:val="center"/>
        <w:rPr>
          <w:rFonts w:ascii="Times New Roman" w:hAnsi="Times New Roman" w:eastAsia="黑体"/>
          <w:sz w:val="48"/>
          <w:szCs w:val="48"/>
        </w:rPr>
      </w:pPr>
      <w:r>
        <w:rPr>
          <w:rFonts w:hint="eastAsia" w:ascii="Times New Roman" w:hAnsi="Times New Roman" w:eastAsia="黑体" w:cs="黑体"/>
          <w:sz w:val="48"/>
          <w:szCs w:val="48"/>
        </w:rPr>
        <w:t>建筑基坑工程技术</w:t>
      </w:r>
      <w:r>
        <w:rPr>
          <w:rFonts w:hint="eastAsia" w:ascii="Times New Roman" w:hAnsi="Times New Roman" w:eastAsia="黑体" w:cs="黑体"/>
          <w:sz w:val="48"/>
          <w:szCs w:val="48"/>
          <w:lang w:val="en-US" w:eastAsia="zh-CN"/>
        </w:rPr>
        <w:t>标准</w:t>
      </w:r>
    </w:p>
    <w:p>
      <w:pPr>
        <w:widowControl w:val="0"/>
        <w:spacing w:line="800" w:lineRule="exact"/>
        <w:jc w:val="center"/>
        <w:rPr>
          <w:rFonts w:ascii="Times New Roman" w:cs="宋体"/>
          <w:sz w:val="36"/>
          <w:szCs w:val="36"/>
        </w:rPr>
      </w:pPr>
      <w:r>
        <w:rPr>
          <w:rFonts w:hint="eastAsia" w:ascii="Times New Roman" w:cs="宋体"/>
          <w:sz w:val="36"/>
          <w:szCs w:val="36"/>
        </w:rPr>
        <w:t xml:space="preserve">Technical </w:t>
      </w:r>
      <w:r>
        <w:rPr>
          <w:rFonts w:hint="eastAsia" w:ascii="Times New Roman" w:cs="宋体"/>
          <w:sz w:val="36"/>
          <w:szCs w:val="36"/>
          <w:lang w:val="en-US" w:eastAsia="zh-CN"/>
        </w:rPr>
        <w:t>standard</w:t>
      </w:r>
      <w:r>
        <w:rPr>
          <w:rFonts w:hint="eastAsia" w:ascii="Times New Roman" w:cs="宋体"/>
          <w:sz w:val="36"/>
          <w:szCs w:val="36"/>
        </w:rPr>
        <w:t xml:space="preserve"> for building foundation</w:t>
      </w:r>
      <w:r>
        <w:rPr>
          <w:rFonts w:hint="eastAsia" w:ascii="Times New Roman" w:cs="宋体"/>
          <w:sz w:val="36"/>
          <w:szCs w:val="36"/>
          <w:lang w:val="en-US" w:eastAsia="zh-CN"/>
        </w:rPr>
        <w:t xml:space="preserve"> </w:t>
      </w:r>
      <w:r>
        <w:rPr>
          <w:rFonts w:hint="eastAsia" w:ascii="Times New Roman" w:cs="宋体"/>
          <w:sz w:val="36"/>
          <w:szCs w:val="36"/>
        </w:rPr>
        <w:t>excavations</w:t>
      </w:r>
    </w:p>
    <w:p>
      <w:pPr>
        <w:widowControl w:val="0"/>
        <w:spacing w:line="800" w:lineRule="exact"/>
        <w:jc w:val="center"/>
        <w:rPr>
          <w:rFonts w:ascii="Times New Roman" w:hAnsi="Times New Roman"/>
          <w:sz w:val="36"/>
          <w:szCs w:val="36"/>
        </w:rPr>
      </w:pPr>
      <w:r>
        <w:rPr>
          <w:rFonts w:hint="eastAsia" w:ascii="Times New Roman" w:hAnsi="Times New Roman"/>
          <w:sz w:val="36"/>
          <w:szCs w:val="36"/>
        </w:rPr>
        <w:t>（征求意见稿）</w:t>
      </w:r>
    </w:p>
    <w:p>
      <w:pPr>
        <w:widowControl w:val="0"/>
        <w:spacing w:line="800" w:lineRule="exact"/>
        <w:jc w:val="center"/>
        <w:rPr>
          <w:rFonts w:ascii="Times New Roman" w:hAnsi="Times New Roman"/>
          <w:sz w:val="36"/>
          <w:szCs w:val="36"/>
        </w:rPr>
      </w:pPr>
    </w:p>
    <w:p>
      <w:pPr>
        <w:widowControl w:val="0"/>
        <w:spacing w:line="800" w:lineRule="exact"/>
        <w:jc w:val="center"/>
        <w:rPr>
          <w:rFonts w:ascii="Times New Roman" w:hAnsi="Times New Roman"/>
          <w:sz w:val="36"/>
          <w:szCs w:val="36"/>
        </w:rPr>
      </w:pPr>
    </w:p>
    <w:p>
      <w:pPr>
        <w:widowControl w:val="0"/>
        <w:spacing w:line="800" w:lineRule="exact"/>
        <w:jc w:val="center"/>
        <w:rPr>
          <w:rFonts w:ascii="Times New Roman" w:hAnsi="Times New Roman"/>
          <w:sz w:val="36"/>
          <w:szCs w:val="36"/>
        </w:rPr>
      </w:pPr>
    </w:p>
    <w:p>
      <w:pPr>
        <w:widowControl w:val="0"/>
        <w:spacing w:line="800" w:lineRule="exact"/>
        <w:jc w:val="center"/>
        <w:rPr>
          <w:rFonts w:ascii="Times New Roman" w:hAnsi="Times New Roman"/>
          <w:sz w:val="36"/>
          <w:szCs w:val="36"/>
        </w:rPr>
      </w:pPr>
    </w:p>
    <w:p>
      <w:pPr>
        <w:widowControl w:val="0"/>
        <w:spacing w:line="800" w:lineRule="exact"/>
        <w:jc w:val="center"/>
        <w:rPr>
          <w:rFonts w:ascii="Times New Roman" w:hAnsi="Times New Roman"/>
          <w:sz w:val="36"/>
          <w:szCs w:val="36"/>
        </w:rPr>
      </w:pPr>
    </w:p>
    <w:p>
      <w:pPr>
        <w:widowControl w:val="0"/>
        <w:spacing w:line="800" w:lineRule="exact"/>
        <w:jc w:val="center"/>
        <w:rPr>
          <w:rFonts w:ascii="Times New Roman" w:hAnsi="Times New Roman"/>
          <w:sz w:val="36"/>
          <w:szCs w:val="36"/>
        </w:rPr>
      </w:pPr>
    </w:p>
    <w:p>
      <w:pPr>
        <w:widowControl w:val="0"/>
        <w:spacing w:line="800" w:lineRule="exact"/>
        <w:jc w:val="center"/>
        <w:rPr>
          <w:rFonts w:ascii="Times New Roman" w:hAnsi="Times New Roman"/>
          <w:sz w:val="36"/>
          <w:szCs w:val="36"/>
        </w:rPr>
      </w:pPr>
    </w:p>
    <w:p>
      <w:pPr>
        <w:widowControl w:val="0"/>
        <w:jc w:val="center"/>
        <w:outlineLvl w:val="0"/>
        <w:rPr>
          <w:rFonts w:ascii="Times New Roman" w:hAnsi="Times New Roman"/>
          <w:b/>
          <w:sz w:val="32"/>
        </w:rPr>
      </w:pPr>
      <w:r>
        <w:rPr>
          <w:rFonts w:ascii="Times New Roman" w:hAnsi="Times New Roman"/>
          <w:sz w:val="36"/>
          <w:szCs w:val="36"/>
        </w:rPr>
        <w:br w:type="page"/>
      </w:r>
      <w:bookmarkStart w:id="0" w:name="_Toc11310"/>
      <w:bookmarkStart w:id="1" w:name="_Toc31647"/>
      <w:bookmarkStart w:id="2" w:name="_Toc32683"/>
      <w:bookmarkStart w:id="3" w:name="_Toc7098"/>
      <w:bookmarkStart w:id="4" w:name="_Toc29429"/>
      <w:r>
        <w:rPr>
          <w:rFonts w:hint="eastAsia" w:ascii="Times New Roman"/>
          <w:b/>
          <w:sz w:val="32"/>
        </w:rPr>
        <w:t>前</w:t>
      </w:r>
      <w:r>
        <w:rPr>
          <w:rFonts w:hint="eastAsia" w:ascii="Times New Roman" w:hAnsi="Times New Roman"/>
          <w:b/>
          <w:sz w:val="32"/>
        </w:rPr>
        <w:t xml:space="preserve"> </w:t>
      </w:r>
      <w:r>
        <w:rPr>
          <w:rFonts w:hint="eastAsia" w:ascii="Times New Roman"/>
          <w:b/>
          <w:sz w:val="32"/>
        </w:rPr>
        <w:t>言</w:t>
      </w:r>
      <w:bookmarkEnd w:id="0"/>
      <w:bookmarkEnd w:id="1"/>
      <w:bookmarkEnd w:id="2"/>
      <w:bookmarkEnd w:id="3"/>
      <w:bookmarkEnd w:id="4"/>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Cs w:val="24"/>
        </w:rPr>
      </w:pPr>
      <w:r>
        <w:rPr>
          <w:rFonts w:hint="eastAsia" w:ascii="宋体" w:hAnsi="宋体" w:eastAsia="宋体" w:cs="宋体"/>
          <w:szCs w:val="24"/>
        </w:rPr>
        <w:t>本</w:t>
      </w:r>
      <w:r>
        <w:rPr>
          <w:rFonts w:hint="eastAsia" w:ascii="宋体" w:hAnsi="宋体" w:cs="宋体"/>
          <w:szCs w:val="24"/>
          <w:lang w:val="en-US" w:eastAsia="zh-CN"/>
        </w:rPr>
        <w:t>标准</w:t>
      </w:r>
      <w:r>
        <w:rPr>
          <w:rFonts w:hint="eastAsia" w:ascii="宋体" w:hAnsi="宋体" w:eastAsia="宋体" w:cs="宋体"/>
          <w:szCs w:val="24"/>
        </w:rPr>
        <w:t>是根据山西省住房和城乡建设厅《2022年工程建设地方标准制（修）订计划（第二批）》的要求，由山西建设投资集团有限公司</w:t>
      </w:r>
      <w:r>
        <w:rPr>
          <w:rFonts w:hint="eastAsia" w:ascii="宋体" w:hAnsi="宋体" w:cs="宋体"/>
          <w:szCs w:val="24"/>
          <w:lang w:val="en-US" w:eastAsia="zh-CN"/>
        </w:rPr>
        <w:t>、山西省建筑设计研究院有限公司共同</w:t>
      </w:r>
      <w:r>
        <w:rPr>
          <w:rFonts w:hint="eastAsia" w:ascii="宋体" w:hAnsi="宋体" w:eastAsia="宋体" w:cs="宋体"/>
          <w:szCs w:val="24"/>
        </w:rPr>
        <w:t>主编、会同</w:t>
      </w:r>
      <w:r>
        <w:rPr>
          <w:rFonts w:hint="eastAsia" w:ascii="宋体" w:hAnsi="宋体" w:eastAsia="宋体" w:cs="宋体"/>
          <w:szCs w:val="24"/>
          <w:lang w:val="en-US" w:eastAsia="zh-CN"/>
        </w:rPr>
        <w:t>山西钢铁建设（集团）有限公司</w:t>
      </w:r>
      <w:r>
        <w:rPr>
          <w:rFonts w:hint="eastAsia" w:ascii="宋体" w:hAnsi="宋体" w:cs="宋体"/>
          <w:szCs w:val="24"/>
          <w:lang w:val="en-US" w:eastAsia="zh-CN"/>
        </w:rPr>
        <w:t>等</w:t>
      </w:r>
      <w:r>
        <w:rPr>
          <w:rFonts w:hint="eastAsia" w:ascii="宋体" w:hAnsi="宋体" w:eastAsia="宋体" w:cs="宋体"/>
          <w:szCs w:val="24"/>
        </w:rPr>
        <w:t>有关设计、施工、研究和教学单位</w:t>
      </w:r>
      <w:r>
        <w:rPr>
          <w:rFonts w:hint="eastAsia" w:ascii="宋体" w:hAnsi="宋体" w:cs="宋体"/>
          <w:szCs w:val="24"/>
          <w:lang w:eastAsia="zh-CN"/>
        </w:rPr>
        <w:t>，</w:t>
      </w:r>
      <w:r>
        <w:rPr>
          <w:rFonts w:hint="eastAsia" w:ascii="宋体" w:hAnsi="宋体" w:cs="宋体"/>
          <w:szCs w:val="24"/>
          <w:lang w:val="en-US" w:eastAsia="zh-CN"/>
        </w:rPr>
        <w:t>修订了《建筑基坑工程技术标准》DBJ04/T306-2014</w:t>
      </w:r>
      <w:r>
        <w:rPr>
          <w:rFonts w:hint="eastAsia" w:ascii="宋体" w:hAnsi="宋体" w:eastAsia="宋体" w:cs="宋体"/>
          <w:szCs w:val="24"/>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szCs w:val="24"/>
          <w:lang w:val="en-US" w:eastAsia="zh-CN"/>
        </w:rPr>
      </w:pPr>
      <w:r>
        <w:rPr>
          <w:rFonts w:hint="eastAsia" w:ascii="宋体" w:hAnsi="宋体" w:cs="宋体"/>
          <w:szCs w:val="24"/>
          <w:lang w:val="en-US" w:eastAsia="zh-CN"/>
        </w:rPr>
        <w:t>本标准共分16章和12个附录，主要技术内容有总则、术语和符号、基本规定、岩土勘察、土压力计算、基坑稳定性、支护结构选型、支护结构、土钉墙及复合土钉墙、重力式挡土墙、坡率法、土体加固、地下水控制、基坑开挖与回填、环境影响评价及保护措施、基坑监测。</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Cs w:val="24"/>
        </w:rPr>
      </w:pPr>
      <w:r>
        <w:rPr>
          <w:rFonts w:hint="eastAsia" w:ascii="宋体" w:hAnsi="宋体" w:eastAsia="宋体" w:cs="宋体"/>
          <w:szCs w:val="24"/>
        </w:rPr>
        <w:t>本</w:t>
      </w:r>
      <w:r>
        <w:rPr>
          <w:rFonts w:hint="eastAsia" w:ascii="宋体" w:hAnsi="宋体" w:cs="宋体"/>
          <w:szCs w:val="24"/>
          <w:lang w:val="en-US" w:eastAsia="zh-CN"/>
        </w:rPr>
        <w:t>标准</w:t>
      </w:r>
      <w:r>
        <w:rPr>
          <w:rFonts w:hint="eastAsia" w:ascii="宋体" w:hAnsi="宋体" w:eastAsia="宋体" w:cs="宋体"/>
          <w:szCs w:val="24"/>
        </w:rPr>
        <w:t>由山西省</w:t>
      </w:r>
      <w:r>
        <w:rPr>
          <w:rFonts w:hint="eastAsia" w:ascii="宋体" w:hAnsi="宋体" w:cs="宋体"/>
          <w:szCs w:val="24"/>
          <w:lang w:eastAsia="zh-CN"/>
        </w:rPr>
        <w:t>住房和城乡建设厅负</w:t>
      </w:r>
      <w:r>
        <w:rPr>
          <w:rFonts w:hint="eastAsia" w:ascii="宋体" w:hAnsi="宋体" w:eastAsia="宋体" w:cs="宋体"/>
          <w:szCs w:val="24"/>
        </w:rPr>
        <w:t>责管理，山西建设投资集团有限公司负责具体</w:t>
      </w:r>
      <w:r>
        <w:rPr>
          <w:rFonts w:hint="eastAsia" w:ascii="宋体" w:hAnsi="宋体" w:cs="宋体"/>
          <w:szCs w:val="24"/>
          <w:lang w:eastAsia="zh-CN"/>
        </w:rPr>
        <w:t>技术内容</w:t>
      </w:r>
      <w:r>
        <w:rPr>
          <w:rFonts w:hint="eastAsia" w:ascii="宋体" w:hAnsi="宋体" w:eastAsia="宋体" w:cs="宋体"/>
          <w:szCs w:val="24"/>
        </w:rPr>
        <w:t>解释。本</w:t>
      </w:r>
      <w:r>
        <w:rPr>
          <w:rFonts w:hint="eastAsia" w:ascii="宋体" w:hAnsi="宋体" w:cs="宋体"/>
          <w:szCs w:val="24"/>
          <w:lang w:val="en-US" w:eastAsia="zh-CN"/>
        </w:rPr>
        <w:t>标准</w:t>
      </w:r>
      <w:r>
        <w:rPr>
          <w:rFonts w:hint="eastAsia" w:ascii="宋体" w:hAnsi="宋体" w:eastAsia="宋体" w:cs="宋体"/>
          <w:szCs w:val="24"/>
        </w:rPr>
        <w:t>在执行过程中，请各单位结合工程实践认真总结经验，注意积累资料，随时将意见和建议反馈给山西建设投资集团有限公司（地址：</w:t>
      </w:r>
      <w:r>
        <w:rPr>
          <w:rFonts w:hint="eastAsia" w:ascii="宋体" w:hAnsi="宋体" w:cs="宋体"/>
          <w:szCs w:val="24"/>
          <w:lang w:val="en-US" w:eastAsia="zh-CN"/>
        </w:rPr>
        <w:t>山西示范区新化路8</w:t>
      </w:r>
      <w:r>
        <w:rPr>
          <w:rFonts w:hint="eastAsia" w:ascii="宋体" w:hAnsi="宋体" w:eastAsia="宋体" w:cs="宋体"/>
          <w:szCs w:val="24"/>
        </w:rPr>
        <w:t>号，邮编030032）以供今后修订时参考。</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主编单位：山西建设投资集团有限公司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          山西省建筑设计研究院有限公司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参编单位：山西钢铁建设（集团）有限公司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          太原市建筑设计研究院</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bookmarkStart w:id="5" w:name="_Toc2530"/>
      <w:bookmarkStart w:id="6" w:name="_Toc15472"/>
      <w:bookmarkStart w:id="7" w:name="_Toc10769"/>
      <w:bookmarkStart w:id="8" w:name="_Toc5327"/>
      <w:r>
        <w:rPr>
          <w:rFonts w:hint="eastAsia" w:ascii="宋体" w:hAnsi="宋体" w:eastAsia="宋体" w:cs="宋体"/>
          <w:szCs w:val="24"/>
          <w:lang w:val="en-US" w:eastAsia="zh-CN"/>
        </w:rPr>
        <w:t xml:space="preserve">          山西省建筑科学研究院集团有限公司</w:t>
      </w:r>
      <w:bookmarkEnd w:id="5"/>
      <w:bookmarkEnd w:id="6"/>
      <w:bookmarkEnd w:id="7"/>
      <w:bookmarkEnd w:id="8"/>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          山西省勘察设计研究院有限公司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          太原市市政工程设计研究院</w:t>
      </w:r>
    </w:p>
    <w:p>
      <w:pPr>
        <w:keepNext w:val="0"/>
        <w:keepLines w:val="0"/>
        <w:pageBreakBefore w:val="0"/>
        <w:widowControl/>
        <w:kinsoku/>
        <w:wordWrap/>
        <w:overflowPunct/>
        <w:topLinePunct w:val="0"/>
        <w:autoSpaceDE/>
        <w:autoSpaceDN/>
        <w:bidi w:val="0"/>
        <w:adjustRightInd/>
        <w:snapToGrid/>
        <w:spacing w:line="480" w:lineRule="exact"/>
        <w:ind w:firstLine="1200" w:firstLineChars="500"/>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太原理工大学</w:t>
      </w:r>
    </w:p>
    <w:p>
      <w:pPr>
        <w:keepNext w:val="0"/>
        <w:keepLines w:val="0"/>
        <w:pageBreakBefore w:val="0"/>
        <w:widowControl/>
        <w:kinsoku/>
        <w:wordWrap/>
        <w:overflowPunct/>
        <w:topLinePunct w:val="0"/>
        <w:autoSpaceDE/>
        <w:autoSpaceDN/>
        <w:bidi w:val="0"/>
        <w:adjustRightInd/>
        <w:snapToGrid/>
        <w:spacing w:line="480" w:lineRule="exact"/>
        <w:ind w:firstLine="1200" w:firstLineChars="500"/>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山西裕祥岩土工程有限公司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Cs w:val="24"/>
          <w:lang w:val="en-US" w:eastAsia="zh-CN"/>
        </w:rPr>
      </w:pPr>
      <w:r>
        <w:rPr>
          <w:rFonts w:hint="eastAsia" w:ascii="宋体" w:hAnsi="宋体" w:eastAsia="宋体" w:cs="宋体"/>
          <w:szCs w:val="24"/>
        </w:rPr>
        <w:t>主要起草人员</w:t>
      </w:r>
      <w:r>
        <w:rPr>
          <w:rFonts w:hint="eastAsia" w:ascii="宋体" w:hAnsi="宋体" w:eastAsia="宋体" w:cs="宋体"/>
          <w:szCs w:val="24"/>
          <w:lang w:val="en-US" w:eastAsia="zh-CN"/>
        </w:rPr>
        <w:t>：张循当  李卫俊  吴正杰  贾迎泽  李玉屏  李英涛  宋宇光</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          史卫平  弓晓丽  王志坚  史晋荣  何  亮  王敏泽  梁  进</w:t>
      </w:r>
    </w:p>
    <w:p>
      <w:pPr>
        <w:keepNext w:val="0"/>
        <w:keepLines w:val="0"/>
        <w:pageBreakBefore w:val="0"/>
        <w:widowControl/>
        <w:kinsoku/>
        <w:wordWrap/>
        <w:overflowPunct/>
        <w:topLinePunct w:val="0"/>
        <w:autoSpaceDE/>
        <w:autoSpaceDN/>
        <w:bidi w:val="0"/>
        <w:adjustRightInd/>
        <w:snapToGrid/>
        <w:spacing w:line="480" w:lineRule="exact"/>
        <w:ind w:firstLine="1680" w:firstLineChars="700"/>
        <w:textAlignment w:val="auto"/>
        <w:rPr>
          <w:rFonts w:hint="eastAsia" w:ascii="宋体" w:hAnsi="宋体" w:cs="宋体"/>
          <w:szCs w:val="24"/>
          <w:lang w:val="en-US" w:eastAsia="zh-CN"/>
        </w:rPr>
      </w:pPr>
      <w:r>
        <w:rPr>
          <w:rFonts w:hint="eastAsia" w:ascii="宋体" w:hAnsi="宋体" w:eastAsia="宋体" w:cs="宋体"/>
          <w:szCs w:val="24"/>
          <w:lang w:val="en-US" w:eastAsia="zh-CN"/>
        </w:rPr>
        <w:t>关千军  贺武斌  潘  力  车家亮</w:t>
      </w:r>
      <w:r>
        <w:rPr>
          <w:rFonts w:hint="eastAsia" w:ascii="宋体" w:hAnsi="宋体" w:cs="宋体"/>
          <w:szCs w:val="24"/>
          <w:lang w:val="en-US" w:eastAsia="zh-CN"/>
        </w:rPr>
        <w:t xml:space="preserve">  卜  飞  何  鑫  闫洁民</w:t>
      </w:r>
    </w:p>
    <w:p>
      <w:pPr>
        <w:keepNext w:val="0"/>
        <w:keepLines w:val="0"/>
        <w:pageBreakBefore w:val="0"/>
        <w:widowControl/>
        <w:kinsoku/>
        <w:wordWrap/>
        <w:overflowPunct/>
        <w:topLinePunct w:val="0"/>
        <w:autoSpaceDE/>
        <w:autoSpaceDN/>
        <w:bidi w:val="0"/>
        <w:adjustRightInd/>
        <w:snapToGrid/>
        <w:spacing w:line="480" w:lineRule="exact"/>
        <w:ind w:firstLine="1680" w:firstLineChars="700"/>
        <w:textAlignment w:val="auto"/>
        <w:rPr>
          <w:rFonts w:ascii="Times New Roman"/>
          <w:szCs w:val="24"/>
        </w:rPr>
      </w:pPr>
      <w:r>
        <w:rPr>
          <w:rFonts w:hint="eastAsia" w:ascii="宋体" w:hAnsi="宋体" w:cs="宋体"/>
          <w:szCs w:val="24"/>
          <w:lang w:val="en-US" w:eastAsia="zh-CN"/>
        </w:rPr>
        <w:t>申光凝  任  磊</w:t>
      </w:r>
      <w:r>
        <w:rPr>
          <w:rFonts w:hint="eastAsia" w:ascii="宋体" w:hAnsi="宋体" w:eastAsia="宋体" w:cs="宋体"/>
          <w:szCs w:val="24"/>
        </w:rPr>
        <w:t xml:space="preserve">    </w:t>
      </w:r>
      <w:r>
        <w:rPr>
          <w:rFonts w:hint="eastAsia" w:ascii="Times New Roman"/>
          <w:szCs w:val="24"/>
        </w:rPr>
        <w:t xml:space="preserve">                           </w:t>
      </w:r>
    </w:p>
    <w:p>
      <w:pPr>
        <w:jc w:val="left"/>
        <w:rPr>
          <w:rFonts w:ascii="Cambria" w:hAnsi="Cambria"/>
          <w:b/>
          <w:bCs/>
          <w:sz w:val="32"/>
          <w:szCs w:val="32"/>
        </w:rPr>
      </w:pPr>
      <w:r>
        <w:br w:type="page"/>
      </w:r>
    </w:p>
    <w:p>
      <w:pPr>
        <w:rPr>
          <w:rFonts w:hint="eastAsia"/>
        </w:rPr>
      </w:pPr>
    </w:p>
    <w:sdt>
      <w:sdtPr>
        <w:rPr>
          <w:rFonts w:ascii="宋体" w:hAnsi="宋体" w:eastAsia="宋体" w:cs="Times New Roman"/>
          <w:b/>
          <w:bCs/>
          <w:kern w:val="2"/>
          <w:sz w:val="30"/>
          <w:szCs w:val="30"/>
          <w:lang w:val="en-US" w:eastAsia="zh-CN" w:bidi="ar-SA"/>
        </w:rPr>
        <w:id w:val="147482522"/>
        <w15:color w:val="DBDBDB"/>
        <w:docPartObj>
          <w:docPartGallery w:val="Table of Contents"/>
          <w:docPartUnique/>
        </w:docPartObj>
      </w:sdtPr>
      <w:sdtEndPr>
        <w:rPr>
          <w:rFonts w:hint="eastAsia" w:ascii="Cambria" w:hAnsi="Cambria" w:eastAsia="宋体" w:cs="Times New Roman"/>
          <w:b/>
          <w:bCs/>
          <w:kern w:val="2"/>
          <w:sz w:val="32"/>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30"/>
              <w:szCs w:val="30"/>
            </w:rPr>
            <w:t>目</w:t>
          </w:r>
          <w:r>
            <w:rPr>
              <w:rFonts w:hint="eastAsia" w:ascii="宋体" w:hAnsi="宋体"/>
              <w:b/>
              <w:bCs/>
              <w:sz w:val="30"/>
              <w:szCs w:val="30"/>
              <w:lang w:val="en-US" w:eastAsia="zh-CN"/>
            </w:rPr>
            <w:t xml:space="preserve">   </w:t>
          </w:r>
          <w:r>
            <w:rPr>
              <w:rFonts w:ascii="宋体" w:hAnsi="宋体" w:eastAsia="宋体"/>
              <w:b/>
              <w:bCs/>
              <w:sz w:val="30"/>
              <w:szCs w:val="30"/>
            </w:rPr>
            <w:t>录</w:t>
          </w:r>
          <w:r>
            <w:rPr>
              <w:rFonts w:hint="eastAsia"/>
            </w:rPr>
            <w:fldChar w:fldCharType="begin"/>
          </w:r>
          <w:r>
            <w:rPr>
              <w:rFonts w:hint="eastAsia"/>
            </w:rPr>
            <w:instrText xml:space="preserve">TOC \o "1-2" \h \u </w:instrText>
          </w:r>
          <w:r>
            <w:rPr>
              <w:rFonts w:hint="eastAsia"/>
            </w:rPr>
            <w:fldChar w:fldCharType="separate"/>
          </w:r>
        </w:p>
        <w:p>
          <w:pPr>
            <w:pStyle w:val="5"/>
            <w:tabs>
              <w:tab w:val="right" w:leader="dot" w:pos="8640"/>
              <w:tab w:val="clear" w:pos="9628"/>
            </w:tabs>
          </w:pPr>
          <w:r>
            <w:rPr>
              <w:rFonts w:hint="eastAsia"/>
            </w:rPr>
            <w:fldChar w:fldCharType="begin"/>
          </w:r>
          <w:r>
            <w:rPr>
              <w:rFonts w:hint="eastAsia"/>
            </w:rPr>
            <w:instrText xml:space="preserve"> HYPERLINK \l _Toc4626 </w:instrText>
          </w:r>
          <w:r>
            <w:rPr>
              <w:rFonts w:hint="eastAsia"/>
            </w:rPr>
            <w:fldChar w:fldCharType="separate"/>
          </w:r>
          <w:r>
            <w:rPr>
              <w:rFonts w:hint="eastAsia"/>
            </w:rPr>
            <w:t>1  总 则</w:t>
          </w:r>
          <w:r>
            <w:tab/>
          </w:r>
          <w:r>
            <w:fldChar w:fldCharType="begin"/>
          </w:r>
          <w:r>
            <w:instrText xml:space="preserve"> PAGEREF _Toc4626 \h </w:instrText>
          </w:r>
          <w:r>
            <w:fldChar w:fldCharType="separate"/>
          </w:r>
          <w:r>
            <w:t>1</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_Toc8034 </w:instrText>
          </w:r>
          <w:r>
            <w:rPr>
              <w:rFonts w:hint="eastAsia"/>
            </w:rPr>
            <w:fldChar w:fldCharType="separate"/>
          </w:r>
          <w:r>
            <w:rPr>
              <w:rFonts w:hint="eastAsia"/>
            </w:rPr>
            <w:t>2  术语和符号</w:t>
          </w:r>
          <w:r>
            <w:tab/>
          </w:r>
          <w:r>
            <w:fldChar w:fldCharType="begin"/>
          </w:r>
          <w:r>
            <w:instrText xml:space="preserve"> PAGEREF _Toc8034 \h </w:instrText>
          </w:r>
          <w:r>
            <w:fldChar w:fldCharType="separate"/>
          </w:r>
          <w:r>
            <w:t>2</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_Toc11480 </w:instrText>
          </w:r>
          <w:r>
            <w:rPr>
              <w:rFonts w:hint="eastAsia"/>
            </w:rPr>
            <w:fldChar w:fldCharType="separate"/>
          </w:r>
          <w:r>
            <w:rPr>
              <w:rFonts w:hint="eastAsia"/>
            </w:rPr>
            <w:t>2.1  术语</w:t>
          </w:r>
          <w:r>
            <w:tab/>
          </w:r>
          <w:r>
            <w:fldChar w:fldCharType="begin"/>
          </w:r>
          <w:r>
            <w:instrText xml:space="preserve"> PAGEREF _Toc11480 \h </w:instrText>
          </w:r>
          <w:r>
            <w:fldChar w:fldCharType="separate"/>
          </w:r>
          <w:r>
            <w:t>2</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_Toc7032 </w:instrText>
          </w:r>
          <w:r>
            <w:rPr>
              <w:rFonts w:hint="eastAsia"/>
            </w:rPr>
            <w:fldChar w:fldCharType="separate"/>
          </w:r>
          <w:r>
            <w:rPr>
              <w:rFonts w:ascii="Times New Roman" w:hAnsi="Times New Roman"/>
            </w:rPr>
            <w:t>2</w:t>
          </w:r>
          <w:r>
            <w:t>.</w:t>
          </w:r>
          <w:r>
            <w:rPr>
              <w:rFonts w:ascii="Times New Roman" w:hAnsi="Times New Roman"/>
            </w:rPr>
            <w:t>2</w:t>
          </w:r>
          <w:r>
            <w:t xml:space="preserve">  符号</w:t>
          </w:r>
          <w:r>
            <w:tab/>
          </w:r>
          <w:r>
            <w:fldChar w:fldCharType="begin"/>
          </w:r>
          <w:r>
            <w:instrText xml:space="preserve"> PAGEREF _Toc7032 \h </w:instrText>
          </w:r>
          <w:r>
            <w:fldChar w:fldCharType="separate"/>
          </w:r>
          <w:r>
            <w:t>4</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_Toc9470 </w:instrText>
          </w:r>
          <w:r>
            <w:rPr>
              <w:rFonts w:hint="eastAsia"/>
            </w:rPr>
            <w:fldChar w:fldCharType="separate"/>
          </w:r>
          <w:r>
            <w:rPr>
              <w:rFonts w:hint="eastAsia" w:ascii="Times New Roman" w:hAnsi="Times New Roman"/>
            </w:rPr>
            <w:t>3</w:t>
          </w:r>
          <w:r>
            <w:rPr>
              <w:rFonts w:hint="eastAsia"/>
            </w:rPr>
            <w:t xml:space="preserve">  基本规定</w:t>
          </w:r>
          <w:r>
            <w:tab/>
          </w:r>
          <w:r>
            <w:fldChar w:fldCharType="begin"/>
          </w:r>
          <w:r>
            <w:instrText xml:space="preserve"> PAGEREF _Toc9470 \h </w:instrText>
          </w:r>
          <w:r>
            <w:fldChar w:fldCharType="separate"/>
          </w:r>
          <w:r>
            <w:t>9</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_Toc30958 </w:instrText>
          </w:r>
          <w:r>
            <w:rPr>
              <w:rFonts w:hint="eastAsia"/>
            </w:rPr>
            <w:fldChar w:fldCharType="separate"/>
          </w:r>
          <w:r>
            <w:rPr>
              <w:rFonts w:ascii="Times New Roman" w:hAnsi="Times New Roman" w:eastAsia="黑体" w:cs="Times New Roman"/>
              <w:bCs/>
              <w:kern w:val="44"/>
              <w:szCs w:val="44"/>
              <w:lang w:val="en-US" w:eastAsia="zh-CN" w:bidi="ar-SA"/>
            </w:rPr>
            <w:t>4</w:t>
          </w:r>
          <w:r>
            <w:rPr>
              <w:rFonts w:hint="eastAsia" w:ascii="宋体" w:hAnsi="宋体" w:eastAsia="黑体" w:cs="Times New Roman"/>
              <w:bCs/>
              <w:kern w:val="44"/>
              <w:szCs w:val="44"/>
              <w:lang w:val="en-US" w:eastAsia="zh-CN" w:bidi="ar-SA"/>
            </w:rPr>
            <w:t xml:space="preserve">  </w:t>
          </w:r>
          <w:r>
            <w:rPr>
              <w:rFonts w:hint="eastAsia" w:ascii="Calibri" w:hAnsi="Calibri" w:eastAsia="黑体" w:cs="Times New Roman"/>
              <w:bCs/>
              <w:kern w:val="44"/>
              <w:szCs w:val="44"/>
              <w:lang w:val="en-US" w:eastAsia="zh-CN" w:bidi="ar-SA"/>
            </w:rPr>
            <w:t>岩土勘察</w:t>
          </w:r>
          <w:r>
            <w:tab/>
          </w:r>
          <w:r>
            <w:fldChar w:fldCharType="begin"/>
          </w:r>
          <w:r>
            <w:instrText xml:space="preserve"> PAGEREF _Toc30958 \h </w:instrText>
          </w:r>
          <w:r>
            <w:fldChar w:fldCharType="separate"/>
          </w:r>
          <w:r>
            <w:t>14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_Toc6535 </w:instrText>
          </w:r>
          <w:r>
            <w:rPr>
              <w:rFonts w:hint="eastAsia"/>
            </w:rPr>
            <w:fldChar w:fldCharType="separate"/>
          </w:r>
          <w:r>
            <w:rPr>
              <w:rFonts w:hint="eastAsia" w:ascii="Cambria" w:hAnsi="Cambria" w:eastAsia="宋体" w:cs="Times New Roman"/>
              <w:bCs/>
              <w:kern w:val="2"/>
              <w:szCs w:val="32"/>
              <w:lang w:val="en-US" w:eastAsia="zh-CN" w:bidi="ar-SA"/>
            </w:rPr>
            <w:t>4.1  一般规定</w:t>
          </w:r>
          <w:r>
            <w:tab/>
          </w:r>
          <w:r>
            <w:fldChar w:fldCharType="begin"/>
          </w:r>
          <w:r>
            <w:instrText xml:space="preserve"> PAGEREF _Toc6535 \h </w:instrText>
          </w:r>
          <w:r>
            <w:fldChar w:fldCharType="separate"/>
          </w:r>
          <w:r>
            <w:t>14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_Toc22708 </w:instrText>
          </w:r>
          <w:r>
            <w:rPr>
              <w:rFonts w:hint="eastAsia"/>
            </w:rPr>
            <w:fldChar w:fldCharType="separate"/>
          </w:r>
          <w:r>
            <w:rPr>
              <w:rFonts w:hint="eastAsia" w:ascii="Cambria" w:hAnsi="Cambria" w:eastAsia="宋体" w:cs="Times New Roman"/>
              <w:bCs/>
              <w:kern w:val="2"/>
              <w:szCs w:val="32"/>
              <w:lang w:val="en-US" w:eastAsia="zh-CN" w:bidi="ar-SA"/>
            </w:rPr>
            <w:t>4.2  勘探与测试</w:t>
          </w:r>
          <w:r>
            <w:tab/>
          </w:r>
          <w:r>
            <w:fldChar w:fldCharType="begin"/>
          </w:r>
          <w:r>
            <w:instrText xml:space="preserve"> PAGEREF _Toc22708 \h </w:instrText>
          </w:r>
          <w:r>
            <w:fldChar w:fldCharType="separate"/>
          </w:r>
          <w:r>
            <w:t>16</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_Toc5556 </w:instrText>
          </w:r>
          <w:r>
            <w:rPr>
              <w:rFonts w:hint="eastAsia"/>
            </w:rPr>
            <w:fldChar w:fldCharType="separate"/>
          </w:r>
          <w:r>
            <w:rPr>
              <w:rFonts w:hint="eastAsia" w:ascii="Cambria" w:hAnsi="Cambria" w:eastAsia="宋体" w:cs="Times New Roman"/>
              <w:bCs/>
              <w:kern w:val="2"/>
              <w:szCs w:val="32"/>
              <w:lang w:val="en-US" w:eastAsia="zh-CN" w:bidi="ar-SA"/>
            </w:rPr>
            <w:t>4.3  室内试验</w:t>
          </w:r>
          <w:r>
            <w:tab/>
          </w:r>
          <w:r>
            <w:fldChar w:fldCharType="begin"/>
          </w:r>
          <w:r>
            <w:instrText xml:space="preserve"> PAGEREF _Toc5556 \h </w:instrText>
          </w:r>
          <w:r>
            <w:fldChar w:fldCharType="separate"/>
          </w:r>
          <w:r>
            <w:t>19</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_Toc5841 </w:instrText>
          </w:r>
          <w:r>
            <w:rPr>
              <w:rFonts w:hint="eastAsia"/>
            </w:rPr>
            <w:fldChar w:fldCharType="separate"/>
          </w:r>
          <w:r>
            <w:rPr>
              <w:rFonts w:hint="eastAsia" w:ascii="Cambria" w:hAnsi="Cambria" w:eastAsia="宋体" w:cs="Times New Roman"/>
              <w:bCs/>
              <w:kern w:val="2"/>
              <w:szCs w:val="32"/>
              <w:lang w:val="en-US" w:eastAsia="zh-CN" w:bidi="ar-SA"/>
            </w:rPr>
            <w:t>4.4  勘察成果</w:t>
          </w:r>
          <w:r>
            <w:tab/>
          </w:r>
          <w:r>
            <w:fldChar w:fldCharType="begin"/>
          </w:r>
          <w:r>
            <w:instrText xml:space="preserve"> PAGEREF _Toc5841 \h </w:instrText>
          </w:r>
          <w:r>
            <w:fldChar w:fldCharType="separate"/>
          </w:r>
          <w:r>
            <w:t>21</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_Toc13329 </w:instrText>
          </w:r>
          <w:r>
            <w:rPr>
              <w:rFonts w:hint="eastAsia"/>
            </w:rPr>
            <w:fldChar w:fldCharType="separate"/>
          </w:r>
          <w:r>
            <w:rPr>
              <w:rFonts w:ascii="Times New Roman" w:hAnsi="Times New Roman"/>
            </w:rPr>
            <w:t xml:space="preserve">5  </w:t>
          </w:r>
          <w:r>
            <w:rPr>
              <w:rFonts w:hint="eastAsia" w:ascii="Times New Roman" w:hAnsi="Times New Roman"/>
            </w:rPr>
            <w:t>土压力计算</w:t>
          </w:r>
          <w:r>
            <w:tab/>
          </w:r>
          <w:r>
            <w:fldChar w:fldCharType="begin"/>
          </w:r>
          <w:r>
            <w:instrText xml:space="preserve"> PAGEREF _Toc13329 \h </w:instrText>
          </w:r>
          <w:r>
            <w:fldChar w:fldCharType="separate"/>
          </w:r>
          <w:r>
            <w:t>24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_Toc24507 </w:instrText>
          </w:r>
          <w:r>
            <w:rPr>
              <w:rFonts w:hint="eastAsia"/>
            </w:rPr>
            <w:fldChar w:fldCharType="separate"/>
          </w:r>
          <w:r>
            <w:t xml:space="preserve">5.1  </w:t>
          </w:r>
          <w:r>
            <w:rPr>
              <w:rFonts w:hint="eastAsia"/>
            </w:rPr>
            <w:t>一般规定</w:t>
          </w:r>
          <w:r>
            <w:tab/>
          </w:r>
          <w:r>
            <w:fldChar w:fldCharType="begin"/>
          </w:r>
          <w:r>
            <w:instrText xml:space="preserve"> PAGEREF _Toc24507 \h </w:instrText>
          </w:r>
          <w:r>
            <w:fldChar w:fldCharType="separate"/>
          </w:r>
          <w:r>
            <w:t>24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_Toc25328 </w:instrText>
          </w:r>
          <w:r>
            <w:rPr>
              <w:rFonts w:hint="eastAsia"/>
            </w:rPr>
            <w:fldChar w:fldCharType="separate"/>
          </w:r>
          <w:r>
            <w:t xml:space="preserve">5.2  </w:t>
          </w:r>
          <w:r>
            <w:rPr>
              <w:rFonts w:hint="eastAsia"/>
            </w:rPr>
            <w:t>荷载组合</w:t>
          </w:r>
          <w:r>
            <w:tab/>
          </w:r>
          <w:r>
            <w:fldChar w:fldCharType="begin"/>
          </w:r>
          <w:r>
            <w:instrText xml:space="preserve"> PAGEREF _Toc25328 \h </w:instrText>
          </w:r>
          <w:r>
            <w:fldChar w:fldCharType="separate"/>
          </w:r>
          <w:r>
            <w:t>24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_Toc21861 </w:instrText>
          </w:r>
          <w:r>
            <w:rPr>
              <w:rFonts w:hint="eastAsia"/>
            </w:rPr>
            <w:fldChar w:fldCharType="separate"/>
          </w:r>
          <w:r>
            <w:t xml:space="preserve">5.3  </w:t>
          </w:r>
          <w:r>
            <w:rPr>
              <w:rFonts w:hint="eastAsia"/>
            </w:rPr>
            <w:t>参数选择</w:t>
          </w:r>
          <w:r>
            <w:tab/>
          </w:r>
          <w:r>
            <w:fldChar w:fldCharType="begin"/>
          </w:r>
          <w:r>
            <w:instrText xml:space="preserve"> PAGEREF _Toc21861 \h </w:instrText>
          </w:r>
          <w:r>
            <w:fldChar w:fldCharType="separate"/>
          </w:r>
          <w:r>
            <w:t>25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_Toc7610 </w:instrText>
          </w:r>
          <w:r>
            <w:rPr>
              <w:rFonts w:hint="eastAsia"/>
            </w:rPr>
            <w:fldChar w:fldCharType="separate"/>
          </w:r>
          <w:r>
            <w:t xml:space="preserve">5.4  </w:t>
          </w:r>
          <w:r>
            <w:rPr>
              <w:rFonts w:hint="eastAsia"/>
            </w:rPr>
            <w:t>计算原则</w:t>
          </w:r>
          <w:r>
            <w:tab/>
          </w:r>
          <w:r>
            <w:fldChar w:fldCharType="begin"/>
          </w:r>
          <w:r>
            <w:instrText xml:space="preserve"> PAGEREF _Toc7610 \h </w:instrText>
          </w:r>
          <w:r>
            <w:fldChar w:fldCharType="separate"/>
          </w:r>
          <w:r>
            <w:t>25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_Toc27090 </w:instrText>
          </w:r>
          <w:r>
            <w:rPr>
              <w:rFonts w:hint="eastAsia"/>
            </w:rPr>
            <w:fldChar w:fldCharType="separate"/>
          </w:r>
          <w:r>
            <w:t xml:space="preserve">5.5  </w:t>
          </w:r>
          <w:r>
            <w:rPr>
              <w:rFonts w:hint="eastAsia"/>
            </w:rPr>
            <w:t>水平荷载</w:t>
          </w:r>
          <w:r>
            <w:tab/>
          </w:r>
          <w:r>
            <w:fldChar w:fldCharType="begin"/>
          </w:r>
          <w:r>
            <w:instrText xml:space="preserve"> PAGEREF _Toc27090 \h </w:instrText>
          </w:r>
          <w:r>
            <w:fldChar w:fldCharType="separate"/>
          </w:r>
          <w:r>
            <w:t>25</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_Toc18871 </w:instrText>
          </w:r>
          <w:r>
            <w:rPr>
              <w:rFonts w:hint="eastAsia"/>
            </w:rPr>
            <w:fldChar w:fldCharType="separate"/>
          </w:r>
          <w:r>
            <w:t>6</w:t>
          </w:r>
          <w:r>
            <w:rPr>
              <w:rFonts w:hint="eastAsia"/>
            </w:rPr>
            <w:t xml:space="preserve">  基坑稳定性</w:t>
          </w:r>
          <w:r>
            <w:tab/>
          </w:r>
          <w:r>
            <w:fldChar w:fldCharType="begin"/>
          </w:r>
          <w:r>
            <w:instrText xml:space="preserve"> PAGEREF _Toc18871 \h </w:instrText>
          </w:r>
          <w:r>
            <w:fldChar w:fldCharType="separate"/>
          </w:r>
          <w:r>
            <w:t>31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_Toc813 </w:instrText>
          </w:r>
          <w:r>
            <w:rPr>
              <w:rFonts w:hint="eastAsia"/>
            </w:rPr>
            <w:fldChar w:fldCharType="separate"/>
          </w:r>
          <w:r>
            <w:rPr>
              <w:rFonts w:hint="eastAsia"/>
            </w:rPr>
            <w:t>6.1  一般规定</w:t>
          </w:r>
          <w:r>
            <w:tab/>
          </w:r>
          <w:r>
            <w:fldChar w:fldCharType="begin"/>
          </w:r>
          <w:r>
            <w:instrText xml:space="preserve"> PAGEREF _Toc813 \h </w:instrText>
          </w:r>
          <w:r>
            <w:fldChar w:fldCharType="separate"/>
          </w:r>
          <w:r>
            <w:t>31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_Toc6727 </w:instrText>
          </w:r>
          <w:r>
            <w:rPr>
              <w:rFonts w:hint="eastAsia"/>
            </w:rPr>
            <w:fldChar w:fldCharType="separate"/>
          </w:r>
          <w:r>
            <w:rPr>
              <w:rFonts w:hint="eastAsia"/>
            </w:rPr>
            <w:t>6.2  基坑整体稳定性验算</w:t>
          </w:r>
          <w:r>
            <w:tab/>
          </w:r>
          <w:r>
            <w:fldChar w:fldCharType="begin"/>
          </w:r>
          <w:r>
            <w:instrText xml:space="preserve"> PAGEREF _Toc6727 \h </w:instrText>
          </w:r>
          <w:r>
            <w:fldChar w:fldCharType="separate"/>
          </w:r>
          <w:r>
            <w:t>31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_Toc23992 </w:instrText>
          </w:r>
          <w:r>
            <w:rPr>
              <w:rFonts w:hint="eastAsia"/>
            </w:rPr>
            <w:fldChar w:fldCharType="separate"/>
          </w:r>
          <w:r>
            <w:rPr>
              <w:rFonts w:hint="eastAsia"/>
            </w:rPr>
            <w:t>6.3  支挡结构</w:t>
          </w:r>
          <w:r>
            <w:rPr>
              <w:rFonts w:hint="eastAsia"/>
              <w:lang w:val="en-US" w:eastAsia="zh-CN"/>
            </w:rPr>
            <w:t>嵌固</w:t>
          </w:r>
          <w:r>
            <w:rPr>
              <w:rFonts w:hint="eastAsia"/>
            </w:rPr>
            <w:t>深度的验算</w:t>
          </w:r>
          <w:r>
            <w:tab/>
          </w:r>
          <w:r>
            <w:fldChar w:fldCharType="begin"/>
          </w:r>
          <w:r>
            <w:instrText xml:space="preserve"> PAGEREF _Toc23992 \h </w:instrText>
          </w:r>
          <w:r>
            <w:fldChar w:fldCharType="separate"/>
          </w:r>
          <w:r>
            <w:t>34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_Toc16281 </w:instrText>
          </w:r>
          <w:r>
            <w:rPr>
              <w:rFonts w:hint="eastAsia"/>
            </w:rPr>
            <w:fldChar w:fldCharType="separate"/>
          </w:r>
          <w:r>
            <w:rPr>
              <w:rFonts w:hint="eastAsia"/>
            </w:rPr>
            <w:t>6.4　基坑抗隆起稳定性验算</w:t>
          </w:r>
          <w:r>
            <w:tab/>
          </w:r>
          <w:r>
            <w:fldChar w:fldCharType="begin"/>
          </w:r>
          <w:r>
            <w:instrText xml:space="preserve"> PAGEREF _Toc16281 \h </w:instrText>
          </w:r>
          <w:r>
            <w:fldChar w:fldCharType="separate"/>
          </w:r>
          <w:r>
            <w:t>35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_Toc523 </w:instrText>
          </w:r>
          <w:r>
            <w:rPr>
              <w:rFonts w:hint="eastAsia"/>
            </w:rPr>
            <w:fldChar w:fldCharType="separate"/>
          </w:r>
          <w:r>
            <w:rPr>
              <w:rFonts w:hint="eastAsia"/>
            </w:rPr>
            <w:t>6.5  基坑底抗渗流稳定性验算</w:t>
          </w:r>
          <w:r>
            <w:tab/>
          </w:r>
          <w:r>
            <w:fldChar w:fldCharType="begin"/>
          </w:r>
          <w:r>
            <w:instrText xml:space="preserve"> PAGEREF _Toc523 \h </w:instrText>
          </w:r>
          <w:r>
            <w:fldChar w:fldCharType="separate"/>
          </w:r>
          <w:r>
            <w:t>37</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_Toc31843 </w:instrText>
          </w:r>
          <w:r>
            <w:rPr>
              <w:rFonts w:hint="eastAsia"/>
            </w:rPr>
            <w:fldChar w:fldCharType="separate"/>
          </w:r>
          <w:r>
            <w:rPr>
              <w:rFonts w:hint="eastAsia" w:ascii="Times New Roman" w:hAnsi="Times New Roman"/>
            </w:rPr>
            <w:t>7</w:t>
          </w:r>
          <w:r>
            <w:rPr>
              <w:rFonts w:hint="eastAsia"/>
            </w:rPr>
            <w:t xml:space="preserve">  支护结构选型</w:t>
          </w:r>
          <w:r>
            <w:tab/>
          </w:r>
          <w:r>
            <w:fldChar w:fldCharType="begin"/>
          </w:r>
          <w:r>
            <w:instrText xml:space="preserve"> PAGEREF _Toc31843 \h </w:instrText>
          </w:r>
          <w:r>
            <w:fldChar w:fldCharType="separate"/>
          </w:r>
          <w:r>
            <w:t>40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_Toc6782 </w:instrText>
          </w:r>
          <w:r>
            <w:rPr>
              <w:rFonts w:hint="eastAsia"/>
            </w:rPr>
            <w:fldChar w:fldCharType="separate"/>
          </w:r>
          <w:r>
            <w:rPr>
              <w:rFonts w:hint="eastAsia"/>
            </w:rPr>
            <w:t>7.1  一般规定</w:t>
          </w:r>
          <w:r>
            <w:tab/>
          </w:r>
          <w:r>
            <w:fldChar w:fldCharType="begin"/>
          </w:r>
          <w:r>
            <w:instrText xml:space="preserve"> PAGEREF _Toc6782 \h </w:instrText>
          </w:r>
          <w:r>
            <w:fldChar w:fldCharType="separate"/>
          </w:r>
          <w:r>
            <w:t>40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_Toc25140 </w:instrText>
          </w:r>
          <w:r>
            <w:rPr>
              <w:rFonts w:hint="eastAsia"/>
            </w:rPr>
            <w:fldChar w:fldCharType="separate"/>
          </w:r>
          <w:r>
            <w:rPr>
              <w:rFonts w:hint="eastAsia" w:ascii="Cambria" w:hAnsi="Cambria" w:eastAsia="宋体" w:cs="Times New Roman"/>
              <w:bCs/>
              <w:szCs w:val="32"/>
            </w:rPr>
            <w:t>7.2  现场周边环境</w:t>
          </w:r>
          <w:r>
            <w:tab/>
          </w:r>
          <w:r>
            <w:fldChar w:fldCharType="begin"/>
          </w:r>
          <w:r>
            <w:instrText xml:space="preserve"> PAGEREF _Toc25140 \h </w:instrText>
          </w:r>
          <w:r>
            <w:fldChar w:fldCharType="separate"/>
          </w:r>
          <w:r>
            <w:t>40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_Toc2227 </w:instrText>
          </w:r>
          <w:r>
            <w:rPr>
              <w:rFonts w:hint="eastAsia"/>
            </w:rPr>
            <w:fldChar w:fldCharType="separate"/>
          </w:r>
          <w:r>
            <w:rPr>
              <w:rFonts w:hint="eastAsia" w:ascii="Cambria" w:hAnsi="Cambria" w:eastAsia="宋体" w:cs="Times New Roman"/>
              <w:bCs/>
              <w:szCs w:val="32"/>
            </w:rPr>
            <w:t>7.3  支护结构和适用条件</w:t>
          </w:r>
          <w:r>
            <w:tab/>
          </w:r>
          <w:r>
            <w:fldChar w:fldCharType="begin"/>
          </w:r>
          <w:r>
            <w:instrText xml:space="preserve"> PAGEREF _Toc2227 \h </w:instrText>
          </w:r>
          <w:r>
            <w:fldChar w:fldCharType="separate"/>
          </w:r>
          <w:r>
            <w:t>41</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_Toc12611 </w:instrText>
          </w:r>
          <w:r>
            <w:rPr>
              <w:rFonts w:hint="eastAsia"/>
            </w:rPr>
            <w:fldChar w:fldCharType="separate"/>
          </w:r>
          <w:r>
            <w:rPr>
              <w:rFonts w:hint="eastAsia"/>
            </w:rPr>
            <w:t>8  支</w:t>
          </w:r>
          <w:r>
            <w:rPr>
              <w:rFonts w:hint="eastAsia"/>
              <w:lang w:val="en-US" w:eastAsia="zh-CN"/>
            </w:rPr>
            <w:t>挡</w:t>
          </w:r>
          <w:r>
            <w:rPr>
              <w:rFonts w:hint="eastAsia"/>
            </w:rPr>
            <w:t>结构</w:t>
          </w:r>
          <w:r>
            <w:tab/>
          </w:r>
          <w:r>
            <w:fldChar w:fldCharType="begin"/>
          </w:r>
          <w:r>
            <w:instrText xml:space="preserve"> PAGEREF _Toc12611 \h </w:instrText>
          </w:r>
          <w:r>
            <w:fldChar w:fldCharType="separate"/>
          </w:r>
          <w:r>
            <w:t>43</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_Toc25753 </w:instrText>
          </w:r>
          <w:r>
            <w:rPr>
              <w:rFonts w:hint="eastAsia"/>
            </w:rPr>
            <w:fldChar w:fldCharType="separate"/>
          </w:r>
          <w:r>
            <w:rPr>
              <w:rFonts w:hint="eastAsia" w:ascii="Times New Roman" w:hAnsi="Times New Roman"/>
            </w:rPr>
            <w:t>8.1  排桩支护</w:t>
          </w:r>
          <w:r>
            <w:tab/>
          </w:r>
          <w:r>
            <w:fldChar w:fldCharType="begin"/>
          </w:r>
          <w:r>
            <w:instrText xml:space="preserve"> PAGEREF _Toc25753 \h </w:instrText>
          </w:r>
          <w:r>
            <w:fldChar w:fldCharType="separate"/>
          </w:r>
          <w:r>
            <w:t>43</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_Toc32761 </w:instrText>
          </w:r>
          <w:r>
            <w:rPr>
              <w:rFonts w:hint="eastAsia"/>
            </w:rPr>
            <w:fldChar w:fldCharType="separate"/>
          </w:r>
          <w:r>
            <w:rPr>
              <w:rFonts w:hint="eastAsia"/>
            </w:rPr>
            <w:t>8.2  钢板桩</w:t>
          </w:r>
          <w:r>
            <w:tab/>
          </w:r>
          <w:r>
            <w:fldChar w:fldCharType="begin"/>
          </w:r>
          <w:r>
            <w:instrText xml:space="preserve"> PAGEREF _Toc32761 \h </w:instrText>
          </w:r>
          <w:r>
            <w:fldChar w:fldCharType="separate"/>
          </w:r>
          <w:r>
            <w:t>57</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_Toc6240 </w:instrText>
          </w:r>
          <w:r>
            <w:rPr>
              <w:rFonts w:hint="eastAsia"/>
            </w:rPr>
            <w:fldChar w:fldCharType="separate"/>
          </w:r>
          <w:r>
            <w:rPr>
              <w:rFonts w:hint="eastAsia"/>
            </w:rPr>
            <w:t>8.</w:t>
          </w:r>
          <w:r>
            <w:rPr>
              <w:rFonts w:hint="eastAsia"/>
              <w:lang w:val="en-US" w:eastAsia="zh-CN"/>
            </w:rPr>
            <w:t>3</w:t>
          </w:r>
          <w:r>
            <w:rPr>
              <w:rFonts w:hint="eastAsia"/>
            </w:rPr>
            <w:t xml:space="preserve">  型钢水泥土搅拌墙</w:t>
          </w:r>
          <w:r>
            <w:tab/>
          </w:r>
          <w:r>
            <w:fldChar w:fldCharType="begin"/>
          </w:r>
          <w:r>
            <w:instrText xml:space="preserve"> PAGEREF _Toc6240 \h </w:instrText>
          </w:r>
          <w:r>
            <w:fldChar w:fldCharType="separate"/>
          </w:r>
          <w:r>
            <w:t>62</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_Toc12166 </w:instrText>
          </w:r>
          <w:r>
            <w:rPr>
              <w:rFonts w:hint="eastAsia"/>
            </w:rPr>
            <w:fldChar w:fldCharType="separate"/>
          </w:r>
          <w:r>
            <w:rPr>
              <w:rFonts w:hint="eastAsia" w:ascii="Times New Roman" w:hAnsi="Times New Roman"/>
            </w:rPr>
            <w:t>8.</w:t>
          </w:r>
          <w:r>
            <w:rPr>
              <w:rFonts w:hint="eastAsia" w:ascii="Times New Roman" w:hAnsi="Times New Roman"/>
              <w:lang w:val="en-US" w:eastAsia="zh-CN"/>
            </w:rPr>
            <w:t>4</w:t>
          </w:r>
          <w:r>
            <w:rPr>
              <w:rFonts w:hint="eastAsia" w:ascii="Times New Roman" w:hAnsi="Times New Roman"/>
            </w:rPr>
            <w:t xml:space="preserve">  地下连续墙</w:t>
          </w:r>
          <w:r>
            <w:tab/>
          </w:r>
          <w:r>
            <w:fldChar w:fldCharType="begin"/>
          </w:r>
          <w:r>
            <w:instrText xml:space="preserve"> PAGEREF _Toc12166 \h </w:instrText>
          </w:r>
          <w:r>
            <w:fldChar w:fldCharType="separate"/>
          </w:r>
          <w:r>
            <w:t>73</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_Toc10550 </w:instrText>
          </w:r>
          <w:r>
            <w:rPr>
              <w:rFonts w:hint="eastAsia"/>
            </w:rPr>
            <w:fldChar w:fldCharType="separate"/>
          </w:r>
          <w:r>
            <w:t>8.</w:t>
          </w:r>
          <w:r>
            <w:rPr>
              <w:rFonts w:hint="eastAsia"/>
              <w:lang w:val="en-US" w:eastAsia="zh-CN"/>
            </w:rPr>
            <w:t>5</w:t>
          </w:r>
          <w:r>
            <w:rPr>
              <w:rFonts w:hint="eastAsia"/>
            </w:rPr>
            <w:t xml:space="preserve">  锚杆</w:t>
          </w:r>
          <w:r>
            <w:tab/>
          </w:r>
          <w:r>
            <w:fldChar w:fldCharType="begin"/>
          </w:r>
          <w:r>
            <w:instrText xml:space="preserve"> PAGEREF _Toc10550 \h </w:instrText>
          </w:r>
          <w:r>
            <w:fldChar w:fldCharType="separate"/>
          </w:r>
          <w:r>
            <w:t>81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_Toc7731 </w:instrText>
          </w:r>
          <w:r>
            <w:rPr>
              <w:rFonts w:hint="eastAsia"/>
            </w:rPr>
            <w:fldChar w:fldCharType="separate"/>
          </w:r>
          <w:r>
            <w:rPr>
              <w:rFonts w:hint="eastAsia"/>
            </w:rPr>
            <w:t>8.</w:t>
          </w:r>
          <w:r>
            <w:rPr>
              <w:rFonts w:hint="eastAsia"/>
              <w:lang w:val="en-US" w:eastAsia="zh-CN"/>
            </w:rPr>
            <w:t>6</w:t>
          </w:r>
          <w:r>
            <w:rPr>
              <w:rFonts w:hint="eastAsia"/>
            </w:rPr>
            <w:t xml:space="preserve">  内支撑结构</w:t>
          </w:r>
          <w:r>
            <w:tab/>
          </w:r>
          <w:r>
            <w:fldChar w:fldCharType="begin"/>
          </w:r>
          <w:r>
            <w:instrText xml:space="preserve"> PAGEREF _Toc7731 \h </w:instrText>
          </w:r>
          <w:r>
            <w:fldChar w:fldCharType="separate"/>
          </w:r>
          <w:r>
            <w:t>90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_Toc31430 </w:instrText>
          </w:r>
          <w:r>
            <w:rPr>
              <w:rFonts w:hint="eastAsia"/>
            </w:rPr>
            <w:fldChar w:fldCharType="separate"/>
          </w:r>
          <w:r>
            <w:rPr>
              <w:rFonts w:hint="eastAsia" w:ascii="Times New Roman" w:hAnsi="Times New Roman"/>
            </w:rPr>
            <w:t>8.</w:t>
          </w:r>
          <w:r>
            <w:rPr>
              <w:rFonts w:hint="eastAsia" w:ascii="Times New Roman" w:hAnsi="Times New Roman"/>
              <w:lang w:val="en-US" w:eastAsia="zh-CN"/>
            </w:rPr>
            <w:t>7</w:t>
          </w:r>
          <w:r>
            <w:rPr>
              <w:rFonts w:hint="eastAsia" w:ascii="Times New Roman" w:hAnsi="Times New Roman"/>
            </w:rPr>
            <w:t xml:space="preserve">  逆作法</w:t>
          </w:r>
          <w:r>
            <w:tab/>
          </w:r>
          <w:r>
            <w:fldChar w:fldCharType="begin"/>
          </w:r>
          <w:r>
            <w:instrText xml:space="preserve"> PAGEREF _Toc31430 \h </w:instrText>
          </w:r>
          <w:r>
            <w:fldChar w:fldCharType="separate"/>
          </w:r>
          <w:r>
            <w:t>97</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_Toc19807 </w:instrText>
          </w:r>
          <w:r>
            <w:rPr>
              <w:rFonts w:hint="eastAsia"/>
            </w:rPr>
            <w:fldChar w:fldCharType="separate"/>
          </w:r>
          <w:r>
            <w:t xml:space="preserve">9 </w:t>
          </w:r>
          <w:r>
            <w:rPr>
              <w:rFonts w:hint="eastAsia"/>
            </w:rPr>
            <w:t xml:space="preserve"> 土钉墙及复合土钉墙</w:t>
          </w:r>
          <w:r>
            <w:tab/>
          </w:r>
          <w:r>
            <w:fldChar w:fldCharType="begin"/>
          </w:r>
          <w:r>
            <w:instrText xml:space="preserve"> PAGEREF _Toc19807 \h </w:instrText>
          </w:r>
          <w:r>
            <w:fldChar w:fldCharType="separate"/>
          </w:r>
          <w:r>
            <w:t>105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_Toc3021 </w:instrText>
          </w:r>
          <w:r>
            <w:rPr>
              <w:rFonts w:hint="eastAsia"/>
            </w:rPr>
            <w:fldChar w:fldCharType="separate"/>
          </w:r>
          <w:r>
            <w:rPr>
              <w:rFonts w:hint="eastAsia"/>
            </w:rPr>
            <w:t>9</w:t>
          </w:r>
          <w:r>
            <w:t>.1</w:t>
          </w:r>
          <w:r>
            <w:rPr>
              <w:rFonts w:hint="eastAsia"/>
            </w:rPr>
            <w:t xml:space="preserve">  一般规定</w:t>
          </w:r>
          <w:r>
            <w:tab/>
          </w:r>
          <w:r>
            <w:fldChar w:fldCharType="begin"/>
          </w:r>
          <w:r>
            <w:instrText xml:space="preserve"> PAGEREF _Toc3021 \h </w:instrText>
          </w:r>
          <w:r>
            <w:fldChar w:fldCharType="separate"/>
          </w:r>
          <w:r>
            <w:t>105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_Toc8260 </w:instrText>
          </w:r>
          <w:r>
            <w:rPr>
              <w:rFonts w:hint="eastAsia"/>
            </w:rPr>
            <w:fldChar w:fldCharType="separate"/>
          </w:r>
          <w:r>
            <w:rPr>
              <w:rFonts w:ascii="Times New Roman" w:hAnsi="Times New Roman" w:eastAsia="宋体" w:cs="Times New Roman"/>
              <w:bCs/>
              <w:szCs w:val="32"/>
            </w:rPr>
            <w:t>9.2  设计</w:t>
          </w:r>
          <w:r>
            <w:tab/>
          </w:r>
          <w:r>
            <w:fldChar w:fldCharType="begin"/>
          </w:r>
          <w:r>
            <w:instrText xml:space="preserve"> PAGEREF _Toc8260 \h </w:instrText>
          </w:r>
          <w:r>
            <w:fldChar w:fldCharType="separate"/>
          </w:r>
          <w:r>
            <w:t>106</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_Toc23623 </w:instrText>
          </w:r>
          <w:r>
            <w:rPr>
              <w:rFonts w:hint="eastAsia"/>
            </w:rPr>
            <w:fldChar w:fldCharType="separate"/>
          </w:r>
          <w:r>
            <w:rPr>
              <w:rFonts w:ascii="Times New Roman" w:hAnsi="Times New Roman" w:eastAsia="宋体" w:cs="Times New Roman"/>
              <w:bCs/>
              <w:szCs w:val="32"/>
            </w:rPr>
            <w:t>9.3  构造</w:t>
          </w:r>
          <w:r>
            <w:tab/>
          </w:r>
          <w:r>
            <w:fldChar w:fldCharType="begin"/>
          </w:r>
          <w:r>
            <w:instrText xml:space="preserve"> PAGEREF _Toc23623 \h </w:instrText>
          </w:r>
          <w:r>
            <w:fldChar w:fldCharType="separate"/>
          </w:r>
          <w:r>
            <w:t>111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_Toc16885 </w:instrText>
          </w:r>
          <w:r>
            <w:rPr>
              <w:rFonts w:hint="eastAsia"/>
            </w:rPr>
            <w:fldChar w:fldCharType="separate"/>
          </w:r>
          <w:r>
            <w:rPr>
              <w:rFonts w:ascii="Times New Roman" w:hAnsi="Times New Roman" w:eastAsia="宋体" w:cs="Times New Roman"/>
              <w:bCs/>
              <w:szCs w:val="32"/>
            </w:rPr>
            <w:t>9.4  施工与检测</w:t>
          </w:r>
          <w:r>
            <w:tab/>
          </w:r>
          <w:r>
            <w:fldChar w:fldCharType="begin"/>
          </w:r>
          <w:r>
            <w:instrText xml:space="preserve"> PAGEREF _Toc16885 \h </w:instrText>
          </w:r>
          <w:r>
            <w:fldChar w:fldCharType="separate"/>
          </w:r>
          <w:r>
            <w:t>113</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_Toc29177 </w:instrText>
          </w:r>
          <w:r>
            <w:rPr>
              <w:rFonts w:hint="eastAsia"/>
            </w:rPr>
            <w:fldChar w:fldCharType="separate"/>
          </w:r>
          <w:r>
            <w:t>10</w:t>
          </w:r>
          <w:r>
            <w:rPr>
              <w:rFonts w:hint="eastAsia"/>
            </w:rPr>
            <w:t xml:space="preserve"> </w:t>
          </w:r>
          <w:r>
            <w:t xml:space="preserve"> </w:t>
          </w:r>
          <w:r>
            <w:rPr>
              <w:rFonts w:hint="eastAsia"/>
            </w:rPr>
            <w:t>重力式水泥土墙</w:t>
          </w:r>
          <w:r>
            <w:tab/>
          </w:r>
          <w:r>
            <w:fldChar w:fldCharType="begin"/>
          </w:r>
          <w:r>
            <w:instrText xml:space="preserve"> PAGEREF _Toc29177 \h </w:instrText>
          </w:r>
          <w:r>
            <w:fldChar w:fldCharType="separate"/>
          </w:r>
          <w:r>
            <w:t>117</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_Toc29746 </w:instrText>
          </w:r>
          <w:r>
            <w:rPr>
              <w:rFonts w:hint="eastAsia"/>
            </w:rPr>
            <w:fldChar w:fldCharType="separate"/>
          </w:r>
          <w:r>
            <w:t>10.1</w:t>
          </w:r>
          <w:r>
            <w:rPr>
              <w:rFonts w:hint="eastAsia"/>
            </w:rPr>
            <w:t xml:space="preserve"> 一般规定</w:t>
          </w:r>
          <w:r>
            <w:tab/>
          </w:r>
          <w:r>
            <w:fldChar w:fldCharType="begin"/>
          </w:r>
          <w:r>
            <w:instrText xml:space="preserve"> PAGEREF _Toc29746 \h </w:instrText>
          </w:r>
          <w:r>
            <w:fldChar w:fldCharType="separate"/>
          </w:r>
          <w:r>
            <w:t>117</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_Toc22121 </w:instrText>
          </w:r>
          <w:r>
            <w:rPr>
              <w:rFonts w:hint="eastAsia"/>
            </w:rPr>
            <w:fldChar w:fldCharType="separate"/>
          </w:r>
          <w:r>
            <w:rPr>
              <w:rFonts w:ascii="Times New Roman" w:hAnsi="Times New Roman" w:eastAsia="宋体" w:cs="Times New Roman"/>
              <w:bCs/>
              <w:szCs w:val="32"/>
            </w:rPr>
            <w:t>10.2</w:t>
          </w:r>
          <w:r>
            <w:rPr>
              <w:rFonts w:hint="eastAsia" w:ascii="Cambria" w:hAnsi="Cambria" w:eastAsia="宋体" w:cs="Times New Roman"/>
              <w:bCs/>
              <w:szCs w:val="32"/>
            </w:rPr>
            <w:t xml:space="preserve"> 设计</w:t>
          </w:r>
          <w:r>
            <w:tab/>
          </w:r>
          <w:r>
            <w:fldChar w:fldCharType="begin"/>
          </w:r>
          <w:r>
            <w:instrText xml:space="preserve"> PAGEREF _Toc22121 \h </w:instrText>
          </w:r>
          <w:r>
            <w:fldChar w:fldCharType="separate"/>
          </w:r>
          <w:r>
            <w:t>117</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_Toc22026 </w:instrText>
          </w:r>
          <w:r>
            <w:rPr>
              <w:rFonts w:hint="eastAsia"/>
            </w:rPr>
            <w:fldChar w:fldCharType="separate"/>
          </w:r>
          <w:r>
            <w:rPr>
              <w:rFonts w:ascii="Times New Roman" w:hAnsi="Times New Roman" w:eastAsia="宋体" w:cs="Times New Roman"/>
              <w:bCs/>
              <w:szCs w:val="32"/>
            </w:rPr>
            <w:t xml:space="preserve">10.3 </w:t>
          </w:r>
          <w:r>
            <w:rPr>
              <w:rFonts w:hint="eastAsia" w:ascii="Cambria" w:hAnsi="Cambria" w:eastAsia="宋体" w:cs="Times New Roman"/>
              <w:bCs/>
              <w:szCs w:val="32"/>
            </w:rPr>
            <w:t>构造</w:t>
          </w:r>
          <w:r>
            <w:tab/>
          </w:r>
          <w:r>
            <w:fldChar w:fldCharType="begin"/>
          </w:r>
          <w:r>
            <w:instrText xml:space="preserve"> PAGEREF _Toc22026 \h </w:instrText>
          </w:r>
          <w:r>
            <w:fldChar w:fldCharType="separate"/>
          </w:r>
          <w:r>
            <w:t>122</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_Toc391 </w:instrText>
          </w:r>
          <w:r>
            <w:rPr>
              <w:rFonts w:hint="eastAsia"/>
            </w:rPr>
            <w:fldChar w:fldCharType="separate"/>
          </w:r>
          <w:r>
            <w:rPr>
              <w:rFonts w:ascii="Times New Roman" w:hAnsi="Times New Roman" w:eastAsia="宋体" w:cs="Times New Roman"/>
              <w:bCs/>
              <w:szCs w:val="32"/>
            </w:rPr>
            <w:t>10.4</w:t>
          </w:r>
          <w:r>
            <w:rPr>
              <w:rFonts w:hint="eastAsia" w:ascii="Cambria" w:hAnsi="Cambria" w:eastAsia="宋体" w:cs="Times New Roman"/>
              <w:bCs/>
              <w:szCs w:val="32"/>
            </w:rPr>
            <w:t xml:space="preserve"> 施工与检测</w:t>
          </w:r>
          <w:r>
            <w:tab/>
          </w:r>
          <w:r>
            <w:fldChar w:fldCharType="begin"/>
          </w:r>
          <w:r>
            <w:instrText xml:space="preserve"> PAGEREF _Toc391 \h </w:instrText>
          </w:r>
          <w:r>
            <w:fldChar w:fldCharType="separate"/>
          </w:r>
          <w:r>
            <w:t>123</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_Toc26723 </w:instrText>
          </w:r>
          <w:r>
            <w:rPr>
              <w:rFonts w:hint="eastAsia"/>
            </w:rPr>
            <w:fldChar w:fldCharType="separate"/>
          </w:r>
          <w:r>
            <w:rPr>
              <w:rFonts w:hint="eastAsia" w:ascii="Times New Roman" w:hAnsi="Times New Roman"/>
              <w:lang w:val="en-US" w:eastAsia="zh-CN"/>
            </w:rPr>
            <w:t>11</w:t>
          </w:r>
          <w:r>
            <w:rPr>
              <w:rFonts w:ascii="Times New Roman" w:hAnsi="Times New Roman"/>
            </w:rPr>
            <w:t xml:space="preserve">  </w:t>
          </w:r>
          <w:r>
            <w:rPr>
              <w:rFonts w:hint="eastAsia" w:ascii="Times New Roman" w:hAnsi="Times New Roman" w:cs="宋体"/>
              <w:lang w:val="en-US" w:eastAsia="zh-CN"/>
            </w:rPr>
            <w:t>坡率法</w:t>
          </w:r>
          <w:r>
            <w:tab/>
          </w:r>
          <w:r>
            <w:fldChar w:fldCharType="begin"/>
          </w:r>
          <w:r>
            <w:instrText xml:space="preserve"> PAGEREF _Toc26723 \h </w:instrText>
          </w:r>
          <w:r>
            <w:fldChar w:fldCharType="separate"/>
          </w:r>
          <w:r>
            <w:t>125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_Toc32392 </w:instrText>
          </w:r>
          <w:r>
            <w:rPr>
              <w:rFonts w:hint="eastAsia"/>
            </w:rPr>
            <w:fldChar w:fldCharType="separate"/>
          </w:r>
          <w:r>
            <w:rPr>
              <w:rFonts w:hint="eastAsia"/>
              <w:lang w:val="en-US" w:eastAsia="zh-CN"/>
            </w:rPr>
            <w:t>11</w:t>
          </w:r>
          <w:r>
            <w:t>.1  一般规定</w:t>
          </w:r>
          <w:r>
            <w:tab/>
          </w:r>
          <w:r>
            <w:fldChar w:fldCharType="begin"/>
          </w:r>
          <w:r>
            <w:instrText xml:space="preserve"> PAGEREF _Toc32392 \h </w:instrText>
          </w:r>
          <w:r>
            <w:fldChar w:fldCharType="separate"/>
          </w:r>
          <w:r>
            <w:t>125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_Toc2011 </w:instrText>
          </w:r>
          <w:r>
            <w:rPr>
              <w:rFonts w:hint="eastAsia"/>
            </w:rPr>
            <w:fldChar w:fldCharType="separate"/>
          </w:r>
          <w:r>
            <w:rPr>
              <w:rFonts w:hint="eastAsia"/>
              <w:lang w:val="en-US" w:eastAsia="zh-CN"/>
            </w:rPr>
            <w:t>11.2  设 计</w:t>
          </w:r>
          <w:r>
            <w:tab/>
          </w:r>
          <w:r>
            <w:fldChar w:fldCharType="begin"/>
          </w:r>
          <w:r>
            <w:instrText xml:space="preserve"> PAGEREF _Toc2011 \h </w:instrText>
          </w:r>
          <w:r>
            <w:fldChar w:fldCharType="separate"/>
          </w:r>
          <w:r>
            <w:t>125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_Toc17612 </w:instrText>
          </w:r>
          <w:r>
            <w:rPr>
              <w:rFonts w:hint="eastAsia"/>
            </w:rPr>
            <w:fldChar w:fldCharType="separate"/>
          </w:r>
          <w:r>
            <w:rPr>
              <w:rFonts w:hint="eastAsia"/>
              <w:lang w:val="en-US" w:eastAsia="zh-CN"/>
            </w:rPr>
            <w:t>11.3   施 工</w:t>
          </w:r>
          <w:r>
            <w:tab/>
          </w:r>
          <w:r>
            <w:fldChar w:fldCharType="begin"/>
          </w:r>
          <w:r>
            <w:instrText xml:space="preserve"> PAGEREF _Toc17612 \h </w:instrText>
          </w:r>
          <w:r>
            <w:fldChar w:fldCharType="separate"/>
          </w:r>
          <w:r>
            <w:t>126</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_Toc3749 </w:instrText>
          </w:r>
          <w:r>
            <w:rPr>
              <w:rFonts w:hint="eastAsia"/>
            </w:rPr>
            <w:fldChar w:fldCharType="separate"/>
          </w:r>
          <w:r>
            <w:rPr>
              <w:rFonts w:hint="eastAsia" w:ascii="Times New Roman" w:hAnsi="Times New Roman"/>
              <w:lang w:val="en-US" w:eastAsia="zh-CN"/>
            </w:rPr>
            <w:t>12</w:t>
          </w:r>
          <w:r>
            <w:rPr>
              <w:rFonts w:ascii="Times New Roman" w:hAnsi="Times New Roman"/>
            </w:rPr>
            <w:t xml:space="preserve">  </w:t>
          </w:r>
          <w:r>
            <w:rPr>
              <w:rFonts w:hint="eastAsia" w:ascii="Times New Roman" w:hAnsi="Times New Roman" w:cs="宋体"/>
              <w:lang w:val="en-US" w:eastAsia="zh-CN"/>
            </w:rPr>
            <w:t>土体加固</w:t>
          </w:r>
          <w:r>
            <w:tab/>
          </w:r>
          <w:r>
            <w:fldChar w:fldCharType="begin"/>
          </w:r>
          <w:r>
            <w:instrText xml:space="preserve"> PAGEREF _Toc3749 \h </w:instrText>
          </w:r>
          <w:r>
            <w:fldChar w:fldCharType="separate"/>
          </w:r>
          <w:r>
            <w:t>127</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_Toc19656 </w:instrText>
          </w:r>
          <w:r>
            <w:rPr>
              <w:rFonts w:hint="eastAsia"/>
            </w:rPr>
            <w:fldChar w:fldCharType="separate"/>
          </w:r>
          <w:r>
            <w:rPr>
              <w:rFonts w:hint="eastAsia"/>
              <w:lang w:val="en-US" w:eastAsia="zh-CN"/>
            </w:rPr>
            <w:t>13</w:t>
          </w:r>
          <w:r>
            <w:rPr>
              <w:lang w:val="en-US" w:eastAsia="zh-CN"/>
            </w:rPr>
            <w:t xml:space="preserve">  </w:t>
          </w:r>
          <w:r>
            <w:rPr>
              <w:rFonts w:hint="eastAsia"/>
              <w:lang w:val="en-US" w:eastAsia="zh-CN"/>
            </w:rPr>
            <w:t>地下水控制</w:t>
          </w:r>
          <w:r>
            <w:tab/>
          </w:r>
          <w:r>
            <w:fldChar w:fldCharType="begin"/>
          </w:r>
          <w:r>
            <w:instrText xml:space="preserve"> PAGEREF _Toc19656 \h </w:instrText>
          </w:r>
          <w:r>
            <w:fldChar w:fldCharType="separate"/>
          </w:r>
          <w:r>
            <w:t>129</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_Toc9800 </w:instrText>
          </w:r>
          <w:r>
            <w:rPr>
              <w:rFonts w:hint="eastAsia"/>
            </w:rPr>
            <w:fldChar w:fldCharType="separate"/>
          </w:r>
          <w:r>
            <w:rPr>
              <w:rFonts w:hint="eastAsia" w:ascii="Cambria" w:hAnsi="Cambria" w:eastAsia="宋体" w:cs="Times New Roman"/>
              <w:bCs/>
              <w:kern w:val="2"/>
              <w:szCs w:val="32"/>
              <w:lang w:val="en-US" w:eastAsia="zh-CN" w:bidi="ar-SA"/>
            </w:rPr>
            <w:t>13.1  一般规定</w:t>
          </w:r>
          <w:r>
            <w:tab/>
          </w:r>
          <w:r>
            <w:fldChar w:fldCharType="begin"/>
          </w:r>
          <w:r>
            <w:instrText xml:space="preserve"> PAGEREF _Toc9800 \h </w:instrText>
          </w:r>
          <w:r>
            <w:fldChar w:fldCharType="separate"/>
          </w:r>
          <w:r>
            <w:t>129</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_Toc26940 </w:instrText>
          </w:r>
          <w:r>
            <w:rPr>
              <w:rFonts w:hint="eastAsia"/>
            </w:rPr>
            <w:fldChar w:fldCharType="separate"/>
          </w:r>
          <w:r>
            <w:rPr>
              <w:rFonts w:hint="eastAsia" w:ascii="Cambria" w:hAnsi="Cambria" w:eastAsia="宋体" w:cs="Times New Roman"/>
              <w:bCs/>
              <w:kern w:val="2"/>
              <w:szCs w:val="32"/>
              <w:lang w:val="en-US" w:eastAsia="zh-CN" w:bidi="ar-SA"/>
            </w:rPr>
            <w:t>13.2  基坑降水设计</w:t>
          </w:r>
          <w:r>
            <w:tab/>
          </w:r>
          <w:r>
            <w:fldChar w:fldCharType="begin"/>
          </w:r>
          <w:r>
            <w:instrText xml:space="preserve"> PAGEREF _Toc26940 \h </w:instrText>
          </w:r>
          <w:r>
            <w:fldChar w:fldCharType="separate"/>
          </w:r>
          <w:r>
            <w:t>132</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_Toc20594 </w:instrText>
          </w:r>
          <w:r>
            <w:rPr>
              <w:rFonts w:hint="eastAsia"/>
            </w:rPr>
            <w:fldChar w:fldCharType="separate"/>
          </w:r>
          <w:r>
            <w:rPr>
              <w:rFonts w:hint="eastAsia" w:ascii="Cambria" w:hAnsi="Cambria" w:eastAsia="宋体" w:cs="Times New Roman"/>
              <w:bCs/>
              <w:kern w:val="2"/>
              <w:szCs w:val="32"/>
              <w:lang w:val="en-US" w:eastAsia="zh-CN" w:bidi="ar-SA"/>
            </w:rPr>
            <w:t>13.3  管井降水</w:t>
          </w:r>
          <w:r>
            <w:tab/>
          </w:r>
          <w:r>
            <w:fldChar w:fldCharType="begin"/>
          </w:r>
          <w:r>
            <w:instrText xml:space="preserve"> PAGEREF _Toc20594 \h </w:instrText>
          </w:r>
          <w:r>
            <w:fldChar w:fldCharType="separate"/>
          </w:r>
          <w:r>
            <w:t>134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_Toc28494 </w:instrText>
          </w:r>
          <w:r>
            <w:rPr>
              <w:rFonts w:hint="eastAsia"/>
            </w:rPr>
            <w:fldChar w:fldCharType="separate"/>
          </w:r>
          <w:r>
            <w:rPr>
              <w:rFonts w:hint="eastAsia"/>
              <w:lang w:val="en-US" w:eastAsia="zh-CN"/>
            </w:rPr>
            <w:t>13</w:t>
          </w:r>
          <w:r>
            <w:rPr>
              <w:lang w:val="en-US" w:eastAsia="zh-CN"/>
            </w:rPr>
            <w:t>.</w:t>
          </w:r>
          <w:r>
            <w:rPr>
              <w:rFonts w:hint="eastAsia"/>
              <w:lang w:val="en-US" w:eastAsia="zh-CN"/>
            </w:rPr>
            <w:t>4</w:t>
          </w:r>
          <w:r>
            <w:rPr>
              <w:lang w:val="en-US" w:eastAsia="zh-CN"/>
            </w:rPr>
            <w:t xml:space="preserve">  基坑降水施工</w:t>
          </w:r>
          <w:r>
            <w:tab/>
          </w:r>
          <w:r>
            <w:fldChar w:fldCharType="begin"/>
          </w:r>
          <w:r>
            <w:instrText xml:space="preserve"> PAGEREF _Toc28494 \h </w:instrText>
          </w:r>
          <w:r>
            <w:fldChar w:fldCharType="separate"/>
          </w:r>
          <w:r>
            <w:t>137</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_Toc10037 </w:instrText>
          </w:r>
          <w:r>
            <w:rPr>
              <w:rFonts w:hint="eastAsia"/>
            </w:rPr>
            <w:fldChar w:fldCharType="separate"/>
          </w:r>
          <w:r>
            <w:rPr>
              <w:rFonts w:hint="eastAsia"/>
              <w:lang w:val="en-US" w:eastAsia="zh-CN"/>
            </w:rPr>
            <w:t>13</w:t>
          </w:r>
          <w:r>
            <w:rPr>
              <w:lang w:val="en-US" w:eastAsia="zh-CN"/>
            </w:rPr>
            <w:t>.</w:t>
          </w:r>
          <w:r>
            <w:rPr>
              <w:rFonts w:hint="eastAsia"/>
              <w:lang w:val="en-US" w:eastAsia="zh-CN"/>
            </w:rPr>
            <w:t>5</w:t>
          </w:r>
          <w:r>
            <w:rPr>
              <w:lang w:val="en-US" w:eastAsia="zh-CN"/>
            </w:rPr>
            <w:t xml:space="preserve">  截水帷幕</w:t>
          </w:r>
          <w:r>
            <w:tab/>
          </w:r>
          <w:r>
            <w:fldChar w:fldCharType="begin"/>
          </w:r>
          <w:r>
            <w:instrText xml:space="preserve"> PAGEREF _Toc10037 \h </w:instrText>
          </w:r>
          <w:r>
            <w:fldChar w:fldCharType="separate"/>
          </w:r>
          <w:r>
            <w:t>138</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_Toc19513 </w:instrText>
          </w:r>
          <w:r>
            <w:rPr>
              <w:rFonts w:hint="eastAsia"/>
            </w:rPr>
            <w:fldChar w:fldCharType="separate"/>
          </w:r>
          <w:r>
            <w:rPr>
              <w:rFonts w:hint="eastAsia"/>
              <w:bCs w:val="0"/>
              <w:lang w:eastAsia="zh-CN"/>
            </w:rPr>
            <w:t>14</w:t>
          </w:r>
          <w:r>
            <w:rPr>
              <w:rFonts w:hint="eastAsia"/>
              <w:bCs w:val="0"/>
            </w:rPr>
            <w:t xml:space="preserve">  基坑开挖和回填</w:t>
          </w:r>
          <w:r>
            <w:tab/>
          </w:r>
          <w:r>
            <w:fldChar w:fldCharType="begin"/>
          </w:r>
          <w:r>
            <w:instrText xml:space="preserve"> PAGEREF _Toc19513 \h </w:instrText>
          </w:r>
          <w:r>
            <w:fldChar w:fldCharType="separate"/>
          </w:r>
          <w:r>
            <w:t>141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_Toc6257 </w:instrText>
          </w:r>
          <w:r>
            <w:rPr>
              <w:rFonts w:hint="eastAsia"/>
            </w:rPr>
            <w:fldChar w:fldCharType="separate"/>
          </w:r>
          <w:r>
            <w:rPr>
              <w:rFonts w:hint="eastAsia"/>
              <w:lang w:eastAsia="zh-CN"/>
            </w:rPr>
            <w:t>14</w:t>
          </w:r>
          <w:r>
            <w:rPr>
              <w:rFonts w:hint="eastAsia"/>
            </w:rPr>
            <w:t>.1  一般规定</w:t>
          </w:r>
          <w:r>
            <w:tab/>
          </w:r>
          <w:r>
            <w:fldChar w:fldCharType="begin"/>
          </w:r>
          <w:r>
            <w:instrText xml:space="preserve"> PAGEREF _Toc6257 \h </w:instrText>
          </w:r>
          <w:r>
            <w:fldChar w:fldCharType="separate"/>
          </w:r>
          <w:r>
            <w:t>141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_Toc23984 </w:instrText>
          </w:r>
          <w:r>
            <w:rPr>
              <w:rFonts w:hint="eastAsia"/>
            </w:rPr>
            <w:fldChar w:fldCharType="separate"/>
          </w:r>
          <w:r>
            <w:rPr>
              <w:rFonts w:hint="eastAsia"/>
              <w:lang w:eastAsia="zh-CN"/>
            </w:rPr>
            <w:t>14</w:t>
          </w:r>
          <w:r>
            <w:rPr>
              <w:rFonts w:hint="eastAsia"/>
            </w:rPr>
            <w:t>.2  开挖方案</w:t>
          </w:r>
          <w:r>
            <w:tab/>
          </w:r>
          <w:r>
            <w:fldChar w:fldCharType="begin"/>
          </w:r>
          <w:r>
            <w:instrText xml:space="preserve"> PAGEREF _Toc23984 \h </w:instrText>
          </w:r>
          <w:r>
            <w:fldChar w:fldCharType="separate"/>
          </w:r>
          <w:r>
            <w:t>141</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_Toc15664 </w:instrText>
          </w:r>
          <w:r>
            <w:rPr>
              <w:rFonts w:hint="eastAsia"/>
            </w:rPr>
            <w:fldChar w:fldCharType="separate"/>
          </w:r>
          <w:r>
            <w:rPr>
              <w:rFonts w:hint="eastAsia"/>
              <w:lang w:eastAsia="zh-CN"/>
            </w:rPr>
            <w:t>14</w:t>
          </w:r>
          <w:r>
            <w:rPr>
              <w:rFonts w:hint="eastAsia"/>
            </w:rPr>
            <w:t>.3  土方开挖</w:t>
          </w:r>
          <w:r>
            <w:tab/>
          </w:r>
          <w:r>
            <w:fldChar w:fldCharType="begin"/>
          </w:r>
          <w:r>
            <w:instrText xml:space="preserve"> PAGEREF _Toc15664 \h </w:instrText>
          </w:r>
          <w:r>
            <w:fldChar w:fldCharType="separate"/>
          </w:r>
          <w:r>
            <w:t>142</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_Toc18985 </w:instrText>
          </w:r>
          <w:r>
            <w:rPr>
              <w:rFonts w:hint="eastAsia"/>
            </w:rPr>
            <w:fldChar w:fldCharType="separate"/>
          </w:r>
          <w:r>
            <w:rPr>
              <w:rFonts w:hint="eastAsia"/>
              <w:lang w:eastAsia="zh-CN"/>
            </w:rPr>
            <w:t>14</w:t>
          </w:r>
          <w:r>
            <w:rPr>
              <w:rFonts w:hint="eastAsia"/>
            </w:rPr>
            <w:t>.4  土方回填</w:t>
          </w:r>
          <w:r>
            <w:tab/>
          </w:r>
          <w:r>
            <w:fldChar w:fldCharType="begin"/>
          </w:r>
          <w:r>
            <w:instrText xml:space="preserve"> PAGEREF _Toc18985 \h </w:instrText>
          </w:r>
          <w:r>
            <w:fldChar w:fldCharType="separate"/>
          </w:r>
          <w:r>
            <w:t>143</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_Toc13631 </w:instrText>
          </w:r>
          <w:r>
            <w:rPr>
              <w:rFonts w:hint="eastAsia"/>
            </w:rPr>
            <w:fldChar w:fldCharType="separate"/>
          </w:r>
          <w:r>
            <w:rPr>
              <w:rFonts w:hint="eastAsia" w:ascii="Times New Roman" w:hAnsi="Times New Roman"/>
              <w:lang w:eastAsia="zh-CN"/>
            </w:rPr>
            <w:t>15</w:t>
          </w:r>
          <w:r>
            <w:rPr>
              <w:rFonts w:hint="eastAsia" w:ascii="Times New Roman" w:hAnsi="Times New Roman"/>
            </w:rPr>
            <w:t xml:space="preserve">  环境影响评价及</w:t>
          </w:r>
          <w:r>
            <w:rPr>
              <w:rFonts w:hint="eastAsia" w:ascii="Times New Roman" w:hAnsi="Times New Roman"/>
              <w:lang w:val="en-US" w:eastAsia="zh-CN"/>
            </w:rPr>
            <w:t>保护</w:t>
          </w:r>
          <w:r>
            <w:rPr>
              <w:rFonts w:hint="eastAsia" w:ascii="Times New Roman" w:hAnsi="Times New Roman"/>
            </w:rPr>
            <w:t>措施</w:t>
          </w:r>
          <w:r>
            <w:tab/>
          </w:r>
          <w:r>
            <w:fldChar w:fldCharType="begin"/>
          </w:r>
          <w:r>
            <w:instrText xml:space="preserve"> PAGEREF _Toc13631 \h </w:instrText>
          </w:r>
          <w:r>
            <w:fldChar w:fldCharType="separate"/>
          </w:r>
          <w:r>
            <w:t>145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_Toc16553 </w:instrText>
          </w:r>
          <w:r>
            <w:rPr>
              <w:rFonts w:hint="eastAsia"/>
            </w:rPr>
            <w:fldChar w:fldCharType="separate"/>
          </w:r>
          <w:r>
            <w:rPr>
              <w:rFonts w:hint="eastAsia"/>
              <w:lang w:eastAsia="zh-CN"/>
            </w:rPr>
            <w:t>15</w:t>
          </w:r>
          <w:r>
            <w:rPr>
              <w:rFonts w:hint="eastAsia"/>
            </w:rPr>
            <w:t>.1  一般规定</w:t>
          </w:r>
          <w:r>
            <w:tab/>
          </w:r>
          <w:r>
            <w:fldChar w:fldCharType="begin"/>
          </w:r>
          <w:r>
            <w:instrText xml:space="preserve"> PAGEREF _Toc16553 \h </w:instrText>
          </w:r>
          <w:r>
            <w:fldChar w:fldCharType="separate"/>
          </w:r>
          <w:r>
            <w:t>145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_Toc28756 </w:instrText>
          </w:r>
          <w:r>
            <w:rPr>
              <w:rFonts w:hint="eastAsia"/>
            </w:rPr>
            <w:fldChar w:fldCharType="separate"/>
          </w:r>
          <w:r>
            <w:rPr>
              <w:rFonts w:hint="eastAsia"/>
              <w:lang w:eastAsia="zh-CN"/>
            </w:rPr>
            <w:t>15</w:t>
          </w:r>
          <w:r>
            <w:rPr>
              <w:rFonts w:hint="eastAsia"/>
            </w:rPr>
            <w:t>.2  评估内容</w:t>
          </w:r>
          <w:r>
            <w:tab/>
          </w:r>
          <w:r>
            <w:fldChar w:fldCharType="begin"/>
          </w:r>
          <w:r>
            <w:instrText xml:space="preserve"> PAGEREF _Toc28756 \h </w:instrText>
          </w:r>
          <w:r>
            <w:fldChar w:fldCharType="separate"/>
          </w:r>
          <w:r>
            <w:t>146</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_Toc971 </w:instrText>
          </w:r>
          <w:r>
            <w:rPr>
              <w:rFonts w:hint="eastAsia"/>
            </w:rPr>
            <w:fldChar w:fldCharType="separate"/>
          </w:r>
          <w:r>
            <w:rPr>
              <w:rFonts w:hint="eastAsia"/>
              <w:lang w:eastAsia="zh-CN"/>
            </w:rPr>
            <w:t>15</w:t>
          </w:r>
          <w:r>
            <w:rPr>
              <w:rFonts w:hint="eastAsia"/>
            </w:rPr>
            <w:t>.3  基坑变形预估</w:t>
          </w:r>
          <w:r>
            <w:tab/>
          </w:r>
          <w:r>
            <w:fldChar w:fldCharType="begin"/>
          </w:r>
          <w:r>
            <w:instrText xml:space="preserve"> PAGEREF _Toc971 \h </w:instrText>
          </w:r>
          <w:r>
            <w:fldChar w:fldCharType="separate"/>
          </w:r>
          <w:r>
            <w:t>146</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_Toc22896 </w:instrText>
          </w:r>
          <w:r>
            <w:rPr>
              <w:rFonts w:hint="eastAsia"/>
            </w:rPr>
            <w:fldChar w:fldCharType="separate"/>
          </w:r>
          <w:r>
            <w:rPr>
              <w:rFonts w:hint="eastAsia"/>
              <w:lang w:eastAsia="zh-CN"/>
            </w:rPr>
            <w:t>15</w:t>
          </w:r>
          <w:r>
            <w:rPr>
              <w:rFonts w:hint="eastAsia"/>
            </w:rPr>
            <w:t xml:space="preserve">.4  </w:t>
          </w:r>
          <w:r>
            <w:rPr>
              <w:rFonts w:hint="eastAsia"/>
              <w:lang w:val="en-US" w:eastAsia="zh-CN"/>
            </w:rPr>
            <w:t>环境保护</w:t>
          </w:r>
          <w:r>
            <w:rPr>
              <w:rFonts w:hint="eastAsia"/>
            </w:rPr>
            <w:t>措施</w:t>
          </w:r>
          <w:r>
            <w:tab/>
          </w:r>
          <w:r>
            <w:fldChar w:fldCharType="begin"/>
          </w:r>
          <w:r>
            <w:instrText xml:space="preserve"> PAGEREF _Toc22896 \h </w:instrText>
          </w:r>
          <w:r>
            <w:fldChar w:fldCharType="separate"/>
          </w:r>
          <w:r>
            <w:t>147</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_Toc530 </w:instrText>
          </w:r>
          <w:r>
            <w:rPr>
              <w:rFonts w:hint="eastAsia"/>
            </w:rPr>
            <w:fldChar w:fldCharType="separate"/>
          </w:r>
          <w:r>
            <w:rPr>
              <w:rFonts w:hint="eastAsia"/>
              <w:lang w:eastAsia="zh-CN"/>
            </w:rPr>
            <w:t>16</w:t>
          </w:r>
          <w:r>
            <w:rPr>
              <w:rFonts w:hint="eastAsia"/>
            </w:rPr>
            <w:t xml:space="preserve">  基坑监测</w:t>
          </w:r>
          <w:r>
            <w:tab/>
          </w:r>
          <w:r>
            <w:fldChar w:fldCharType="begin"/>
          </w:r>
          <w:r>
            <w:instrText xml:space="preserve"> PAGEREF _Toc530 \h </w:instrText>
          </w:r>
          <w:r>
            <w:fldChar w:fldCharType="separate"/>
          </w:r>
          <w:r>
            <w:t>150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_Toc15981 </w:instrText>
          </w:r>
          <w:r>
            <w:rPr>
              <w:rFonts w:hint="eastAsia"/>
            </w:rPr>
            <w:fldChar w:fldCharType="separate"/>
          </w:r>
          <w:r>
            <w:rPr>
              <w:rFonts w:hint="eastAsia"/>
              <w:lang w:eastAsia="zh-CN"/>
            </w:rPr>
            <w:t>16</w:t>
          </w:r>
          <w:r>
            <w:rPr>
              <w:rFonts w:hint="eastAsia"/>
            </w:rPr>
            <w:t>.1  一般规定</w:t>
          </w:r>
          <w:r>
            <w:tab/>
          </w:r>
          <w:r>
            <w:fldChar w:fldCharType="begin"/>
          </w:r>
          <w:r>
            <w:instrText xml:space="preserve"> PAGEREF _Toc15981 \h </w:instrText>
          </w:r>
          <w:r>
            <w:fldChar w:fldCharType="separate"/>
          </w:r>
          <w:r>
            <w:t>150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_Toc3531 </w:instrText>
          </w:r>
          <w:r>
            <w:rPr>
              <w:rFonts w:hint="eastAsia"/>
            </w:rPr>
            <w:fldChar w:fldCharType="separate"/>
          </w:r>
          <w:r>
            <w:rPr>
              <w:rFonts w:hint="eastAsia"/>
              <w:lang w:eastAsia="zh-CN"/>
            </w:rPr>
            <w:t>16</w:t>
          </w:r>
          <w:r>
            <w:t>.2  监测点布置</w:t>
          </w:r>
          <w:r>
            <w:tab/>
          </w:r>
          <w:r>
            <w:fldChar w:fldCharType="begin"/>
          </w:r>
          <w:r>
            <w:instrText xml:space="preserve"> PAGEREF _Toc3531 \h </w:instrText>
          </w:r>
          <w:r>
            <w:fldChar w:fldCharType="separate"/>
          </w:r>
          <w:r>
            <w:t>153</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_Toc23761 </w:instrText>
          </w:r>
          <w:r>
            <w:rPr>
              <w:rFonts w:hint="eastAsia"/>
            </w:rPr>
            <w:fldChar w:fldCharType="separate"/>
          </w:r>
          <w:r>
            <w:rPr>
              <w:rFonts w:hint="eastAsia" w:ascii="Times New Roman" w:hAnsi="Times New Roman"/>
              <w:szCs w:val="22"/>
              <w:lang w:eastAsia="zh-CN"/>
            </w:rPr>
            <w:t>16</w:t>
          </w:r>
          <w:r>
            <w:rPr>
              <w:rFonts w:hint="eastAsia" w:ascii="Times New Roman" w:hAnsi="Times New Roman"/>
              <w:szCs w:val="22"/>
            </w:rPr>
            <w:t>.3</w:t>
          </w:r>
          <w:r>
            <w:rPr>
              <w:rFonts w:hint="eastAsia"/>
            </w:rPr>
            <w:t xml:space="preserve">  监测方法</w:t>
          </w:r>
          <w:r>
            <w:tab/>
          </w:r>
          <w:r>
            <w:fldChar w:fldCharType="begin"/>
          </w:r>
          <w:r>
            <w:instrText xml:space="preserve"> PAGEREF _Toc23761 \h </w:instrText>
          </w:r>
          <w:r>
            <w:fldChar w:fldCharType="separate"/>
          </w:r>
          <w:r>
            <w:t>153</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_Toc6413 </w:instrText>
          </w:r>
          <w:r>
            <w:rPr>
              <w:rFonts w:hint="eastAsia"/>
            </w:rPr>
            <w:fldChar w:fldCharType="separate"/>
          </w:r>
          <w:r>
            <w:rPr>
              <w:rFonts w:hint="eastAsia"/>
              <w:lang w:eastAsia="zh-CN"/>
            </w:rPr>
            <w:t>16</w:t>
          </w:r>
          <w:r>
            <w:rPr>
              <w:rFonts w:hint="eastAsia"/>
            </w:rPr>
            <w:t>.4  报警值</w:t>
          </w:r>
          <w:r>
            <w:tab/>
          </w:r>
          <w:r>
            <w:fldChar w:fldCharType="begin"/>
          </w:r>
          <w:r>
            <w:instrText xml:space="preserve"> PAGEREF _Toc6413 \h </w:instrText>
          </w:r>
          <w:r>
            <w:fldChar w:fldCharType="separate"/>
          </w:r>
          <w:r>
            <w:t>154</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_Toc1629 </w:instrText>
          </w:r>
          <w:r>
            <w:rPr>
              <w:rFonts w:hint="eastAsia"/>
            </w:rPr>
            <w:fldChar w:fldCharType="separate"/>
          </w:r>
          <w:r>
            <w:rPr>
              <w:rFonts w:hint="eastAsia"/>
              <w:lang w:eastAsia="zh-CN"/>
            </w:rPr>
            <w:t>16</w:t>
          </w:r>
          <w:r>
            <w:rPr>
              <w:rFonts w:hint="eastAsia"/>
            </w:rPr>
            <w:t>.5  监测频率</w:t>
          </w:r>
          <w:r>
            <w:tab/>
          </w:r>
          <w:r>
            <w:fldChar w:fldCharType="begin"/>
          </w:r>
          <w:r>
            <w:instrText xml:space="preserve"> PAGEREF _Toc1629 \h </w:instrText>
          </w:r>
          <w:r>
            <w:fldChar w:fldCharType="separate"/>
          </w:r>
          <w:r>
            <w:t>155</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_Toc16020 </w:instrText>
          </w:r>
          <w:r>
            <w:rPr>
              <w:rFonts w:hint="eastAsia"/>
            </w:rPr>
            <w:fldChar w:fldCharType="separate"/>
          </w:r>
          <w:r>
            <w:rPr>
              <w:rFonts w:hint="eastAsia"/>
              <w:lang w:eastAsia="zh-CN"/>
            </w:rPr>
            <w:t>16</w:t>
          </w:r>
          <w:r>
            <w:rPr>
              <w:rFonts w:hint="eastAsia"/>
            </w:rPr>
            <w:t>.6  报告编写</w:t>
          </w:r>
          <w:r>
            <w:tab/>
          </w:r>
          <w:r>
            <w:fldChar w:fldCharType="begin"/>
          </w:r>
          <w:r>
            <w:instrText xml:space="preserve"> PAGEREF _Toc16020 \h </w:instrText>
          </w:r>
          <w:r>
            <w:fldChar w:fldCharType="separate"/>
          </w:r>
          <w:r>
            <w:t>157</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_Toc8944 </w:instrText>
          </w:r>
          <w:r>
            <w:rPr>
              <w:rFonts w:hint="eastAsia"/>
            </w:rPr>
            <w:fldChar w:fldCharType="separate"/>
          </w:r>
          <w:r>
            <w:rPr>
              <w:rFonts w:hint="eastAsia"/>
              <w:szCs w:val="36"/>
            </w:rPr>
            <w:t>附录A  锚杆抗拔试验要点</w:t>
          </w:r>
          <w:r>
            <w:tab/>
          </w:r>
          <w:r>
            <w:fldChar w:fldCharType="begin"/>
          </w:r>
          <w:r>
            <w:instrText xml:space="preserve"> PAGEREF _Toc8944 \h </w:instrText>
          </w:r>
          <w:r>
            <w:fldChar w:fldCharType="separate"/>
          </w:r>
          <w:r>
            <w:t>158</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_Toc26244 </w:instrText>
          </w:r>
          <w:r>
            <w:rPr>
              <w:rFonts w:hint="eastAsia"/>
            </w:rPr>
            <w:fldChar w:fldCharType="separate"/>
          </w:r>
          <w:r>
            <w:rPr>
              <w:rFonts w:hint="eastAsia"/>
            </w:rPr>
            <w:t>A</w:t>
          </w:r>
          <w:r>
            <w:t>.1</w:t>
          </w:r>
          <w:r>
            <w:rPr>
              <w:rFonts w:hint="eastAsia"/>
            </w:rPr>
            <w:t xml:space="preserve"> 一般规定</w:t>
          </w:r>
          <w:r>
            <w:tab/>
          </w:r>
          <w:r>
            <w:fldChar w:fldCharType="begin"/>
          </w:r>
          <w:r>
            <w:instrText xml:space="preserve"> PAGEREF _Toc26244 \h </w:instrText>
          </w:r>
          <w:r>
            <w:fldChar w:fldCharType="separate"/>
          </w:r>
          <w:r>
            <w:t>158</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_Toc3685 </w:instrText>
          </w:r>
          <w:r>
            <w:rPr>
              <w:rFonts w:hint="eastAsia"/>
            </w:rPr>
            <w:fldChar w:fldCharType="separate"/>
          </w:r>
          <w:r>
            <w:rPr>
              <w:rFonts w:hint="eastAsia"/>
            </w:rPr>
            <w:t>A</w:t>
          </w:r>
          <w:r>
            <w:t xml:space="preserve">.2 </w:t>
          </w:r>
          <w:r>
            <w:rPr>
              <w:rFonts w:hint="eastAsia"/>
            </w:rPr>
            <w:t>基本试验</w:t>
          </w:r>
          <w:r>
            <w:tab/>
          </w:r>
          <w:r>
            <w:fldChar w:fldCharType="begin"/>
          </w:r>
          <w:r>
            <w:instrText xml:space="preserve"> PAGEREF _Toc3685 \h </w:instrText>
          </w:r>
          <w:r>
            <w:fldChar w:fldCharType="separate"/>
          </w:r>
          <w:r>
            <w:t>158</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_Toc19167 </w:instrText>
          </w:r>
          <w:r>
            <w:rPr>
              <w:rFonts w:hint="eastAsia"/>
            </w:rPr>
            <w:fldChar w:fldCharType="separate"/>
          </w:r>
          <w:r>
            <w:rPr>
              <w:rFonts w:hint="eastAsia"/>
            </w:rPr>
            <w:t>A</w:t>
          </w:r>
          <w:r>
            <w:t>.</w:t>
          </w:r>
          <w:r>
            <w:rPr>
              <w:rFonts w:hint="eastAsia"/>
            </w:rPr>
            <w:t>3 蠕变试验</w:t>
          </w:r>
          <w:r>
            <w:tab/>
          </w:r>
          <w:r>
            <w:fldChar w:fldCharType="begin"/>
          </w:r>
          <w:r>
            <w:instrText xml:space="preserve"> PAGEREF _Toc19167 \h </w:instrText>
          </w:r>
          <w:r>
            <w:fldChar w:fldCharType="separate"/>
          </w:r>
          <w:r>
            <w:t>160</w:t>
          </w:r>
          <w:r>
            <w:fldChar w:fldCharType="end"/>
          </w:r>
          <w:r>
            <w:rPr>
              <w:rFonts w:hint="eastAsia"/>
            </w:rPr>
            <w:fldChar w:fldCharType="end"/>
          </w:r>
        </w:p>
        <w:p>
          <w:pPr>
            <w:pStyle w:val="27"/>
            <w:tabs>
              <w:tab w:val="right" w:leader="dot" w:pos="8640"/>
            </w:tabs>
          </w:pPr>
          <w:r>
            <w:rPr>
              <w:rFonts w:hint="eastAsia"/>
            </w:rPr>
            <w:fldChar w:fldCharType="begin"/>
          </w:r>
          <w:r>
            <w:rPr>
              <w:rFonts w:hint="eastAsia"/>
            </w:rPr>
            <w:instrText xml:space="preserve"> HYPERLINK \l _Toc13778 </w:instrText>
          </w:r>
          <w:r>
            <w:rPr>
              <w:rFonts w:hint="eastAsia"/>
            </w:rPr>
            <w:fldChar w:fldCharType="separate"/>
          </w:r>
          <w:r>
            <w:rPr>
              <w:rFonts w:hint="eastAsia"/>
            </w:rPr>
            <w:t>A</w:t>
          </w:r>
          <w:r>
            <w:t>.</w:t>
          </w:r>
          <w:r>
            <w:rPr>
              <w:rFonts w:hint="eastAsia"/>
            </w:rPr>
            <w:t>4 验收试验</w:t>
          </w:r>
          <w:r>
            <w:tab/>
          </w:r>
          <w:r>
            <w:fldChar w:fldCharType="begin"/>
          </w:r>
          <w:r>
            <w:instrText xml:space="preserve"> PAGEREF _Toc13778 \h </w:instrText>
          </w:r>
          <w:r>
            <w:fldChar w:fldCharType="separate"/>
          </w:r>
          <w:r>
            <w:t>161</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_Toc22472 </w:instrText>
          </w:r>
          <w:r>
            <w:rPr>
              <w:rFonts w:hint="eastAsia"/>
            </w:rPr>
            <w:fldChar w:fldCharType="separate"/>
          </w:r>
          <w:r>
            <w:rPr>
              <w:rFonts w:hint="eastAsia" w:ascii="黑体" w:hAnsi="黑体" w:eastAsia="黑体" w:cs="黑体"/>
              <w:bCs/>
              <w:szCs w:val="40"/>
              <w:lang w:val="en-US" w:eastAsia="zh-CN"/>
            </w:rPr>
            <w:t>附录B  土钉抗拔试验要点</w:t>
          </w:r>
          <w:r>
            <w:tab/>
          </w:r>
          <w:r>
            <w:fldChar w:fldCharType="begin"/>
          </w:r>
          <w:r>
            <w:instrText xml:space="preserve"> PAGEREF _Toc22472 \h </w:instrText>
          </w:r>
          <w:r>
            <w:fldChar w:fldCharType="separate"/>
          </w:r>
          <w:r>
            <w:t>163</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_Toc15783 </w:instrText>
          </w:r>
          <w:r>
            <w:rPr>
              <w:rFonts w:hint="eastAsia"/>
            </w:rPr>
            <w:fldChar w:fldCharType="separate"/>
          </w:r>
          <w:r>
            <w:rPr>
              <w:rFonts w:hint="eastAsia"/>
              <w:szCs w:val="36"/>
            </w:rPr>
            <w:t>附录C</w:t>
          </w:r>
          <w:r>
            <w:rPr>
              <w:szCs w:val="36"/>
            </w:rPr>
            <w:t xml:space="preserve"> </w:t>
          </w:r>
          <w:r>
            <w:rPr>
              <w:rFonts w:hint="eastAsia"/>
              <w:szCs w:val="36"/>
            </w:rPr>
            <w:t xml:space="preserve"> 土的渗透变形</w:t>
          </w:r>
          <w:r>
            <w:tab/>
          </w:r>
          <w:r>
            <w:fldChar w:fldCharType="begin"/>
          </w:r>
          <w:r>
            <w:instrText xml:space="preserve"> PAGEREF _Toc15783 \h </w:instrText>
          </w:r>
          <w:r>
            <w:fldChar w:fldCharType="separate"/>
          </w:r>
          <w:r>
            <w:t>166</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_Toc13759 </w:instrText>
          </w:r>
          <w:r>
            <w:rPr>
              <w:rFonts w:hint="eastAsia"/>
            </w:rPr>
            <w:fldChar w:fldCharType="separate"/>
          </w:r>
          <w:r>
            <w:rPr>
              <w:rFonts w:hint="eastAsia"/>
              <w:szCs w:val="36"/>
            </w:rPr>
            <w:t>附录D  井水位降深预测</w:t>
          </w:r>
          <w:r>
            <w:tab/>
          </w:r>
          <w:r>
            <w:fldChar w:fldCharType="begin"/>
          </w:r>
          <w:r>
            <w:instrText xml:space="preserve"> PAGEREF _Toc13759 \h </w:instrText>
          </w:r>
          <w:r>
            <w:fldChar w:fldCharType="separate"/>
          </w:r>
          <w:r>
            <w:t>170</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_Toc30837 </w:instrText>
          </w:r>
          <w:r>
            <w:rPr>
              <w:rFonts w:hint="eastAsia"/>
            </w:rPr>
            <w:fldChar w:fldCharType="separate"/>
          </w:r>
          <w:r>
            <w:rPr>
              <w:rFonts w:hint="eastAsia"/>
              <w:szCs w:val="36"/>
            </w:rPr>
            <w:t>附录E  圆形截面混凝土支护桩的正截面</w:t>
          </w:r>
          <w:r>
            <w:rPr>
              <w:rFonts w:hint="eastAsia"/>
              <w:szCs w:val="36"/>
              <w:lang w:val="en-US" w:eastAsia="zh-CN"/>
            </w:rPr>
            <w:t>抗</w:t>
          </w:r>
          <w:r>
            <w:rPr>
              <w:rFonts w:hint="eastAsia"/>
              <w:szCs w:val="36"/>
            </w:rPr>
            <w:t>弯承载力表</w:t>
          </w:r>
          <w:r>
            <w:tab/>
          </w:r>
          <w:r>
            <w:fldChar w:fldCharType="begin"/>
          </w:r>
          <w:r>
            <w:instrText xml:space="preserve"> PAGEREF _Toc30837 \h </w:instrText>
          </w:r>
          <w:r>
            <w:fldChar w:fldCharType="separate"/>
          </w:r>
          <w:r>
            <w:t>174</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_Toc13694 </w:instrText>
          </w:r>
          <w:r>
            <w:rPr>
              <w:rFonts w:hint="eastAsia"/>
            </w:rPr>
            <w:fldChar w:fldCharType="separate"/>
          </w:r>
          <w:r>
            <w:rPr>
              <w:rFonts w:hint="eastAsia"/>
              <w:szCs w:val="36"/>
            </w:rPr>
            <w:t>附录F</w:t>
          </w:r>
          <w:r>
            <w:rPr>
              <w:szCs w:val="36"/>
            </w:rPr>
            <w:t xml:space="preserve">  </w:t>
          </w:r>
          <w:r>
            <w:rPr>
              <w:rFonts w:hint="eastAsia"/>
              <w:szCs w:val="36"/>
            </w:rPr>
            <w:t>基坑涌水量估算</w:t>
          </w:r>
          <w:r>
            <w:tab/>
          </w:r>
          <w:r>
            <w:fldChar w:fldCharType="begin"/>
          </w:r>
          <w:r>
            <w:instrText xml:space="preserve"> PAGEREF _Toc13694 \h </w:instrText>
          </w:r>
          <w:r>
            <w:fldChar w:fldCharType="separate"/>
          </w:r>
          <w:r>
            <w:t>178</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_Toc25940 </w:instrText>
          </w:r>
          <w:r>
            <w:rPr>
              <w:rFonts w:hint="eastAsia"/>
            </w:rPr>
            <w:fldChar w:fldCharType="separate"/>
          </w:r>
          <w:r>
            <w:rPr>
              <w:rFonts w:hint="eastAsia"/>
              <w:szCs w:val="36"/>
            </w:rPr>
            <w:t>附录</w:t>
          </w:r>
          <w:r>
            <w:rPr>
              <w:rFonts w:hint="eastAsia"/>
              <w:szCs w:val="36"/>
              <w:lang w:eastAsia="zh-CN"/>
            </w:rPr>
            <w:t>G</w:t>
          </w:r>
          <w:r>
            <w:rPr>
              <w:rFonts w:hint="eastAsia"/>
              <w:szCs w:val="36"/>
              <w:lang w:val="en-US" w:eastAsia="zh-CN"/>
            </w:rPr>
            <w:t xml:space="preserve">  </w:t>
          </w:r>
          <w:r>
            <w:rPr>
              <w:rFonts w:hint="eastAsia"/>
              <w:szCs w:val="36"/>
            </w:rPr>
            <w:t>钢板桩截面类型</w:t>
          </w:r>
          <w:r>
            <w:tab/>
          </w:r>
          <w:r>
            <w:fldChar w:fldCharType="begin"/>
          </w:r>
          <w:r>
            <w:instrText xml:space="preserve"> PAGEREF _Toc25940 \h </w:instrText>
          </w:r>
          <w:r>
            <w:fldChar w:fldCharType="separate"/>
          </w:r>
          <w:r>
            <w:t>181</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_Toc32178 </w:instrText>
          </w:r>
          <w:r>
            <w:rPr>
              <w:rFonts w:hint="eastAsia"/>
            </w:rPr>
            <w:fldChar w:fldCharType="separate"/>
          </w:r>
          <w:r>
            <w:rPr>
              <w:rFonts w:hint="eastAsia"/>
              <w:szCs w:val="36"/>
            </w:rPr>
            <w:t>附录</w:t>
          </w:r>
          <w:r>
            <w:rPr>
              <w:rFonts w:hint="eastAsia"/>
              <w:szCs w:val="36"/>
              <w:lang w:val="en-US" w:eastAsia="zh-CN"/>
            </w:rPr>
            <w:t>H</w:t>
          </w:r>
          <w:r>
            <w:rPr>
              <w:rFonts w:hint="eastAsia"/>
              <w:szCs w:val="36"/>
            </w:rPr>
            <w:t xml:space="preserve">  沉桩方法及沉桩设备的选用</w:t>
          </w:r>
          <w:r>
            <w:tab/>
          </w:r>
          <w:r>
            <w:fldChar w:fldCharType="begin"/>
          </w:r>
          <w:r>
            <w:instrText xml:space="preserve"> PAGEREF _Toc32178 \h </w:instrText>
          </w:r>
          <w:r>
            <w:fldChar w:fldCharType="separate"/>
          </w:r>
          <w:r>
            <w:t>186</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_Toc26340 </w:instrText>
          </w:r>
          <w:r>
            <w:rPr>
              <w:rFonts w:hint="eastAsia"/>
            </w:rPr>
            <w:fldChar w:fldCharType="separate"/>
          </w:r>
          <w:r>
            <w:rPr>
              <w:rFonts w:hint="eastAsia"/>
              <w:szCs w:val="36"/>
            </w:rPr>
            <w:t>附录</w:t>
          </w:r>
          <w:r>
            <w:rPr>
              <w:rFonts w:hint="eastAsia"/>
              <w:szCs w:val="36"/>
              <w:lang w:val="en-US" w:eastAsia="zh-CN"/>
            </w:rPr>
            <w:t>J</w:t>
          </w:r>
          <w:r>
            <w:rPr>
              <w:rFonts w:hint="eastAsia"/>
              <w:szCs w:val="36"/>
            </w:rPr>
            <w:t xml:space="preserve">  型钢水泥土搅拌墙常用规格及计算参数</w:t>
          </w:r>
          <w:r>
            <w:tab/>
          </w:r>
          <w:r>
            <w:fldChar w:fldCharType="begin"/>
          </w:r>
          <w:r>
            <w:instrText xml:space="preserve"> PAGEREF _Toc26340 \h </w:instrText>
          </w:r>
          <w:r>
            <w:fldChar w:fldCharType="separate"/>
          </w:r>
          <w:r>
            <w:t>188</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_Toc22174 </w:instrText>
          </w:r>
          <w:r>
            <w:rPr>
              <w:rFonts w:hint="eastAsia"/>
            </w:rPr>
            <w:fldChar w:fldCharType="separate"/>
          </w:r>
          <w:r>
            <w:rPr>
              <w:rFonts w:hint="eastAsia"/>
              <w:szCs w:val="36"/>
            </w:rPr>
            <w:t>附录</w:t>
          </w:r>
          <w:r>
            <w:rPr>
              <w:rFonts w:hint="eastAsia"/>
              <w:szCs w:val="36"/>
              <w:lang w:val="en-US" w:eastAsia="zh-CN"/>
            </w:rPr>
            <w:t>K</w:t>
          </w:r>
          <w:r>
            <w:rPr>
              <w:rFonts w:hint="eastAsia"/>
              <w:szCs w:val="36"/>
            </w:rPr>
            <w:t xml:space="preserve">  常用预应力混凝土预制桩选型</w:t>
          </w:r>
          <w:r>
            <w:tab/>
          </w:r>
          <w:r>
            <w:fldChar w:fldCharType="begin"/>
          </w:r>
          <w:r>
            <w:instrText xml:space="preserve"> PAGEREF _Toc22174 \h </w:instrText>
          </w:r>
          <w:r>
            <w:fldChar w:fldCharType="separate"/>
          </w:r>
          <w:r>
            <w:t>189</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_Toc32498 </w:instrText>
          </w:r>
          <w:r>
            <w:rPr>
              <w:rFonts w:hint="eastAsia"/>
            </w:rPr>
            <w:fldChar w:fldCharType="separate"/>
          </w:r>
          <w:r>
            <w:rPr>
              <w:szCs w:val="36"/>
            </w:rPr>
            <w:t>附录</w:t>
          </w:r>
          <w:r>
            <w:rPr>
              <w:rFonts w:hint="eastAsia"/>
              <w:szCs w:val="36"/>
              <w:lang w:val="en-US" w:eastAsia="zh-CN"/>
            </w:rPr>
            <w:t>L</w:t>
          </w:r>
          <w:r>
            <w:rPr>
              <w:szCs w:val="36"/>
            </w:rPr>
            <w:t xml:space="preserve">  锚杆杆体材料力学性能</w:t>
          </w:r>
          <w:r>
            <w:tab/>
          </w:r>
          <w:r>
            <w:fldChar w:fldCharType="begin"/>
          </w:r>
          <w:r>
            <w:instrText xml:space="preserve"> PAGEREF _Toc32498 \h </w:instrText>
          </w:r>
          <w:r>
            <w:fldChar w:fldCharType="separate"/>
          </w:r>
          <w:r>
            <w:t>191</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_Toc29474 </w:instrText>
          </w:r>
          <w:r>
            <w:rPr>
              <w:rFonts w:hint="eastAsia"/>
            </w:rPr>
            <w:fldChar w:fldCharType="separate"/>
          </w:r>
          <w:r>
            <w:rPr>
              <w:rFonts w:hint="eastAsia"/>
              <w:szCs w:val="36"/>
            </w:rPr>
            <w:t>附录</w:t>
          </w:r>
          <w:r>
            <w:rPr>
              <w:rFonts w:hint="eastAsia"/>
              <w:szCs w:val="36"/>
              <w:lang w:val="en-US" w:eastAsia="zh-CN"/>
            </w:rPr>
            <w:t>M</w:t>
          </w:r>
          <w:r>
            <w:rPr>
              <w:rFonts w:hint="eastAsia"/>
              <w:szCs w:val="36"/>
            </w:rPr>
            <w:t xml:space="preserve">  常用的钢支撑及</w:t>
          </w:r>
          <w:r>
            <w:rPr>
              <w:szCs w:val="36"/>
            </w:rPr>
            <w:t>钢腰梁</w:t>
          </w:r>
          <w:r>
            <w:rPr>
              <w:rFonts w:hint="eastAsia"/>
              <w:szCs w:val="36"/>
            </w:rPr>
            <w:t>构件技术参数</w:t>
          </w:r>
          <w:r>
            <w:tab/>
          </w:r>
          <w:r>
            <w:fldChar w:fldCharType="begin"/>
          </w:r>
          <w:r>
            <w:instrText xml:space="preserve"> PAGEREF _Toc29474 \h </w:instrText>
          </w:r>
          <w:r>
            <w:fldChar w:fldCharType="separate"/>
          </w:r>
          <w:r>
            <w:t>192</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_Toc5115 </w:instrText>
          </w:r>
          <w:r>
            <w:rPr>
              <w:rFonts w:hint="eastAsia"/>
            </w:rPr>
            <w:fldChar w:fldCharType="separate"/>
          </w:r>
          <w:r>
            <w:rPr>
              <w:rFonts w:hint="eastAsia"/>
              <w:lang w:val="en-US" w:eastAsia="zh-CN"/>
            </w:rPr>
            <w:t>本标准用词说明</w:t>
          </w:r>
          <w:r>
            <w:tab/>
          </w:r>
          <w:r>
            <w:fldChar w:fldCharType="begin"/>
          </w:r>
          <w:r>
            <w:instrText xml:space="preserve"> PAGEREF _Toc5115 \h </w:instrText>
          </w:r>
          <w:r>
            <w:fldChar w:fldCharType="separate"/>
          </w:r>
          <w:r>
            <w:t>197</w:t>
          </w:r>
          <w:r>
            <w:fldChar w:fldCharType="end"/>
          </w:r>
          <w:r>
            <w:rPr>
              <w:rFonts w:hint="eastAsia"/>
            </w:rPr>
            <w:fldChar w:fldCharType="end"/>
          </w:r>
        </w:p>
        <w:p>
          <w:pPr>
            <w:pStyle w:val="5"/>
            <w:tabs>
              <w:tab w:val="right" w:leader="dot" w:pos="8640"/>
              <w:tab w:val="clear" w:pos="9628"/>
            </w:tabs>
          </w:pPr>
          <w:r>
            <w:rPr>
              <w:rFonts w:hint="eastAsia"/>
            </w:rPr>
            <w:fldChar w:fldCharType="begin"/>
          </w:r>
          <w:r>
            <w:rPr>
              <w:rFonts w:hint="eastAsia"/>
            </w:rPr>
            <w:instrText xml:space="preserve"> HYPERLINK \l _Toc10848 </w:instrText>
          </w:r>
          <w:r>
            <w:rPr>
              <w:rFonts w:hint="eastAsia"/>
            </w:rPr>
            <w:fldChar w:fldCharType="separate"/>
          </w:r>
          <w:r>
            <w:rPr>
              <w:rFonts w:hint="eastAsia"/>
              <w:lang w:val="en-US" w:eastAsia="zh-CN"/>
            </w:rPr>
            <w:t>引用标准名录</w:t>
          </w:r>
          <w:r>
            <w:tab/>
          </w:r>
          <w:r>
            <w:fldChar w:fldCharType="begin"/>
          </w:r>
          <w:r>
            <w:instrText xml:space="preserve"> PAGEREF _Toc10848 \h </w:instrText>
          </w:r>
          <w:r>
            <w:fldChar w:fldCharType="separate"/>
          </w:r>
          <w:r>
            <w:t>198</w:t>
          </w:r>
          <w:r>
            <w:fldChar w:fldCharType="end"/>
          </w:r>
          <w:r>
            <w:rPr>
              <w:rFonts w:hint="eastAsia"/>
            </w:rPr>
            <w:fldChar w:fldCharType="end"/>
          </w:r>
        </w:p>
        <w:p>
          <w:pPr>
            <w:pStyle w:val="3"/>
            <w:bidi w:val="0"/>
            <w:jc w:val="both"/>
            <w:outlineLvl w:val="9"/>
            <w:rPr>
              <w:rFonts w:hint="eastAsia"/>
            </w:rPr>
          </w:pPr>
          <w:r>
            <w:rPr>
              <w:rFonts w:hint="eastAsia"/>
            </w:rPr>
            <w:fldChar w:fldCharType="end"/>
          </w:r>
        </w:p>
        <w:p>
          <w:pPr>
            <w:rPr>
              <w:rFonts w:hint="eastAsia"/>
            </w:rPr>
          </w:pPr>
          <w:r>
            <w:rPr>
              <w:rFonts w:hint="eastAsia"/>
            </w:rPr>
            <w:br w:type="page"/>
          </w:r>
        </w:p>
        <w:p>
          <w:pPr>
            <w:jc w:val="center"/>
            <w:rPr>
              <w:rFonts w:ascii="Times New Roman" w:hAnsi="Times New Roman"/>
              <w:b/>
              <w:bCs/>
              <w:sz w:val="30"/>
              <w:szCs w:val="30"/>
            </w:rPr>
          </w:pPr>
          <w:r>
            <w:rPr>
              <w:rFonts w:hint="eastAsia" w:ascii="Times New Roman" w:hAnsi="Times New Roman"/>
              <w:b/>
              <w:bCs/>
              <w:sz w:val="30"/>
              <w:szCs w:val="30"/>
            </w:rPr>
            <w:t>Contents</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  </w:t>
          </w:r>
          <w:r>
            <w:rPr>
              <w:rFonts w:hint="eastAsia" w:ascii="Times New Roman" w:cs="宋体"/>
              <w:szCs w:val="24"/>
            </w:rPr>
            <w:t>Gereral Provisions</w:t>
          </w:r>
          <w:r>
            <w:rPr>
              <w:rFonts w:hint="eastAsia" w:ascii="Times New Roman" w:hAnsi="Times New Roman" w:cs="宋体"/>
              <w:szCs w:val="24"/>
            </w:rPr>
            <w:tab/>
          </w:r>
          <w:r>
            <w:rPr>
              <w:rFonts w:hint="eastAsia" w:ascii="Times New Roman" w:hAnsi="Times New Roman" w:cs="宋体"/>
              <w:szCs w:val="24"/>
            </w:rPr>
            <w:t>1</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2  </w:t>
          </w:r>
          <w:r>
            <w:rPr>
              <w:rFonts w:hint="eastAsia" w:ascii="Times New Roman" w:cs="宋体"/>
              <w:szCs w:val="24"/>
            </w:rPr>
            <w:t>Terms amd Symbols</w:t>
          </w:r>
          <w:r>
            <w:rPr>
              <w:rFonts w:hint="eastAsia" w:ascii="Times New Roman" w:hAnsi="Times New Roman" w:cs="宋体"/>
              <w:szCs w:val="24"/>
            </w:rPr>
            <w:tab/>
          </w:r>
          <w:r>
            <w:rPr>
              <w:rFonts w:hint="eastAsia" w:ascii="Times New Roman" w:hAnsi="Times New Roman" w:cs="宋体"/>
              <w:szCs w:val="24"/>
            </w:rPr>
            <w:t>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2.1  </w:t>
          </w:r>
          <w:r>
            <w:rPr>
              <w:rFonts w:hint="eastAsia" w:ascii="Times New Roman" w:hAnsi="宋体" w:cs="宋体"/>
              <w:szCs w:val="24"/>
            </w:rPr>
            <w:t>Terms</w:t>
          </w:r>
          <w:r>
            <w:rPr>
              <w:rFonts w:hint="eastAsia" w:ascii="Times New Roman" w:hAnsi="Times New Roman" w:cs="宋体"/>
              <w:szCs w:val="24"/>
            </w:rPr>
            <w:tab/>
          </w:r>
          <w:r>
            <w:rPr>
              <w:rFonts w:hint="eastAsia" w:ascii="Times New Roman" w:hAnsi="Times New Roman" w:cs="宋体"/>
              <w:szCs w:val="24"/>
            </w:rPr>
            <w:t>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2.2  </w:t>
          </w:r>
          <w:r>
            <w:rPr>
              <w:rFonts w:hint="eastAsia" w:ascii="Times New Roman" w:hAnsi="宋体" w:cs="宋体"/>
              <w:szCs w:val="24"/>
            </w:rPr>
            <w:t>Symbols</w:t>
          </w:r>
          <w:r>
            <w:rPr>
              <w:rFonts w:hint="eastAsia" w:ascii="Times New Roman" w:hAnsi="Times New Roman" w:cs="宋体"/>
              <w:szCs w:val="24"/>
            </w:rPr>
            <w:tab/>
          </w:r>
          <w:r>
            <w:rPr>
              <w:rFonts w:hint="eastAsia" w:ascii="Times New Roman" w:hAnsi="Times New Roman" w:cs="宋体"/>
              <w:szCs w:val="24"/>
            </w:rPr>
            <w:t>4</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3  </w:t>
          </w:r>
          <w:r>
            <w:rPr>
              <w:rFonts w:hint="eastAsia" w:ascii="Times New Roman" w:cs="宋体"/>
              <w:szCs w:val="24"/>
            </w:rPr>
            <w:t>Basic Requirement</w:t>
          </w:r>
          <w:r>
            <w:rPr>
              <w:rFonts w:hint="eastAsia" w:ascii="Times New Roman" w:hAnsi="Times New Roman" w:cs="宋体"/>
              <w:szCs w:val="24"/>
            </w:rPr>
            <w:tab/>
          </w:r>
          <w:r>
            <w:rPr>
              <w:rFonts w:hint="eastAsia" w:ascii="Times New Roman" w:hAnsi="Times New Roman" w:cs="宋体"/>
              <w:szCs w:val="24"/>
            </w:rPr>
            <w:t>9</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4  </w:t>
          </w:r>
          <w:r>
            <w:rPr>
              <w:rFonts w:hint="eastAsia" w:ascii="Times New Roman" w:cs="宋体"/>
              <w:szCs w:val="24"/>
            </w:rPr>
            <w:t>Geotechnical Investigation</w:t>
          </w:r>
          <w:r>
            <w:rPr>
              <w:rFonts w:hint="eastAsia" w:ascii="Times New Roman" w:hAnsi="Times New Roman" w:cs="宋体"/>
              <w:szCs w:val="24"/>
            </w:rPr>
            <w:tab/>
          </w:r>
          <w:r>
            <w:rPr>
              <w:rFonts w:hint="eastAsia" w:ascii="Times New Roman" w:hAnsi="Times New Roman" w:cs="宋体"/>
              <w:szCs w:val="24"/>
            </w:rPr>
            <w:t>14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4.1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4.2  </w:t>
          </w:r>
          <w:r>
            <w:rPr>
              <w:rFonts w:hint="eastAsia" w:ascii="Times New Roman" w:hAnsi="宋体" w:cs="宋体"/>
              <w:szCs w:val="24"/>
            </w:rPr>
            <w:t>Exploration and Testing</w:t>
          </w:r>
          <w:r>
            <w:rPr>
              <w:rFonts w:hint="eastAsia" w:ascii="Times New Roman" w:hAnsi="Times New Roman" w:cs="宋体"/>
              <w:szCs w:val="24"/>
            </w:rPr>
            <w:tab/>
          </w:r>
          <w:r>
            <w:rPr>
              <w:rFonts w:hint="eastAsia" w:ascii="Times New Roman" w:hAnsi="Times New Roman" w:cs="宋体"/>
              <w:szCs w:val="24"/>
            </w:rPr>
            <w:t>16</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4.3  </w:t>
          </w:r>
          <w:r>
            <w:rPr>
              <w:rFonts w:hint="eastAsia" w:ascii="Times New Roman" w:hAnsi="宋体" w:cs="宋体"/>
              <w:szCs w:val="24"/>
            </w:rPr>
            <w:t>L</w:t>
          </w:r>
          <w:r>
            <w:rPr>
              <w:rFonts w:ascii="Times New Roman" w:hAnsi="宋体" w:cs="宋体"/>
              <w:szCs w:val="24"/>
            </w:rPr>
            <w:t xml:space="preserve">aboratory </w:t>
          </w:r>
          <w:r>
            <w:rPr>
              <w:rFonts w:hint="eastAsia" w:ascii="Times New Roman" w:hAnsi="宋体" w:cs="宋体"/>
              <w:szCs w:val="24"/>
            </w:rPr>
            <w:t>E</w:t>
          </w:r>
          <w:r>
            <w:rPr>
              <w:rFonts w:ascii="Times New Roman" w:hAnsi="宋体" w:cs="宋体"/>
              <w:szCs w:val="24"/>
            </w:rPr>
            <w:t>xperiment</w:t>
          </w:r>
          <w:r>
            <w:rPr>
              <w:rFonts w:hint="eastAsia" w:ascii="Times New Roman" w:hAnsi="Times New Roman" w:cs="宋体"/>
              <w:szCs w:val="24"/>
            </w:rPr>
            <w:tab/>
          </w:r>
          <w:r>
            <w:rPr>
              <w:rFonts w:hint="eastAsia" w:ascii="Times New Roman" w:hAnsi="Times New Roman" w:cs="宋体"/>
              <w:szCs w:val="24"/>
            </w:rPr>
            <w:t>19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4.4  </w:t>
          </w:r>
          <w:r>
            <w:rPr>
              <w:rFonts w:hint="eastAsia" w:ascii="Times New Roman" w:hAnsi="宋体" w:cs="宋体"/>
              <w:szCs w:val="24"/>
            </w:rPr>
            <w:t>Investigation Results</w:t>
          </w:r>
          <w:r>
            <w:rPr>
              <w:rFonts w:hint="eastAsia" w:ascii="Times New Roman" w:hAnsi="Times New Roman" w:cs="宋体"/>
              <w:szCs w:val="24"/>
            </w:rPr>
            <w:tab/>
          </w:r>
          <w:r>
            <w:rPr>
              <w:rFonts w:hint="eastAsia" w:ascii="Times New Roman" w:hAnsi="Times New Roman" w:cs="宋体"/>
              <w:szCs w:val="24"/>
            </w:rPr>
            <w:t>20</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5  </w:t>
          </w:r>
          <w:r>
            <w:rPr>
              <w:rFonts w:hint="eastAsia" w:ascii="Times New Roman" w:cs="宋体"/>
              <w:szCs w:val="24"/>
            </w:rPr>
            <w:t>Calculation of Earth Pressure</w:t>
          </w:r>
          <w:r>
            <w:rPr>
              <w:rFonts w:hint="eastAsia" w:ascii="Times New Roman" w:hAnsi="Times New Roman" w:cs="宋体"/>
              <w:szCs w:val="24"/>
            </w:rPr>
            <w:tab/>
          </w:r>
          <w:r>
            <w:rPr>
              <w:rFonts w:hint="eastAsia" w:ascii="Times New Roman" w:hAnsi="Times New Roman" w:cs="宋体"/>
              <w:szCs w:val="24"/>
            </w:rPr>
            <w:t>23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5.1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23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5.2  </w:t>
          </w:r>
          <w:r>
            <w:rPr>
              <w:rFonts w:hint="eastAsia" w:ascii="Times New Roman" w:hAnsi="宋体" w:cs="宋体"/>
              <w:szCs w:val="24"/>
            </w:rPr>
            <w:t>Load Combination</w:t>
          </w:r>
          <w:r>
            <w:rPr>
              <w:rFonts w:hint="eastAsia" w:ascii="Times New Roman" w:hAnsi="Times New Roman" w:cs="宋体"/>
              <w:szCs w:val="24"/>
            </w:rPr>
            <w:tab/>
          </w:r>
          <w:r>
            <w:rPr>
              <w:rFonts w:hint="eastAsia" w:ascii="Times New Roman" w:hAnsi="Times New Roman" w:cs="宋体"/>
              <w:szCs w:val="24"/>
            </w:rPr>
            <w:t>23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5.3  </w:t>
          </w:r>
          <w:r>
            <w:rPr>
              <w:rFonts w:hint="eastAsia" w:ascii="Times New Roman" w:hAnsi="宋体" w:cs="宋体"/>
              <w:szCs w:val="24"/>
            </w:rPr>
            <w:t>Parameters Selection</w:t>
          </w:r>
          <w:r>
            <w:rPr>
              <w:rFonts w:hint="eastAsia" w:ascii="Times New Roman" w:hAnsi="Times New Roman" w:cs="宋体"/>
              <w:szCs w:val="24"/>
            </w:rPr>
            <w:tab/>
          </w:r>
          <w:r>
            <w:rPr>
              <w:rFonts w:hint="eastAsia" w:ascii="Times New Roman" w:hAnsi="Times New Roman" w:cs="宋体"/>
              <w:szCs w:val="24"/>
            </w:rPr>
            <w:t>24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5.4  </w:t>
          </w:r>
          <w:r>
            <w:rPr>
              <w:rFonts w:hint="eastAsia" w:ascii="Times New Roman" w:hAnsi="宋体" w:cs="宋体"/>
              <w:szCs w:val="24"/>
            </w:rPr>
            <w:t>Principles of Calculation</w:t>
          </w:r>
          <w:r>
            <w:rPr>
              <w:rFonts w:hint="eastAsia" w:ascii="Times New Roman" w:hAnsi="Times New Roman" w:cs="宋体"/>
              <w:szCs w:val="24"/>
            </w:rPr>
            <w:tab/>
          </w:r>
          <w:r>
            <w:rPr>
              <w:rFonts w:hint="eastAsia" w:ascii="Times New Roman" w:hAnsi="Times New Roman" w:cs="宋体"/>
              <w:szCs w:val="24"/>
            </w:rPr>
            <w:t>24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5.5  </w:t>
          </w:r>
          <w:r>
            <w:rPr>
              <w:rFonts w:hint="eastAsia" w:ascii="Times New Roman" w:hAnsi="宋体" w:cs="宋体"/>
              <w:szCs w:val="24"/>
            </w:rPr>
            <w:t>Horizontal Load</w:t>
          </w:r>
          <w:r>
            <w:rPr>
              <w:rFonts w:hint="eastAsia" w:ascii="Times New Roman" w:hAnsi="Times New Roman" w:cs="宋体"/>
              <w:szCs w:val="24"/>
            </w:rPr>
            <w:tab/>
          </w:r>
          <w:r>
            <w:rPr>
              <w:rFonts w:hint="eastAsia" w:ascii="Times New Roman" w:hAnsi="Times New Roman" w:cs="宋体"/>
              <w:szCs w:val="24"/>
            </w:rPr>
            <w:t>24</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6  </w:t>
          </w:r>
          <w:r>
            <w:rPr>
              <w:rFonts w:hint="eastAsia" w:ascii="Times New Roman" w:cs="宋体"/>
              <w:szCs w:val="24"/>
            </w:rPr>
            <w:t>Stability of Foundation Pit</w:t>
          </w:r>
          <w:r>
            <w:rPr>
              <w:rFonts w:hint="eastAsia" w:ascii="Times New Roman" w:hAnsi="Times New Roman" w:cs="宋体"/>
              <w:szCs w:val="24"/>
            </w:rPr>
            <w:tab/>
          </w:r>
          <w:r>
            <w:rPr>
              <w:rFonts w:hint="eastAsia" w:ascii="Times New Roman" w:hAnsi="Times New Roman" w:cs="宋体"/>
              <w:szCs w:val="24"/>
            </w:rPr>
            <w:t>30</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6.1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30</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6.2  </w:t>
          </w:r>
          <w:r>
            <w:rPr>
              <w:rFonts w:hint="eastAsia" w:ascii="Times New Roman" w:hAnsi="宋体" w:cs="宋体"/>
              <w:szCs w:val="24"/>
            </w:rPr>
            <w:t>Overall Stability Analysis</w:t>
          </w:r>
          <w:r>
            <w:rPr>
              <w:rFonts w:hint="eastAsia" w:ascii="Times New Roman" w:hAnsi="Times New Roman" w:cs="宋体"/>
              <w:szCs w:val="24"/>
            </w:rPr>
            <w:tab/>
          </w:r>
          <w:r>
            <w:rPr>
              <w:rFonts w:hint="eastAsia" w:ascii="Times New Roman" w:hAnsi="Times New Roman" w:cs="宋体"/>
              <w:szCs w:val="24"/>
            </w:rPr>
            <w:t>30</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6.3  </w:t>
          </w:r>
          <w:r>
            <w:rPr>
              <w:rFonts w:hint="eastAsia" w:ascii="Times New Roman" w:hAnsi="宋体" w:cs="宋体"/>
              <w:szCs w:val="24"/>
            </w:rPr>
            <w:t>Stable Embedded Depth Analysis of Retaining Structures</w:t>
          </w:r>
          <w:r>
            <w:rPr>
              <w:rFonts w:hint="eastAsia" w:ascii="Times New Roman" w:hAnsi="Times New Roman" w:cs="宋体"/>
              <w:szCs w:val="24"/>
            </w:rPr>
            <w:tab/>
          </w:r>
          <w:r>
            <w:rPr>
              <w:rFonts w:hint="eastAsia" w:ascii="Times New Roman" w:hAnsi="Times New Roman" w:cs="宋体"/>
              <w:szCs w:val="24"/>
            </w:rPr>
            <w:t>33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6.4</w:t>
          </w:r>
          <w:r>
            <w:rPr>
              <w:rFonts w:hint="eastAsia" w:ascii="Times New Roman" w:hAnsi="宋体" w:cs="宋体"/>
              <w:szCs w:val="24"/>
            </w:rPr>
            <w:t xml:space="preserve">  Heaving Resistant Stability Analysis</w:t>
          </w:r>
          <w:r>
            <w:rPr>
              <w:rFonts w:hint="eastAsia" w:ascii="Times New Roman" w:hAnsi="Times New Roman" w:cs="宋体"/>
              <w:szCs w:val="24"/>
            </w:rPr>
            <w:tab/>
          </w:r>
          <w:r>
            <w:rPr>
              <w:rFonts w:hint="eastAsia" w:ascii="Times New Roman" w:hAnsi="Times New Roman" w:cs="宋体"/>
              <w:szCs w:val="24"/>
            </w:rPr>
            <w:t>34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6.5  </w:t>
          </w:r>
          <w:r>
            <w:rPr>
              <w:rFonts w:hint="eastAsia" w:ascii="Times New Roman" w:hAnsi="宋体" w:cs="宋体"/>
              <w:szCs w:val="24"/>
            </w:rPr>
            <w:t>Seepage Stability Analysis</w:t>
          </w:r>
          <w:r>
            <w:rPr>
              <w:rFonts w:hint="eastAsia" w:ascii="Times New Roman" w:hAnsi="Times New Roman" w:cs="宋体"/>
              <w:szCs w:val="24"/>
            </w:rPr>
            <w:tab/>
          </w:r>
          <w:r>
            <w:rPr>
              <w:rFonts w:hint="eastAsia" w:ascii="Times New Roman" w:hAnsi="Times New Roman" w:cs="宋体"/>
              <w:szCs w:val="24"/>
            </w:rPr>
            <w:t>36</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7  </w:t>
          </w:r>
          <w:r>
            <w:rPr>
              <w:rFonts w:hint="eastAsia" w:ascii="Times New Roman" w:cs="宋体"/>
              <w:szCs w:val="24"/>
            </w:rPr>
            <w:t>Selection of Bracing and Retaining</w:t>
          </w:r>
          <w:r>
            <w:rPr>
              <w:rFonts w:hint="eastAsia" w:ascii="Times New Roman" w:hAnsi="Times New Roman" w:cs="宋体"/>
              <w:szCs w:val="24"/>
            </w:rPr>
            <w:tab/>
          </w:r>
          <w:r>
            <w:rPr>
              <w:rFonts w:hint="eastAsia" w:ascii="Times New Roman" w:hAnsi="Times New Roman" w:cs="宋体"/>
              <w:szCs w:val="24"/>
            </w:rPr>
            <w:t>39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7.1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39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7.2  </w:t>
          </w:r>
          <w:r>
            <w:rPr>
              <w:rFonts w:hint="eastAsia" w:ascii="Times New Roman" w:hAnsi="宋体" w:cs="宋体"/>
              <w:szCs w:val="24"/>
            </w:rPr>
            <w:t>In-situ Surrounding around Excavations</w:t>
          </w:r>
          <w:r>
            <w:rPr>
              <w:rFonts w:hint="eastAsia" w:ascii="Times New Roman" w:hAnsi="Times New Roman" w:cs="宋体"/>
              <w:szCs w:val="24"/>
            </w:rPr>
            <w:tab/>
          </w:r>
          <w:r>
            <w:rPr>
              <w:rFonts w:hint="eastAsia" w:ascii="Times New Roman" w:hAnsi="Times New Roman" w:cs="宋体"/>
              <w:szCs w:val="24"/>
            </w:rPr>
            <w:t>39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7.3  Application Conditions of </w:t>
          </w:r>
          <w:r>
            <w:rPr>
              <w:rFonts w:hint="eastAsia" w:ascii="Times New Roman" w:hAnsi="宋体" w:cs="宋体"/>
              <w:szCs w:val="24"/>
            </w:rPr>
            <w:t xml:space="preserve">Bracing and Retaining </w:t>
          </w:r>
          <w:r>
            <w:rPr>
              <w:rFonts w:hint="eastAsia" w:ascii="Times New Roman" w:hAnsi="Times New Roman" w:cs="宋体"/>
              <w:szCs w:val="24"/>
            </w:rPr>
            <w:tab/>
          </w:r>
          <w:r>
            <w:rPr>
              <w:rFonts w:hint="eastAsia" w:ascii="Times New Roman" w:hAnsi="Times New Roman" w:cs="宋体"/>
              <w:szCs w:val="24"/>
            </w:rPr>
            <w:t>40</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8  </w:t>
          </w:r>
          <w:r>
            <w:rPr>
              <w:rFonts w:hint="eastAsia" w:ascii="Times New Roman" w:cs="宋体"/>
              <w:szCs w:val="24"/>
            </w:rPr>
            <w:t>Bracing and Retaining</w:t>
          </w:r>
          <w:r>
            <w:rPr>
              <w:rFonts w:hint="eastAsia" w:ascii="Times New Roman" w:hAnsi="Times New Roman" w:cs="宋体"/>
              <w:szCs w:val="24"/>
            </w:rPr>
            <w:tab/>
          </w:r>
          <w:r>
            <w:rPr>
              <w:rFonts w:hint="eastAsia" w:ascii="Times New Roman" w:hAnsi="Times New Roman" w:cs="宋体"/>
              <w:szCs w:val="24"/>
            </w:rPr>
            <w:t>42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8.1  </w:t>
          </w:r>
          <w:r>
            <w:rPr>
              <w:rFonts w:hint="eastAsia" w:ascii="Times New Roman" w:hAnsi="宋体" w:cs="宋体"/>
              <w:szCs w:val="24"/>
            </w:rPr>
            <w:t>Surrorting of Reinforced Soldier Pile Wall</w:t>
          </w:r>
          <w:r>
            <w:rPr>
              <w:rFonts w:hint="eastAsia" w:ascii="Times New Roman" w:hAnsi="Times New Roman" w:cs="宋体"/>
              <w:szCs w:val="24"/>
            </w:rPr>
            <w:tab/>
          </w:r>
          <w:r>
            <w:rPr>
              <w:rFonts w:hint="eastAsia" w:ascii="Times New Roman" w:hAnsi="Times New Roman" w:cs="宋体"/>
              <w:szCs w:val="24"/>
            </w:rPr>
            <w:t>42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8.2  </w:t>
          </w:r>
          <w:r>
            <w:rPr>
              <w:rFonts w:hint="eastAsia" w:ascii="Times New Roman" w:hAnsi="宋体" w:cs="宋体"/>
              <w:szCs w:val="24"/>
            </w:rPr>
            <w:t>S</w:t>
          </w:r>
          <w:r>
            <w:rPr>
              <w:rFonts w:ascii="Times New Roman" w:hAnsi="宋体" w:cs="宋体"/>
              <w:szCs w:val="24"/>
            </w:rPr>
            <w:t xml:space="preserve">teel </w:t>
          </w:r>
          <w:r>
            <w:rPr>
              <w:rFonts w:hint="eastAsia" w:ascii="Times New Roman" w:hAnsi="宋体" w:cs="宋体"/>
              <w:szCs w:val="24"/>
            </w:rPr>
            <w:t>S</w:t>
          </w:r>
          <w:r>
            <w:rPr>
              <w:rFonts w:ascii="Times New Roman" w:hAnsi="宋体" w:cs="宋体"/>
              <w:szCs w:val="24"/>
            </w:rPr>
            <w:t xml:space="preserve">heet </w:t>
          </w:r>
          <w:r>
            <w:rPr>
              <w:rFonts w:hint="eastAsia" w:ascii="Times New Roman" w:hAnsi="宋体" w:cs="宋体"/>
              <w:szCs w:val="24"/>
            </w:rPr>
            <w:t>P</w:t>
          </w:r>
          <w:r>
            <w:rPr>
              <w:rFonts w:ascii="Times New Roman" w:hAnsi="宋体" w:cs="宋体"/>
              <w:szCs w:val="24"/>
            </w:rPr>
            <w:t>ile</w:t>
          </w:r>
          <w:r>
            <w:rPr>
              <w:rFonts w:hint="eastAsia" w:ascii="Times New Roman" w:hAnsi="Times New Roman" w:cs="宋体"/>
              <w:szCs w:val="24"/>
            </w:rPr>
            <w:tab/>
          </w:r>
          <w:r>
            <w:rPr>
              <w:rFonts w:hint="eastAsia" w:ascii="Times New Roman" w:hAnsi="Times New Roman" w:cs="宋体"/>
              <w:szCs w:val="24"/>
            </w:rPr>
            <w:t>56</w:t>
          </w:r>
        </w:p>
        <w:p>
          <w:pPr>
            <w:pStyle w:val="27"/>
            <w:tabs>
              <w:tab w:val="right" w:leader="dot" w:pos="8640"/>
            </w:tabs>
            <w:spacing w:line="420" w:lineRule="exact"/>
            <w:ind w:left="480"/>
            <w:rPr>
              <w:rFonts w:ascii="Times New Roman" w:hAnsi="宋体" w:cs="宋体"/>
              <w:szCs w:val="24"/>
            </w:rPr>
          </w:pPr>
          <w:r>
            <w:rPr>
              <w:rFonts w:hint="eastAsia" w:ascii="Times New Roman" w:hAnsi="Times New Roman" w:cs="宋体"/>
              <w:szCs w:val="24"/>
            </w:rPr>
            <w:t xml:space="preserve">8.3  </w:t>
          </w:r>
          <w:r>
            <w:rPr>
              <w:rFonts w:hint="eastAsia" w:ascii="Times New Roman" w:hAnsi="宋体" w:cs="宋体"/>
              <w:szCs w:val="24"/>
            </w:rPr>
            <w:t>S</w:t>
          </w:r>
          <w:r>
            <w:rPr>
              <w:rFonts w:ascii="Times New Roman" w:hAnsi="宋体" w:cs="宋体"/>
              <w:szCs w:val="24"/>
            </w:rPr>
            <w:t xml:space="preserve">oil </w:t>
          </w:r>
          <w:r>
            <w:rPr>
              <w:rFonts w:hint="eastAsia" w:ascii="Times New Roman" w:hAnsi="宋体" w:cs="宋体"/>
              <w:szCs w:val="24"/>
            </w:rPr>
            <w:t>M</w:t>
          </w:r>
          <w:r>
            <w:rPr>
              <w:rFonts w:ascii="Times New Roman" w:hAnsi="宋体" w:cs="宋体"/>
              <w:szCs w:val="24"/>
            </w:rPr>
            <w:t xml:space="preserve">ixed </w:t>
          </w:r>
          <w:r>
            <w:rPr>
              <w:rFonts w:hint="eastAsia" w:ascii="Times New Roman" w:hAnsi="宋体" w:cs="宋体"/>
              <w:szCs w:val="24"/>
            </w:rPr>
            <w:t>W</w:t>
          </w:r>
          <w:r>
            <w:rPr>
              <w:rFonts w:ascii="Times New Roman" w:hAnsi="宋体" w:cs="宋体"/>
              <w:szCs w:val="24"/>
            </w:rPr>
            <w:t>all</w:t>
          </w:r>
          <w:r>
            <w:rPr>
              <w:rFonts w:hint="eastAsia" w:ascii="Times New Roman" w:hAnsi="Times New Roman" w:cs="宋体"/>
              <w:szCs w:val="24"/>
            </w:rPr>
            <w:tab/>
          </w:r>
          <w:r>
            <w:rPr>
              <w:rFonts w:hint="eastAsia" w:ascii="Times New Roman" w:hAnsi="Times New Roman" w:cs="宋体"/>
              <w:szCs w:val="24"/>
            </w:rPr>
            <w:t>61</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8.4  </w:t>
          </w:r>
          <w:r>
            <w:rPr>
              <w:rFonts w:hint="eastAsia" w:ascii="Times New Roman" w:hAnsi="宋体" w:cs="宋体"/>
              <w:szCs w:val="24"/>
            </w:rPr>
            <w:t>Diaphragm Wall</w:t>
          </w:r>
          <w:r>
            <w:rPr>
              <w:rFonts w:hint="eastAsia" w:ascii="Times New Roman" w:hAnsi="Times New Roman" w:cs="宋体"/>
              <w:szCs w:val="24"/>
            </w:rPr>
            <w:tab/>
          </w:r>
          <w:r>
            <w:rPr>
              <w:rFonts w:hint="eastAsia" w:ascii="Times New Roman" w:hAnsi="Times New Roman" w:cs="宋体"/>
              <w:szCs w:val="24"/>
            </w:rPr>
            <w:t>72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8.5  </w:t>
          </w:r>
          <w:r>
            <w:rPr>
              <w:rFonts w:hint="eastAsia" w:ascii="Times New Roman" w:hAnsi="宋体" w:cs="宋体"/>
              <w:szCs w:val="24"/>
            </w:rPr>
            <w:t>Anchor</w:t>
          </w:r>
          <w:r>
            <w:rPr>
              <w:rFonts w:hint="eastAsia" w:ascii="Times New Roman" w:hAnsi="Times New Roman" w:cs="宋体"/>
              <w:szCs w:val="24"/>
            </w:rPr>
            <w:tab/>
          </w:r>
          <w:r>
            <w:rPr>
              <w:rFonts w:hint="eastAsia" w:ascii="Times New Roman" w:hAnsi="Times New Roman" w:cs="宋体"/>
              <w:szCs w:val="24"/>
            </w:rPr>
            <w:t>79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8.6  </w:t>
          </w:r>
          <w:r>
            <w:rPr>
              <w:rFonts w:hint="eastAsia" w:ascii="Times New Roman" w:hAnsi="宋体" w:cs="宋体"/>
              <w:szCs w:val="24"/>
            </w:rPr>
            <w:t>Strut</w:t>
          </w:r>
          <w:r>
            <w:rPr>
              <w:rFonts w:hint="eastAsia" w:ascii="Times New Roman" w:hAnsi="Times New Roman" w:cs="宋体"/>
              <w:szCs w:val="24"/>
            </w:rPr>
            <w:tab/>
          </w:r>
          <w:r>
            <w:rPr>
              <w:rFonts w:hint="eastAsia" w:ascii="Times New Roman" w:hAnsi="Times New Roman" w:cs="宋体"/>
              <w:szCs w:val="24"/>
            </w:rPr>
            <w:t>88</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8.7  </w:t>
          </w:r>
          <w:r>
            <w:rPr>
              <w:rFonts w:hint="eastAsia" w:ascii="Times New Roman" w:hAnsi="宋体" w:cs="宋体"/>
              <w:szCs w:val="24"/>
            </w:rPr>
            <w:t>Inverse Method</w:t>
          </w:r>
          <w:r>
            <w:rPr>
              <w:rFonts w:hint="eastAsia" w:ascii="Times New Roman" w:hAnsi="Times New Roman" w:cs="宋体"/>
              <w:szCs w:val="24"/>
            </w:rPr>
            <w:tab/>
          </w:r>
          <w:r>
            <w:rPr>
              <w:rFonts w:hint="eastAsia" w:ascii="Times New Roman" w:hAnsi="Times New Roman" w:cs="宋体"/>
              <w:szCs w:val="24"/>
            </w:rPr>
            <w:t>95</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9  </w:t>
          </w:r>
          <w:r>
            <w:rPr>
              <w:rFonts w:hint="eastAsia" w:ascii="Times New Roman" w:cs="宋体"/>
              <w:szCs w:val="24"/>
            </w:rPr>
            <w:t>Soil Nailing Wall and Composite Soil Nailing Wall</w:t>
          </w:r>
          <w:r>
            <w:rPr>
              <w:rFonts w:hint="eastAsia" w:ascii="Times New Roman" w:hAnsi="Times New Roman" w:cs="宋体"/>
              <w:szCs w:val="24"/>
            </w:rPr>
            <w:tab/>
          </w:r>
          <w:r>
            <w:rPr>
              <w:rFonts w:hint="eastAsia" w:ascii="Times New Roman" w:hAnsi="Times New Roman" w:cs="宋体"/>
              <w:szCs w:val="24"/>
            </w:rPr>
            <w:t>103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9.1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102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9.2  </w:t>
          </w:r>
          <w:r>
            <w:rPr>
              <w:rFonts w:hint="eastAsia" w:ascii="Times New Roman" w:hAnsi="宋体" w:cs="宋体"/>
              <w:szCs w:val="24"/>
            </w:rPr>
            <w:t>Design</w:t>
          </w:r>
          <w:r>
            <w:rPr>
              <w:rFonts w:hint="eastAsia" w:ascii="Times New Roman" w:hAnsi="Times New Roman" w:cs="宋体"/>
              <w:szCs w:val="24"/>
            </w:rPr>
            <w:tab/>
          </w:r>
          <w:r>
            <w:rPr>
              <w:rFonts w:hint="eastAsia" w:ascii="Times New Roman" w:hAnsi="Times New Roman" w:cs="宋体"/>
              <w:szCs w:val="24"/>
            </w:rPr>
            <w:t>104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9.3  </w:t>
          </w:r>
          <w:r>
            <w:rPr>
              <w:rFonts w:hint="eastAsia" w:ascii="Times New Roman" w:hAnsi="宋体" w:cs="宋体"/>
              <w:szCs w:val="24"/>
            </w:rPr>
            <w:t>Construction Measures</w:t>
          </w:r>
          <w:r>
            <w:rPr>
              <w:rFonts w:hint="eastAsia" w:ascii="Times New Roman" w:hAnsi="Times New Roman" w:cs="宋体"/>
              <w:szCs w:val="24"/>
            </w:rPr>
            <w:tab/>
          </w:r>
          <w:r>
            <w:rPr>
              <w:rFonts w:hint="eastAsia" w:ascii="Times New Roman" w:hAnsi="Times New Roman" w:cs="宋体"/>
              <w:szCs w:val="24"/>
            </w:rPr>
            <w:t>109</w:t>
          </w:r>
        </w:p>
        <w:p>
          <w:pPr>
            <w:pStyle w:val="27"/>
            <w:tabs>
              <w:tab w:val="right" w:leader="dot" w:pos="8640"/>
            </w:tabs>
            <w:spacing w:line="420" w:lineRule="exact"/>
            <w:ind w:left="480"/>
            <w:rPr>
              <w:rFonts w:ascii="Times New Roman" w:hAnsi="Times New Roman"/>
            </w:rPr>
          </w:pPr>
          <w:r>
            <w:rPr>
              <w:rFonts w:hint="eastAsia" w:ascii="Times New Roman" w:hAnsi="Times New Roman" w:cs="宋体"/>
              <w:szCs w:val="24"/>
            </w:rPr>
            <w:t xml:space="preserve">9.4  </w:t>
          </w:r>
          <w:r>
            <w:rPr>
              <w:rFonts w:hint="eastAsia" w:ascii="Times New Roman" w:hAnsi="宋体" w:cs="宋体"/>
              <w:szCs w:val="24"/>
            </w:rPr>
            <w:t>C</w:t>
          </w:r>
          <w:r>
            <w:rPr>
              <w:rFonts w:ascii="Times New Roman" w:hAnsi="宋体" w:cs="宋体"/>
              <w:szCs w:val="24"/>
            </w:rPr>
            <w:t xml:space="preserve">onstruction and </w:t>
          </w:r>
          <w:r>
            <w:rPr>
              <w:rFonts w:hint="eastAsia" w:ascii="Times New Roman" w:hAnsi="宋体" w:cs="宋体"/>
              <w:szCs w:val="24"/>
            </w:rPr>
            <w:t>E</w:t>
          </w:r>
          <w:r>
            <w:rPr>
              <w:rFonts w:ascii="Times New Roman" w:hAnsi="宋体" w:cs="宋体"/>
              <w:szCs w:val="24"/>
            </w:rPr>
            <w:t>xamination</w:t>
          </w:r>
          <w:r>
            <w:rPr>
              <w:rFonts w:hint="eastAsia" w:ascii="Times New Roman" w:hAnsi="Times New Roman" w:cs="宋体"/>
              <w:szCs w:val="24"/>
            </w:rPr>
            <w:tab/>
          </w:r>
          <w:r>
            <w:rPr>
              <w:rFonts w:hint="eastAsia" w:ascii="Times New Roman" w:hAnsi="Times New Roman" w:cs="宋体"/>
              <w:szCs w:val="24"/>
            </w:rPr>
            <w:t>111</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10 </w:t>
          </w:r>
          <w:r>
            <w:rPr>
              <w:rFonts w:hint="eastAsia" w:ascii="Times New Roman" w:cs="宋体"/>
              <w:szCs w:val="24"/>
            </w:rPr>
            <w:t>Gravity Retaining Wall</w:t>
          </w:r>
          <w:r>
            <w:rPr>
              <w:rFonts w:hint="eastAsia" w:ascii="Times New Roman" w:hAnsi="Times New Roman" w:cs="宋体"/>
              <w:szCs w:val="24"/>
            </w:rPr>
            <w:tab/>
          </w:r>
          <w:r>
            <w:rPr>
              <w:rFonts w:hint="eastAsia" w:ascii="Times New Roman" w:hAnsi="Times New Roman" w:cs="宋体"/>
              <w:szCs w:val="24"/>
            </w:rPr>
            <w:t>115</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10.1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115</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10.2  </w:t>
          </w:r>
          <w:r>
            <w:rPr>
              <w:rFonts w:hint="eastAsia" w:ascii="Times New Roman" w:hAnsi="宋体" w:cs="宋体"/>
              <w:szCs w:val="24"/>
            </w:rPr>
            <w:t>Design</w:t>
          </w:r>
          <w:r>
            <w:rPr>
              <w:rFonts w:hint="eastAsia" w:ascii="Times New Roman" w:hAnsi="Times New Roman" w:cs="宋体"/>
              <w:szCs w:val="24"/>
            </w:rPr>
            <w:tab/>
          </w:r>
          <w:r>
            <w:rPr>
              <w:rFonts w:hint="eastAsia" w:ascii="Times New Roman" w:hAnsi="Times New Roman" w:cs="宋体"/>
              <w:szCs w:val="24"/>
            </w:rPr>
            <w:t>115</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10.3  </w:t>
          </w:r>
          <w:r>
            <w:rPr>
              <w:rFonts w:hint="eastAsia" w:ascii="Times New Roman" w:hAnsi="宋体" w:cs="宋体"/>
              <w:szCs w:val="24"/>
            </w:rPr>
            <w:t>Construction Measures</w:t>
          </w:r>
          <w:r>
            <w:rPr>
              <w:rFonts w:hint="eastAsia" w:ascii="Times New Roman" w:hAnsi="Times New Roman" w:cs="宋体"/>
              <w:szCs w:val="24"/>
            </w:rPr>
            <w:tab/>
          </w:r>
          <w:r>
            <w:rPr>
              <w:rFonts w:hint="eastAsia" w:ascii="Times New Roman" w:hAnsi="Times New Roman" w:cs="宋体"/>
              <w:szCs w:val="24"/>
            </w:rPr>
            <w:t>120</w:t>
          </w:r>
        </w:p>
        <w:p>
          <w:pPr>
            <w:pStyle w:val="27"/>
            <w:tabs>
              <w:tab w:val="right" w:leader="dot" w:pos="8640"/>
            </w:tabs>
            <w:spacing w:line="420" w:lineRule="exact"/>
            <w:ind w:left="480"/>
            <w:rPr>
              <w:rFonts w:ascii="Times New Roman" w:hAnsi="Times New Roman"/>
            </w:rPr>
          </w:pPr>
          <w:r>
            <w:rPr>
              <w:rFonts w:hint="eastAsia" w:ascii="Times New Roman" w:hAnsi="Times New Roman" w:cs="宋体"/>
              <w:szCs w:val="24"/>
            </w:rPr>
            <w:t xml:space="preserve">10.4  </w:t>
          </w:r>
          <w:r>
            <w:rPr>
              <w:rFonts w:hint="eastAsia" w:ascii="Times New Roman" w:hAnsi="宋体" w:cs="宋体"/>
              <w:szCs w:val="24"/>
            </w:rPr>
            <w:t>C</w:t>
          </w:r>
          <w:r>
            <w:rPr>
              <w:rFonts w:ascii="Times New Roman" w:hAnsi="宋体" w:cs="宋体"/>
              <w:szCs w:val="24"/>
            </w:rPr>
            <w:t xml:space="preserve">onstruction and </w:t>
          </w:r>
          <w:r>
            <w:rPr>
              <w:rFonts w:hint="eastAsia" w:ascii="Times New Roman" w:hAnsi="宋体" w:cs="宋体"/>
              <w:szCs w:val="24"/>
            </w:rPr>
            <w:t>E</w:t>
          </w:r>
          <w:r>
            <w:rPr>
              <w:rFonts w:ascii="Times New Roman" w:hAnsi="宋体" w:cs="宋体"/>
              <w:szCs w:val="24"/>
            </w:rPr>
            <w:t>xamination</w:t>
          </w:r>
          <w:r>
            <w:rPr>
              <w:rFonts w:hint="eastAsia" w:ascii="Times New Roman" w:hAnsi="Times New Roman" w:cs="宋体"/>
              <w:szCs w:val="24"/>
            </w:rPr>
            <w:tab/>
          </w:r>
          <w:r>
            <w:rPr>
              <w:rFonts w:hint="eastAsia" w:ascii="Times New Roman" w:hAnsi="Times New Roman" w:cs="宋体"/>
              <w:szCs w:val="24"/>
            </w:rPr>
            <w:t>122</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11 </w:t>
          </w:r>
          <w:r>
            <w:rPr>
              <w:rFonts w:hint="eastAsia" w:ascii="Times New Roman" w:cs="宋体"/>
              <w:szCs w:val="24"/>
            </w:rPr>
            <w:t>Slope Ratio Method</w:t>
          </w:r>
          <w:r>
            <w:rPr>
              <w:rFonts w:hint="eastAsia" w:ascii="Times New Roman" w:hAnsi="Times New Roman" w:cs="宋体"/>
              <w:szCs w:val="24"/>
            </w:rPr>
            <w:tab/>
          </w:r>
          <w:r>
            <w:rPr>
              <w:rFonts w:hint="eastAsia" w:ascii="Times New Roman" w:hAnsi="Times New Roman" w:cs="宋体"/>
              <w:szCs w:val="24"/>
            </w:rPr>
            <w:t>123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11.1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123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11.2  </w:t>
          </w:r>
          <w:r>
            <w:rPr>
              <w:rFonts w:hint="eastAsia" w:ascii="Times New Roman" w:hAnsi="宋体" w:cs="宋体"/>
              <w:szCs w:val="24"/>
            </w:rPr>
            <w:t>Design</w:t>
          </w:r>
          <w:r>
            <w:rPr>
              <w:rFonts w:hint="eastAsia" w:ascii="Times New Roman" w:hAnsi="Times New Roman" w:cs="宋体"/>
              <w:szCs w:val="24"/>
            </w:rPr>
            <w:tab/>
          </w:r>
          <w:r>
            <w:rPr>
              <w:rFonts w:hint="eastAsia" w:ascii="Times New Roman" w:hAnsi="Times New Roman" w:cs="宋体"/>
              <w:szCs w:val="24"/>
            </w:rPr>
            <w:t>123</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11.3  </w:t>
          </w:r>
          <w:r>
            <w:rPr>
              <w:rFonts w:hint="eastAsia" w:ascii="Times New Roman" w:hAnsi="宋体" w:cs="宋体"/>
              <w:szCs w:val="24"/>
            </w:rPr>
            <w:t>Construction</w:t>
          </w:r>
          <w:r>
            <w:rPr>
              <w:rFonts w:hint="eastAsia" w:ascii="Times New Roman" w:hAnsi="Times New Roman" w:cs="宋体"/>
              <w:szCs w:val="24"/>
            </w:rPr>
            <w:tab/>
          </w:r>
          <w:r>
            <w:rPr>
              <w:rFonts w:hint="eastAsia" w:ascii="Times New Roman" w:hAnsi="Times New Roman" w:cs="宋体"/>
              <w:szCs w:val="24"/>
            </w:rPr>
            <w:t>124</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12 </w:t>
          </w:r>
          <w:r>
            <w:rPr>
              <w:rFonts w:hint="eastAsia" w:ascii="Times New Roman" w:cs="宋体"/>
              <w:szCs w:val="24"/>
            </w:rPr>
            <w:t>Soil Reinforcement</w:t>
          </w:r>
          <w:r>
            <w:rPr>
              <w:rFonts w:hint="eastAsia" w:ascii="Times New Roman" w:hAnsi="Times New Roman" w:cs="宋体"/>
              <w:szCs w:val="24"/>
            </w:rPr>
            <w:tab/>
          </w:r>
          <w:r>
            <w:rPr>
              <w:rFonts w:hint="eastAsia" w:ascii="Times New Roman" w:hAnsi="Times New Roman" w:cs="宋体"/>
              <w:szCs w:val="24"/>
            </w:rPr>
            <w:t>125</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13 </w:t>
          </w:r>
          <w:r>
            <w:rPr>
              <w:rFonts w:hint="eastAsia" w:ascii="Times New Roman" w:cs="宋体"/>
              <w:szCs w:val="24"/>
            </w:rPr>
            <w:t>Groundwater Control</w:t>
          </w:r>
          <w:r>
            <w:rPr>
              <w:rFonts w:hint="eastAsia" w:ascii="Times New Roman" w:hAnsi="Times New Roman" w:cs="宋体"/>
              <w:szCs w:val="24"/>
            </w:rPr>
            <w:tab/>
          </w:r>
          <w:r>
            <w:rPr>
              <w:rFonts w:hint="eastAsia" w:ascii="Times New Roman" w:hAnsi="Times New Roman" w:cs="宋体"/>
              <w:szCs w:val="24"/>
            </w:rPr>
            <w:t>127</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13.1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127</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13.2  </w:t>
          </w:r>
          <w:r>
            <w:rPr>
              <w:rFonts w:hint="eastAsia" w:ascii="Times New Roman" w:hAnsi="宋体" w:cs="宋体"/>
              <w:szCs w:val="24"/>
            </w:rPr>
            <w:t>Dewatering Design</w:t>
          </w:r>
          <w:r>
            <w:rPr>
              <w:rFonts w:hint="eastAsia" w:ascii="Times New Roman" w:hAnsi="Times New Roman" w:cs="宋体"/>
              <w:szCs w:val="24"/>
            </w:rPr>
            <w:tab/>
          </w:r>
          <w:r>
            <w:rPr>
              <w:rFonts w:hint="eastAsia" w:ascii="Times New Roman" w:hAnsi="Times New Roman" w:cs="宋体"/>
              <w:szCs w:val="24"/>
            </w:rPr>
            <w:t>128</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13.3 </w:t>
          </w:r>
          <w:r>
            <w:rPr>
              <w:rFonts w:hint="eastAsia" w:ascii="Times New Roman" w:hAnsi="宋体" w:cs="宋体"/>
              <w:szCs w:val="24"/>
            </w:rPr>
            <w:t>T</w:t>
          </w:r>
          <w:r>
            <w:rPr>
              <w:rFonts w:ascii="Times New Roman" w:hAnsi="宋体" w:cs="宋体"/>
              <w:szCs w:val="24"/>
            </w:rPr>
            <w:t xml:space="preserve">ube </w:t>
          </w:r>
          <w:r>
            <w:rPr>
              <w:rFonts w:hint="eastAsia" w:ascii="Times New Roman" w:hAnsi="宋体" w:cs="宋体"/>
              <w:szCs w:val="24"/>
            </w:rPr>
            <w:t>W</w:t>
          </w:r>
          <w:r>
            <w:rPr>
              <w:rFonts w:ascii="Times New Roman" w:hAnsi="宋体" w:cs="宋体"/>
              <w:szCs w:val="24"/>
            </w:rPr>
            <w:t xml:space="preserve">ell </w:t>
          </w:r>
          <w:r>
            <w:rPr>
              <w:rFonts w:hint="eastAsia" w:ascii="Times New Roman" w:hAnsi="宋体" w:cs="宋体"/>
              <w:szCs w:val="24"/>
            </w:rPr>
            <w:t>P</w:t>
          </w:r>
          <w:r>
            <w:rPr>
              <w:rFonts w:ascii="Times New Roman" w:hAnsi="宋体" w:cs="宋体"/>
              <w:szCs w:val="24"/>
            </w:rPr>
            <w:t>recipitation</w:t>
          </w:r>
          <w:r>
            <w:rPr>
              <w:rFonts w:hint="eastAsia" w:ascii="Times New Roman" w:hAnsi="Times New Roman" w:cs="宋体"/>
              <w:szCs w:val="24"/>
            </w:rPr>
            <w:tab/>
          </w:r>
          <w:r>
            <w:rPr>
              <w:rFonts w:hint="eastAsia" w:ascii="Times New Roman" w:hAnsi="Times New Roman" w:cs="宋体"/>
              <w:szCs w:val="24"/>
            </w:rPr>
            <w:t>130</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13.4  </w:t>
          </w:r>
          <w:r>
            <w:rPr>
              <w:rFonts w:hint="eastAsia" w:ascii="Times New Roman" w:hAnsi="宋体" w:cs="宋体"/>
              <w:szCs w:val="24"/>
            </w:rPr>
            <w:t>Dewatering Project</w:t>
          </w:r>
          <w:r>
            <w:rPr>
              <w:rFonts w:hint="eastAsia" w:ascii="Times New Roman" w:hAnsi="Times New Roman" w:cs="宋体"/>
              <w:szCs w:val="24"/>
            </w:rPr>
            <w:tab/>
          </w:r>
          <w:r>
            <w:rPr>
              <w:rFonts w:hint="eastAsia" w:ascii="Times New Roman" w:hAnsi="Times New Roman" w:cs="宋体"/>
              <w:szCs w:val="24"/>
            </w:rPr>
            <w:t>132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13.5  </w:t>
          </w:r>
          <w:r>
            <w:rPr>
              <w:rFonts w:hint="eastAsia" w:ascii="Times New Roman" w:hAnsi="宋体" w:cs="宋体"/>
              <w:szCs w:val="24"/>
            </w:rPr>
            <w:t>Curtain for Cutting-off Drains</w:t>
          </w:r>
          <w:r>
            <w:rPr>
              <w:rFonts w:hint="eastAsia" w:ascii="Times New Roman" w:hAnsi="Times New Roman" w:cs="宋体"/>
              <w:szCs w:val="24"/>
            </w:rPr>
            <w:tab/>
          </w:r>
          <w:r>
            <w:rPr>
              <w:rFonts w:hint="eastAsia" w:ascii="Times New Roman" w:hAnsi="Times New Roman" w:cs="宋体"/>
              <w:szCs w:val="24"/>
            </w:rPr>
            <w:t>132</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14 </w:t>
          </w:r>
          <w:r>
            <w:rPr>
              <w:rFonts w:hint="eastAsia" w:ascii="Times New Roman" w:cs="宋体"/>
              <w:szCs w:val="24"/>
            </w:rPr>
            <w:t>Excavation and Backfilling</w:t>
          </w:r>
          <w:r>
            <w:rPr>
              <w:rFonts w:hint="eastAsia" w:ascii="Times New Roman" w:hAnsi="Times New Roman" w:cs="宋体"/>
              <w:szCs w:val="24"/>
            </w:rPr>
            <w:tab/>
          </w:r>
          <w:r>
            <w:rPr>
              <w:rFonts w:hint="eastAsia" w:ascii="Times New Roman" w:hAnsi="Times New Roman" w:cs="宋体"/>
              <w:szCs w:val="24"/>
            </w:rPr>
            <w:t>135</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14.1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135</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14.2  </w:t>
          </w:r>
          <w:r>
            <w:rPr>
              <w:rFonts w:hint="eastAsia" w:ascii="Times New Roman" w:hAnsi="宋体" w:cs="宋体"/>
              <w:szCs w:val="24"/>
            </w:rPr>
            <w:t>E</w:t>
          </w:r>
          <w:r>
            <w:rPr>
              <w:rFonts w:ascii="Times New Roman" w:hAnsi="宋体" w:cs="宋体"/>
              <w:szCs w:val="24"/>
            </w:rPr>
            <w:t>x</w:t>
          </w:r>
          <w:r>
            <w:rPr>
              <w:rFonts w:hint="eastAsia" w:ascii="Times New Roman" w:hAnsi="宋体" w:cs="宋体"/>
              <w:szCs w:val="24"/>
            </w:rPr>
            <w:t>cavation Scheme</w:t>
          </w:r>
          <w:r>
            <w:rPr>
              <w:rFonts w:hint="eastAsia" w:ascii="Times New Roman" w:hAnsi="Times New Roman" w:cs="宋体"/>
              <w:szCs w:val="24"/>
            </w:rPr>
            <w:tab/>
          </w:r>
          <w:r>
            <w:rPr>
              <w:rFonts w:hint="eastAsia" w:ascii="Times New Roman" w:hAnsi="Times New Roman" w:cs="宋体"/>
              <w:szCs w:val="24"/>
            </w:rPr>
            <w:t>135</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14.3  </w:t>
          </w:r>
          <w:r>
            <w:rPr>
              <w:rFonts w:hint="eastAsia" w:ascii="Times New Roman" w:hAnsi="宋体" w:cs="宋体"/>
              <w:szCs w:val="24"/>
            </w:rPr>
            <w:t>Soil Excavation</w:t>
          </w:r>
          <w:r>
            <w:rPr>
              <w:rFonts w:hint="eastAsia" w:ascii="Times New Roman" w:hAnsi="Times New Roman" w:cs="宋体"/>
              <w:szCs w:val="24"/>
            </w:rPr>
            <w:tab/>
          </w:r>
          <w:r>
            <w:rPr>
              <w:rFonts w:hint="eastAsia" w:ascii="Times New Roman" w:hAnsi="Times New Roman" w:cs="宋体"/>
              <w:szCs w:val="24"/>
            </w:rPr>
            <w:t>136</w:t>
          </w:r>
        </w:p>
        <w:p>
          <w:pPr>
            <w:pStyle w:val="27"/>
            <w:tabs>
              <w:tab w:val="right" w:leader="dot" w:pos="8640"/>
            </w:tabs>
            <w:spacing w:line="420" w:lineRule="exact"/>
            <w:ind w:left="480"/>
            <w:rPr>
              <w:rFonts w:ascii="Times New Roman" w:hAnsi="Times New Roman"/>
            </w:rPr>
          </w:pPr>
          <w:r>
            <w:rPr>
              <w:rFonts w:hint="eastAsia" w:ascii="Times New Roman" w:hAnsi="Times New Roman" w:cs="宋体"/>
              <w:szCs w:val="24"/>
            </w:rPr>
            <w:t xml:space="preserve">14.4  </w:t>
          </w:r>
          <w:r>
            <w:rPr>
              <w:rFonts w:hint="eastAsia" w:ascii="Times New Roman" w:hAnsi="宋体" w:cs="宋体"/>
              <w:szCs w:val="24"/>
            </w:rPr>
            <w:t>Earthwork Backfilling</w:t>
          </w:r>
          <w:r>
            <w:rPr>
              <w:rFonts w:hint="eastAsia" w:ascii="Times New Roman" w:hAnsi="Times New Roman" w:cs="宋体"/>
              <w:szCs w:val="24"/>
            </w:rPr>
            <w:tab/>
          </w:r>
          <w:r>
            <w:rPr>
              <w:rFonts w:hint="eastAsia" w:ascii="Times New Roman" w:hAnsi="Times New Roman" w:cs="宋体"/>
              <w:szCs w:val="24"/>
            </w:rPr>
            <w:t>137</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15  </w:t>
          </w:r>
          <w:r>
            <w:rPr>
              <w:rFonts w:hint="eastAsia" w:ascii="Times New Roman" w:cs="宋体"/>
              <w:szCs w:val="24"/>
            </w:rPr>
            <w:t>Environmenal Impact Assessmet and Prevetion Measures</w:t>
          </w:r>
          <w:r>
            <w:rPr>
              <w:rFonts w:hint="eastAsia" w:ascii="Times New Roman" w:hAnsi="Times New Roman" w:cs="宋体"/>
              <w:szCs w:val="24"/>
            </w:rPr>
            <w:tab/>
          </w:r>
          <w:r>
            <w:rPr>
              <w:rFonts w:hint="eastAsia" w:ascii="Times New Roman" w:hAnsi="Times New Roman" w:cs="宋体"/>
              <w:szCs w:val="24"/>
            </w:rPr>
            <w:t>139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15.1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139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15.2  </w:t>
          </w:r>
          <w:r>
            <w:rPr>
              <w:rFonts w:hint="eastAsia" w:ascii="Times New Roman" w:hAnsi="宋体" w:cs="宋体"/>
              <w:szCs w:val="24"/>
            </w:rPr>
            <w:t>Evaluation Contents</w:t>
          </w:r>
          <w:r>
            <w:rPr>
              <w:rFonts w:hint="eastAsia" w:ascii="Times New Roman" w:hAnsi="Times New Roman" w:cs="宋体"/>
              <w:szCs w:val="24"/>
            </w:rPr>
            <w:tab/>
          </w:r>
          <w:r>
            <w:rPr>
              <w:rFonts w:hint="eastAsia" w:ascii="Times New Roman" w:hAnsi="Times New Roman" w:cs="宋体"/>
              <w:szCs w:val="24"/>
            </w:rPr>
            <w:t>140</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15.3  </w:t>
          </w:r>
          <w:r>
            <w:rPr>
              <w:rFonts w:hint="eastAsia" w:ascii="Times New Roman" w:hAnsi="宋体" w:cs="宋体"/>
              <w:szCs w:val="24"/>
            </w:rPr>
            <w:t>Prediction of Foundation Pit Deformation</w:t>
          </w:r>
          <w:r>
            <w:rPr>
              <w:rFonts w:hint="eastAsia" w:ascii="Times New Roman" w:hAnsi="Times New Roman" w:cs="宋体"/>
              <w:szCs w:val="24"/>
            </w:rPr>
            <w:tab/>
          </w:r>
          <w:r>
            <w:rPr>
              <w:rFonts w:hint="eastAsia" w:ascii="Times New Roman" w:hAnsi="Times New Roman" w:cs="宋体"/>
              <w:szCs w:val="24"/>
            </w:rPr>
            <w:t>140</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15.4  </w:t>
          </w:r>
          <w:r>
            <w:rPr>
              <w:rFonts w:hint="eastAsia" w:ascii="Times New Roman" w:hAnsi="宋体" w:cs="宋体"/>
              <w:szCs w:val="24"/>
            </w:rPr>
            <w:t>Prevention Measures</w:t>
          </w:r>
          <w:r>
            <w:rPr>
              <w:rFonts w:hint="eastAsia" w:ascii="Times New Roman" w:hAnsi="Times New Roman" w:cs="宋体"/>
              <w:szCs w:val="24"/>
            </w:rPr>
            <w:tab/>
          </w:r>
          <w:r>
            <w:rPr>
              <w:rFonts w:hint="eastAsia" w:ascii="Times New Roman" w:hAnsi="Times New Roman" w:cs="宋体"/>
              <w:szCs w:val="24"/>
            </w:rPr>
            <w:t>141</w:t>
          </w:r>
        </w:p>
        <w:p>
          <w:pPr>
            <w:pStyle w:val="5"/>
            <w:tabs>
              <w:tab w:val="right" w:leader="dot" w:pos="8640"/>
              <w:tab w:val="clear" w:pos="9628"/>
            </w:tabs>
            <w:spacing w:line="420" w:lineRule="exact"/>
            <w:rPr>
              <w:rFonts w:ascii="Times New Roman" w:hAnsi="Times New Roman" w:cs="宋体"/>
              <w:szCs w:val="24"/>
            </w:rPr>
          </w:pPr>
          <w:r>
            <w:rPr>
              <w:rFonts w:hint="eastAsia" w:ascii="Times New Roman" w:hAnsi="Times New Roman" w:cs="宋体"/>
              <w:szCs w:val="24"/>
            </w:rPr>
            <w:t xml:space="preserve">16  </w:t>
          </w:r>
          <w:r>
            <w:rPr>
              <w:rFonts w:hint="eastAsia" w:ascii="Times New Roman" w:cs="宋体"/>
              <w:szCs w:val="24"/>
            </w:rPr>
            <w:t>Monitoring</w:t>
          </w:r>
          <w:r>
            <w:rPr>
              <w:rFonts w:hint="eastAsia" w:ascii="Times New Roman" w:hAnsi="Times New Roman" w:cs="宋体"/>
              <w:szCs w:val="24"/>
            </w:rPr>
            <w:tab/>
          </w:r>
          <w:r>
            <w:rPr>
              <w:rFonts w:hint="eastAsia" w:ascii="Times New Roman" w:hAnsi="Times New Roman" w:cs="宋体"/>
              <w:szCs w:val="24"/>
            </w:rPr>
            <w:t>144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16.1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144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16.2  Layout of </w:t>
          </w:r>
          <w:r>
            <w:rPr>
              <w:rFonts w:hint="eastAsia" w:ascii="Times New Roman" w:hAnsi="宋体" w:cs="宋体"/>
              <w:szCs w:val="24"/>
            </w:rPr>
            <w:t>Monitorring Points</w:t>
          </w:r>
          <w:r>
            <w:rPr>
              <w:rFonts w:hint="eastAsia" w:ascii="Times New Roman" w:hAnsi="Times New Roman" w:cs="宋体"/>
              <w:szCs w:val="24"/>
            </w:rPr>
            <w:tab/>
          </w:r>
          <w:r>
            <w:rPr>
              <w:rFonts w:hint="eastAsia" w:ascii="Times New Roman" w:hAnsi="Times New Roman" w:cs="宋体"/>
              <w:szCs w:val="24"/>
            </w:rPr>
            <w:t>147</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16.3  </w:t>
          </w:r>
          <w:r>
            <w:rPr>
              <w:rFonts w:hint="eastAsia" w:ascii="Times New Roman" w:hAnsi="宋体" w:cs="宋体"/>
              <w:szCs w:val="24"/>
            </w:rPr>
            <w:t>Monintoring Methods</w:t>
          </w:r>
          <w:r>
            <w:rPr>
              <w:rFonts w:hint="eastAsia" w:ascii="Times New Roman" w:hAnsi="Times New Roman" w:cs="宋体"/>
              <w:szCs w:val="24"/>
            </w:rPr>
            <w:tab/>
          </w:r>
          <w:r>
            <w:rPr>
              <w:rFonts w:hint="eastAsia" w:ascii="Times New Roman" w:hAnsi="Times New Roman" w:cs="宋体"/>
              <w:szCs w:val="24"/>
            </w:rPr>
            <w:t>147</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16.4  </w:t>
          </w:r>
          <w:r>
            <w:rPr>
              <w:rFonts w:hint="eastAsia" w:ascii="Times New Roman" w:hAnsi="宋体" w:cs="宋体"/>
              <w:szCs w:val="24"/>
            </w:rPr>
            <w:t>Warning Value</w:t>
          </w:r>
          <w:r>
            <w:rPr>
              <w:rFonts w:hint="eastAsia" w:ascii="Times New Roman" w:hAnsi="Times New Roman" w:cs="宋体"/>
              <w:szCs w:val="24"/>
            </w:rPr>
            <w:tab/>
          </w:r>
          <w:r>
            <w:rPr>
              <w:rFonts w:hint="eastAsia" w:ascii="Times New Roman" w:hAnsi="Times New Roman" w:cs="宋体"/>
              <w:szCs w:val="24"/>
            </w:rPr>
            <w:t>148</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16.5  </w:t>
          </w:r>
          <w:r>
            <w:rPr>
              <w:rFonts w:hint="eastAsia" w:ascii="Times New Roman" w:hAnsi="宋体" w:cs="宋体"/>
              <w:szCs w:val="24"/>
            </w:rPr>
            <w:t>Monitoring Frequency</w:t>
          </w:r>
          <w:r>
            <w:rPr>
              <w:rFonts w:hint="eastAsia" w:ascii="Times New Roman" w:hAnsi="Times New Roman" w:cs="宋体"/>
              <w:szCs w:val="24"/>
            </w:rPr>
            <w:tab/>
          </w:r>
          <w:r>
            <w:rPr>
              <w:rFonts w:hint="eastAsia" w:ascii="Times New Roman" w:hAnsi="Times New Roman" w:cs="宋体"/>
              <w:szCs w:val="24"/>
            </w:rPr>
            <w:t>149</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16.6  </w:t>
          </w:r>
          <w:r>
            <w:rPr>
              <w:rFonts w:hint="eastAsia" w:ascii="Times New Roman" w:hAnsi="宋体" w:cs="宋体"/>
              <w:szCs w:val="24"/>
            </w:rPr>
            <w:t>Report Writing</w:t>
          </w:r>
          <w:r>
            <w:rPr>
              <w:rFonts w:hint="eastAsia" w:ascii="Times New Roman" w:hAnsi="Times New Roman" w:cs="宋体"/>
              <w:szCs w:val="24"/>
            </w:rPr>
            <w:tab/>
          </w:r>
          <w:r>
            <w:rPr>
              <w:rFonts w:hint="eastAsia" w:ascii="Times New Roman" w:hAnsi="Times New Roman" w:cs="宋体"/>
              <w:szCs w:val="24"/>
            </w:rPr>
            <w:t>151</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 xml:space="preserve">Appendix </w:t>
          </w:r>
          <w:r>
            <w:rPr>
              <w:rFonts w:hint="eastAsia" w:ascii="Times New Roman" w:hAnsi="Times New Roman" w:cs="宋体"/>
              <w:szCs w:val="24"/>
            </w:rPr>
            <w:t xml:space="preserve">A  </w:t>
          </w:r>
          <w:r>
            <w:rPr>
              <w:rFonts w:hint="eastAsia" w:ascii="Times New Roman" w:cs="宋体"/>
              <w:szCs w:val="24"/>
            </w:rPr>
            <w:t>Kernel of Anchor Pull-out Test</w:t>
          </w:r>
          <w:r>
            <w:rPr>
              <w:rFonts w:hint="eastAsia" w:ascii="Times New Roman" w:hAnsi="Times New Roman" w:cs="宋体"/>
              <w:szCs w:val="24"/>
            </w:rPr>
            <w:tab/>
          </w:r>
          <w:r>
            <w:rPr>
              <w:rFonts w:hint="eastAsia" w:ascii="Times New Roman" w:hAnsi="Times New Roman" w:cs="宋体"/>
              <w:szCs w:val="24"/>
            </w:rPr>
            <w:t>152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A.1 </w:t>
          </w:r>
          <w:r>
            <w:rPr>
              <w:rFonts w:hint="eastAsia" w:ascii="Times New Roman" w:hAnsi="宋体" w:cs="宋体"/>
              <w:szCs w:val="24"/>
            </w:rPr>
            <w:t>General Requirement</w:t>
          </w:r>
          <w:r>
            <w:rPr>
              <w:rFonts w:hint="eastAsia" w:ascii="Times New Roman" w:hAnsi="Times New Roman" w:cs="宋体"/>
              <w:szCs w:val="24"/>
            </w:rPr>
            <w:tab/>
          </w:r>
          <w:r>
            <w:rPr>
              <w:rFonts w:hint="eastAsia" w:ascii="Times New Roman" w:hAnsi="Times New Roman" w:cs="宋体"/>
              <w:szCs w:val="24"/>
            </w:rPr>
            <w:t>152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A.2 </w:t>
          </w:r>
          <w:r>
            <w:rPr>
              <w:rFonts w:hint="eastAsia" w:ascii="Times New Roman" w:hAnsi="宋体" w:cs="宋体"/>
              <w:szCs w:val="24"/>
            </w:rPr>
            <w:t>Basci Test</w:t>
          </w:r>
          <w:r>
            <w:rPr>
              <w:rFonts w:hint="eastAsia" w:ascii="Times New Roman" w:hAnsi="Times New Roman" w:cs="宋体"/>
              <w:szCs w:val="24"/>
            </w:rPr>
            <w:tab/>
          </w:r>
          <w:r>
            <w:rPr>
              <w:rFonts w:hint="eastAsia" w:ascii="Times New Roman" w:hAnsi="Times New Roman" w:cs="宋体"/>
              <w:szCs w:val="24"/>
            </w:rPr>
            <w:t>152</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A.3 </w:t>
          </w:r>
          <w:r>
            <w:rPr>
              <w:rFonts w:hint="eastAsia" w:ascii="Times New Roman" w:hAnsi="宋体" w:cs="宋体"/>
              <w:szCs w:val="24"/>
            </w:rPr>
            <w:t>Creep Test</w:t>
          </w:r>
          <w:r>
            <w:rPr>
              <w:rFonts w:hint="eastAsia" w:ascii="Times New Roman" w:hAnsi="Times New Roman" w:cs="宋体"/>
              <w:szCs w:val="24"/>
            </w:rPr>
            <w:tab/>
          </w:r>
          <w:r>
            <w:rPr>
              <w:rFonts w:hint="eastAsia" w:ascii="Times New Roman" w:hAnsi="Times New Roman" w:cs="宋体"/>
              <w:szCs w:val="24"/>
            </w:rPr>
            <w:t>154</w:t>
          </w:r>
        </w:p>
        <w:p>
          <w:pPr>
            <w:pStyle w:val="27"/>
            <w:tabs>
              <w:tab w:val="right" w:leader="dot" w:pos="8640"/>
            </w:tabs>
            <w:spacing w:line="420" w:lineRule="exact"/>
            <w:ind w:left="480"/>
            <w:rPr>
              <w:rFonts w:ascii="Times New Roman" w:hAnsi="Times New Roman" w:cs="宋体"/>
              <w:szCs w:val="24"/>
            </w:rPr>
          </w:pPr>
          <w:r>
            <w:rPr>
              <w:rFonts w:hint="eastAsia" w:ascii="Times New Roman" w:hAnsi="Times New Roman" w:cs="宋体"/>
              <w:szCs w:val="24"/>
            </w:rPr>
            <w:t xml:space="preserve">A.4 </w:t>
          </w:r>
          <w:r>
            <w:rPr>
              <w:rFonts w:hint="eastAsia" w:ascii="Times New Roman" w:hAnsi="宋体" w:cs="宋体"/>
              <w:szCs w:val="24"/>
            </w:rPr>
            <w:t>Verification Test</w:t>
          </w:r>
          <w:r>
            <w:rPr>
              <w:rFonts w:hint="eastAsia" w:ascii="Times New Roman" w:hAnsi="Times New Roman" w:cs="宋体"/>
              <w:szCs w:val="24"/>
            </w:rPr>
            <w:tab/>
          </w:r>
          <w:r>
            <w:rPr>
              <w:rFonts w:hint="eastAsia" w:ascii="Times New Roman" w:hAnsi="Times New Roman" w:cs="宋体"/>
              <w:szCs w:val="24"/>
            </w:rPr>
            <w:t>155</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bCs/>
              <w:szCs w:val="24"/>
            </w:rPr>
            <w:t>附录</w:t>
          </w:r>
          <w:r>
            <w:rPr>
              <w:rFonts w:hint="eastAsia" w:ascii="Times New Roman" w:hAnsi="Times New Roman" w:cs="宋体"/>
              <w:bCs/>
              <w:szCs w:val="24"/>
            </w:rPr>
            <w:t xml:space="preserve">B  </w:t>
          </w:r>
          <w:r>
            <w:rPr>
              <w:rFonts w:hint="eastAsia" w:ascii="Times New Roman" w:cs="宋体"/>
              <w:szCs w:val="24"/>
            </w:rPr>
            <w:t>Kernel of Soil Nail Pull-out Test</w:t>
          </w:r>
          <w:r>
            <w:rPr>
              <w:rFonts w:hint="eastAsia" w:ascii="Times New Roman" w:hAnsi="Times New Roman" w:cs="宋体"/>
              <w:szCs w:val="24"/>
            </w:rPr>
            <w:tab/>
          </w:r>
          <w:r>
            <w:rPr>
              <w:rFonts w:hint="eastAsia" w:ascii="Times New Roman" w:hAnsi="Times New Roman" w:cs="宋体"/>
              <w:szCs w:val="24"/>
            </w:rPr>
            <w:t>157</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 xml:space="preserve">C  </w:t>
          </w:r>
          <w:r>
            <w:rPr>
              <w:rFonts w:hint="eastAsia" w:ascii="Times New Roman" w:cs="宋体"/>
              <w:szCs w:val="24"/>
            </w:rPr>
            <w:t>Seepage Deformation of Soil</w:t>
          </w:r>
          <w:r>
            <w:rPr>
              <w:rFonts w:hint="eastAsia" w:ascii="Times New Roman" w:hAnsi="Times New Roman" w:cs="宋体"/>
              <w:szCs w:val="24"/>
            </w:rPr>
            <w:tab/>
          </w:r>
          <w:r>
            <w:rPr>
              <w:rFonts w:hint="eastAsia" w:ascii="Times New Roman" w:hAnsi="Times New Roman" w:cs="宋体"/>
              <w:szCs w:val="24"/>
            </w:rPr>
            <w:t>160</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 xml:space="preserve">D  </w:t>
          </w:r>
          <w:r>
            <w:rPr>
              <w:rFonts w:hint="eastAsia" w:ascii="Times New Roman" w:cs="宋体"/>
              <w:szCs w:val="24"/>
            </w:rPr>
            <w:t>Dropdown Calculation of Partially Penetrating Well</w:t>
          </w:r>
          <w:r>
            <w:rPr>
              <w:rFonts w:hint="eastAsia" w:ascii="Times New Roman" w:hAnsi="Times New Roman" w:cs="宋体"/>
              <w:szCs w:val="24"/>
            </w:rPr>
            <w:tab/>
          </w:r>
          <w:r>
            <w:rPr>
              <w:rFonts w:hint="eastAsia" w:ascii="Times New Roman" w:hAnsi="Times New Roman" w:cs="宋体"/>
              <w:szCs w:val="24"/>
            </w:rPr>
            <w:t>164</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 xml:space="preserve">E  </w:t>
          </w:r>
          <w:r>
            <w:rPr>
              <w:rFonts w:hint="eastAsia" w:ascii="Times New Roman" w:cs="宋体"/>
              <w:szCs w:val="24"/>
            </w:rPr>
            <w:t>Flexural Capacity Table of Reinforced Concrete Pile</w:t>
          </w:r>
          <w:r>
            <w:rPr>
              <w:rFonts w:hint="eastAsia" w:ascii="Times New Roman" w:hAnsi="Times New Roman" w:cs="宋体"/>
              <w:szCs w:val="24"/>
            </w:rPr>
            <w:tab/>
          </w:r>
          <w:r>
            <w:rPr>
              <w:rFonts w:hint="eastAsia" w:ascii="Times New Roman" w:hAnsi="Times New Roman" w:cs="宋体"/>
              <w:szCs w:val="24"/>
            </w:rPr>
            <w:t>168</w:t>
          </w:r>
        </w:p>
        <w:p>
          <w:pPr>
            <w:pStyle w:val="5"/>
            <w:tabs>
              <w:tab w:val="right" w:leader="dot" w:pos="8640"/>
              <w:tab w:val="clear" w:pos="9628"/>
            </w:tabs>
            <w:spacing w:line="420" w:lineRule="exact"/>
            <w:rPr>
              <w:rFonts w:ascii="Times New Roman" w:hAnsi="Times New Roman" w:cs="宋体"/>
              <w:color w:val="FF0000"/>
              <w:szCs w:val="24"/>
            </w:rPr>
          </w:pPr>
          <w:r>
            <w:rPr>
              <w:rFonts w:hint="eastAsia" w:ascii="Times New Roman" w:cs="宋体"/>
              <w:szCs w:val="24"/>
            </w:rPr>
            <w:t>附录</w:t>
          </w:r>
          <w:r>
            <w:rPr>
              <w:rFonts w:hint="eastAsia" w:ascii="Times New Roman" w:hAnsi="Times New Roman" w:cs="宋体"/>
              <w:szCs w:val="24"/>
            </w:rPr>
            <w:t xml:space="preserve">F  </w:t>
          </w:r>
          <w:r>
            <w:rPr>
              <w:rFonts w:ascii="Times New Roman" w:cs="宋体"/>
              <w:szCs w:val="24"/>
            </w:rPr>
            <w:t xml:space="preserve">Estimation of </w:t>
          </w:r>
          <w:r>
            <w:rPr>
              <w:rFonts w:hint="eastAsia" w:ascii="Times New Roman" w:cs="宋体"/>
              <w:szCs w:val="24"/>
            </w:rPr>
            <w:t>F</w:t>
          </w:r>
          <w:r>
            <w:rPr>
              <w:rFonts w:ascii="Times New Roman" w:cs="宋体"/>
              <w:szCs w:val="24"/>
            </w:rPr>
            <w:t xml:space="preserve">oundation </w:t>
          </w:r>
          <w:r>
            <w:rPr>
              <w:rFonts w:hint="eastAsia" w:ascii="Times New Roman" w:cs="宋体"/>
              <w:szCs w:val="24"/>
            </w:rPr>
            <w:t>P</w:t>
          </w:r>
          <w:r>
            <w:rPr>
              <w:rFonts w:ascii="Times New Roman" w:cs="宋体"/>
              <w:szCs w:val="24"/>
            </w:rPr>
            <w:t xml:space="preserve">it </w:t>
          </w:r>
          <w:r>
            <w:rPr>
              <w:rFonts w:hint="eastAsia" w:ascii="Times New Roman" w:cs="宋体"/>
              <w:szCs w:val="24"/>
            </w:rPr>
            <w:t>W</w:t>
          </w:r>
          <w:r>
            <w:rPr>
              <w:rFonts w:ascii="Times New Roman" w:cs="宋体"/>
              <w:szCs w:val="24"/>
            </w:rPr>
            <w:t xml:space="preserve">ater </w:t>
          </w:r>
          <w:r>
            <w:rPr>
              <w:rFonts w:hint="eastAsia" w:ascii="Times New Roman" w:cs="宋体"/>
              <w:szCs w:val="24"/>
            </w:rPr>
            <w:t>I</w:t>
          </w:r>
          <w:r>
            <w:rPr>
              <w:rFonts w:ascii="Times New Roman" w:cs="宋体"/>
              <w:szCs w:val="24"/>
            </w:rPr>
            <w:t>nflow</w:t>
          </w:r>
          <w:r>
            <w:rPr>
              <w:rFonts w:hint="eastAsia" w:ascii="Times New Roman" w:hAnsi="Times New Roman" w:cs="宋体"/>
              <w:szCs w:val="24"/>
            </w:rPr>
            <w:tab/>
          </w:r>
          <w:r>
            <w:rPr>
              <w:rFonts w:hint="eastAsia" w:ascii="Times New Roman" w:hAnsi="Times New Roman" w:cs="宋体"/>
              <w:szCs w:val="24"/>
            </w:rPr>
            <w:t>172</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 xml:space="preserve">G  </w:t>
          </w:r>
          <w:r>
            <w:rPr>
              <w:rFonts w:hint="eastAsia" w:ascii="Times New Roman" w:cs="宋体"/>
              <w:szCs w:val="24"/>
            </w:rPr>
            <w:t>Section Type of S</w:t>
          </w:r>
          <w:r>
            <w:rPr>
              <w:rFonts w:ascii="Times New Roman" w:cs="宋体"/>
              <w:szCs w:val="24"/>
            </w:rPr>
            <w:t xml:space="preserve">teel </w:t>
          </w:r>
          <w:r>
            <w:rPr>
              <w:rFonts w:hint="eastAsia" w:ascii="Times New Roman" w:cs="宋体"/>
              <w:szCs w:val="24"/>
            </w:rPr>
            <w:t>S</w:t>
          </w:r>
          <w:r>
            <w:rPr>
              <w:rFonts w:ascii="Times New Roman" w:cs="宋体"/>
              <w:szCs w:val="24"/>
            </w:rPr>
            <w:t xml:space="preserve">heet </w:t>
          </w:r>
          <w:r>
            <w:rPr>
              <w:rFonts w:hint="eastAsia" w:ascii="Times New Roman" w:cs="宋体"/>
              <w:szCs w:val="24"/>
            </w:rPr>
            <w:t>P</w:t>
          </w:r>
          <w:r>
            <w:rPr>
              <w:rFonts w:ascii="Times New Roman" w:cs="宋体"/>
              <w:szCs w:val="24"/>
            </w:rPr>
            <w:t>ile</w:t>
          </w:r>
          <w:r>
            <w:rPr>
              <w:rFonts w:hint="eastAsia" w:ascii="Times New Roman" w:hAnsi="Times New Roman" w:cs="宋体"/>
              <w:szCs w:val="24"/>
            </w:rPr>
            <w:tab/>
          </w:r>
          <w:r>
            <w:rPr>
              <w:rFonts w:hint="eastAsia" w:ascii="Times New Roman" w:hAnsi="Times New Roman" w:cs="宋体"/>
              <w:szCs w:val="24"/>
            </w:rPr>
            <w:t>175</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H  Method and Equipement Selections of Pile-Sinking</w:t>
          </w:r>
          <w:r>
            <w:rPr>
              <w:rFonts w:hint="eastAsia" w:ascii="Times New Roman" w:hAnsi="Times New Roman" w:cs="宋体"/>
              <w:szCs w:val="24"/>
            </w:rPr>
            <w:tab/>
          </w:r>
          <w:r>
            <w:rPr>
              <w:rFonts w:hint="eastAsia" w:ascii="Times New Roman" w:hAnsi="Times New Roman" w:cs="宋体"/>
              <w:szCs w:val="24"/>
            </w:rPr>
            <w:t>180</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J  Used</w:t>
          </w:r>
          <w:r>
            <w:rPr>
              <w:rFonts w:ascii="Times New Roman" w:hAnsi="Times New Roman" w:cs="宋体"/>
              <w:szCs w:val="24"/>
            </w:rPr>
            <w:t xml:space="preserve"> </w:t>
          </w:r>
          <w:r>
            <w:rPr>
              <w:rFonts w:hint="eastAsia" w:ascii="Times New Roman" w:hAnsi="Times New Roman" w:cs="宋体"/>
              <w:szCs w:val="24"/>
            </w:rPr>
            <w:t>S</w:t>
          </w:r>
          <w:r>
            <w:rPr>
              <w:rFonts w:ascii="Times New Roman" w:hAnsi="Times New Roman" w:cs="宋体"/>
              <w:szCs w:val="24"/>
            </w:rPr>
            <w:t xml:space="preserve">pecifications and </w:t>
          </w:r>
          <w:r>
            <w:rPr>
              <w:rFonts w:hint="eastAsia" w:ascii="Times New Roman" w:hAnsi="Times New Roman" w:cs="宋体"/>
              <w:szCs w:val="24"/>
            </w:rPr>
            <w:t>C</w:t>
          </w:r>
          <w:r>
            <w:rPr>
              <w:rFonts w:ascii="Times New Roman" w:hAnsi="Times New Roman" w:cs="宋体"/>
              <w:szCs w:val="24"/>
            </w:rPr>
            <w:t xml:space="preserve">alculation </w:t>
          </w:r>
          <w:r>
            <w:rPr>
              <w:rFonts w:hint="eastAsia" w:ascii="Times New Roman" w:hAnsi="Times New Roman" w:cs="宋体"/>
              <w:szCs w:val="24"/>
            </w:rPr>
            <w:t>Pa</w:t>
          </w:r>
          <w:r>
            <w:rPr>
              <w:rFonts w:ascii="Times New Roman" w:hAnsi="Times New Roman" w:cs="宋体"/>
              <w:szCs w:val="24"/>
            </w:rPr>
            <w:t xml:space="preserve">rameters of </w:t>
          </w:r>
          <w:r>
            <w:rPr>
              <w:rFonts w:hint="eastAsia" w:ascii="Times New Roman" w:hAnsi="Times New Roman" w:cs="宋体"/>
              <w:szCs w:val="24"/>
            </w:rPr>
            <w:t>S</w:t>
          </w:r>
          <w:r>
            <w:rPr>
              <w:rFonts w:ascii="Times New Roman" w:hAnsi="Times New Roman" w:cs="宋体"/>
              <w:szCs w:val="24"/>
            </w:rPr>
            <w:t xml:space="preserve">teel </w:t>
          </w:r>
          <w:r>
            <w:rPr>
              <w:rFonts w:hint="eastAsia" w:ascii="Times New Roman" w:hAnsi="Times New Roman" w:cs="宋体"/>
              <w:szCs w:val="24"/>
            </w:rPr>
            <w:t>C</w:t>
          </w:r>
          <w:r>
            <w:rPr>
              <w:rFonts w:ascii="Times New Roman" w:hAnsi="Times New Roman" w:cs="宋体"/>
              <w:szCs w:val="24"/>
            </w:rPr>
            <w:t xml:space="preserve">ement-soil </w:t>
          </w:r>
          <w:r>
            <w:rPr>
              <w:rFonts w:hint="eastAsia" w:ascii="Times New Roman" w:hAnsi="Times New Roman" w:cs="宋体"/>
              <w:szCs w:val="24"/>
            </w:rPr>
            <w:t>M</w:t>
          </w:r>
          <w:r>
            <w:rPr>
              <w:rFonts w:ascii="Times New Roman" w:hAnsi="Times New Roman" w:cs="宋体"/>
              <w:szCs w:val="24"/>
            </w:rPr>
            <w:t xml:space="preserve">ixing </w:t>
          </w:r>
          <w:r>
            <w:rPr>
              <w:rFonts w:hint="eastAsia" w:ascii="Times New Roman" w:hAnsi="Times New Roman" w:cs="宋体"/>
              <w:szCs w:val="24"/>
            </w:rPr>
            <w:t>W</w:t>
          </w:r>
          <w:r>
            <w:rPr>
              <w:rFonts w:ascii="Times New Roman" w:hAnsi="Times New Roman" w:cs="宋体"/>
              <w:szCs w:val="24"/>
            </w:rPr>
            <w:t>all</w:t>
          </w:r>
          <w:r>
            <w:rPr>
              <w:rFonts w:hint="eastAsia" w:ascii="Times New Roman" w:hAnsi="Times New Roman" w:cs="宋体"/>
              <w:szCs w:val="24"/>
            </w:rPr>
            <w:tab/>
          </w:r>
          <w:r>
            <w:rPr>
              <w:rFonts w:hint="eastAsia" w:ascii="Times New Roman" w:hAnsi="Times New Roman" w:cs="宋体"/>
              <w:szCs w:val="24"/>
            </w:rPr>
            <w:t>182</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K  S</w:t>
          </w:r>
          <w:r>
            <w:rPr>
              <w:rFonts w:ascii="Times New Roman" w:hAnsi="Times New Roman" w:cs="宋体"/>
              <w:szCs w:val="24"/>
            </w:rPr>
            <w:t>election</w:t>
          </w:r>
          <w:r>
            <w:rPr>
              <w:rFonts w:hint="eastAsia" w:ascii="Times New Roman" w:hAnsi="Times New Roman" w:cs="宋体"/>
              <w:szCs w:val="24"/>
            </w:rPr>
            <w:t xml:space="preserve"> of U</w:t>
          </w:r>
          <w:r>
            <w:rPr>
              <w:rFonts w:ascii="Times New Roman" w:hAnsi="Times New Roman" w:cs="宋体"/>
              <w:szCs w:val="24"/>
            </w:rPr>
            <w:t>sed prestressed concrete precast pile</w:t>
          </w:r>
          <w:r>
            <w:rPr>
              <w:rFonts w:hint="eastAsia" w:ascii="Times New Roman" w:hAnsi="Times New Roman" w:cs="宋体"/>
              <w:szCs w:val="24"/>
            </w:rPr>
            <w:tab/>
          </w:r>
          <w:r>
            <w:rPr>
              <w:rFonts w:hint="eastAsia" w:ascii="Times New Roman" w:hAnsi="Times New Roman" w:cs="宋体"/>
              <w:szCs w:val="24"/>
            </w:rPr>
            <w:t>183</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 xml:space="preserve">L  </w:t>
          </w:r>
          <w:r>
            <w:rPr>
              <w:rFonts w:ascii="Times New Roman" w:hAnsi="Times New Roman" w:cs="宋体"/>
              <w:szCs w:val="24"/>
            </w:rPr>
            <w:t>Mechanical properties of anchor rod material</w:t>
          </w:r>
          <w:r>
            <w:rPr>
              <w:rFonts w:hint="eastAsia" w:ascii="Times New Roman" w:hAnsi="Times New Roman" w:cs="宋体"/>
              <w:szCs w:val="24"/>
            </w:rPr>
            <w:tab/>
          </w:r>
          <w:r>
            <w:rPr>
              <w:rFonts w:hint="eastAsia" w:ascii="Times New Roman" w:hAnsi="Times New Roman" w:cs="宋体"/>
              <w:szCs w:val="24"/>
            </w:rPr>
            <w:t>185</w:t>
          </w:r>
        </w:p>
        <w:p>
          <w:pPr>
            <w:pStyle w:val="5"/>
            <w:tabs>
              <w:tab w:val="right" w:leader="dot" w:pos="8640"/>
              <w:tab w:val="clear" w:pos="9628"/>
            </w:tabs>
            <w:spacing w:line="420" w:lineRule="exact"/>
            <w:rPr>
              <w:rFonts w:ascii="Times New Roman" w:hAnsi="Times New Roman" w:cs="宋体"/>
              <w:szCs w:val="24"/>
            </w:rPr>
          </w:pPr>
          <w:r>
            <w:rPr>
              <w:rFonts w:hint="eastAsia" w:ascii="Times New Roman" w:cs="宋体"/>
              <w:szCs w:val="24"/>
            </w:rPr>
            <w:t>附录</w:t>
          </w:r>
          <w:r>
            <w:rPr>
              <w:rFonts w:hint="eastAsia" w:ascii="Times New Roman" w:hAnsi="Times New Roman" w:cs="宋体"/>
              <w:szCs w:val="24"/>
            </w:rPr>
            <w:t>M  U</w:t>
          </w:r>
          <w:r>
            <w:rPr>
              <w:rFonts w:ascii="Times New Roman" w:hAnsi="Times New Roman" w:cs="宋体"/>
              <w:szCs w:val="24"/>
            </w:rPr>
            <w:t xml:space="preserve">sed technical parameters of steel </w:t>
          </w:r>
          <w:r>
            <w:rPr>
              <w:rFonts w:hint="eastAsia" w:ascii="Times New Roman" w:hAnsi="Times New Roman" w:cs="宋体"/>
              <w:szCs w:val="24"/>
            </w:rPr>
            <w:t>strut</w:t>
          </w:r>
          <w:r>
            <w:rPr>
              <w:rFonts w:ascii="Times New Roman" w:hAnsi="Times New Roman" w:cs="宋体"/>
              <w:szCs w:val="24"/>
            </w:rPr>
            <w:t xml:space="preserve"> and steel waist beam components</w:t>
          </w:r>
          <w:r>
            <w:rPr>
              <w:rFonts w:hint="eastAsia" w:ascii="Times New Roman" w:cs="宋体"/>
              <w:szCs w:val="24"/>
            </w:rPr>
            <w:t>常用</w:t>
          </w:r>
          <w:r>
            <w:rPr>
              <w:rFonts w:hint="eastAsia" w:ascii="Times New Roman" w:hAnsi="Times New Roman" w:cs="宋体"/>
              <w:szCs w:val="24"/>
            </w:rPr>
            <w:tab/>
          </w:r>
          <w:r>
            <w:rPr>
              <w:rFonts w:hint="eastAsia" w:ascii="Times New Roman" w:hAnsi="Times New Roman" w:cs="宋体"/>
              <w:szCs w:val="24"/>
            </w:rPr>
            <w:t>186</w:t>
          </w:r>
        </w:p>
        <w:p>
          <w:pPr>
            <w:pStyle w:val="5"/>
            <w:tabs>
              <w:tab w:val="right" w:leader="dot" w:pos="8640"/>
              <w:tab w:val="clear" w:pos="9628"/>
            </w:tabs>
            <w:spacing w:line="420" w:lineRule="exact"/>
            <w:rPr>
              <w:rFonts w:ascii="Times New Roman" w:hAnsi="Times New Roman" w:cs="宋体"/>
              <w:szCs w:val="24"/>
            </w:rPr>
          </w:pPr>
          <w:r>
            <w:rPr>
              <w:rFonts w:ascii="Times New Roman" w:cs="宋体"/>
              <w:szCs w:val="24"/>
            </w:rPr>
            <w:t>Terminology of this standard</w:t>
          </w:r>
          <w:r>
            <w:rPr>
              <w:rFonts w:hint="eastAsia" w:ascii="Times New Roman" w:hAnsi="Times New Roman" w:cs="宋体"/>
              <w:szCs w:val="24"/>
            </w:rPr>
            <w:tab/>
          </w:r>
          <w:r>
            <w:rPr>
              <w:rFonts w:hint="eastAsia" w:ascii="Times New Roman" w:hAnsi="Times New Roman" w:cs="宋体"/>
              <w:szCs w:val="24"/>
            </w:rPr>
            <w:t>191</w:t>
          </w:r>
        </w:p>
        <w:p>
          <w:pPr>
            <w:pStyle w:val="5"/>
            <w:tabs>
              <w:tab w:val="right" w:leader="dot" w:pos="8640"/>
              <w:tab w:val="clear" w:pos="9628"/>
            </w:tabs>
            <w:spacing w:line="420" w:lineRule="exact"/>
            <w:rPr>
              <w:rFonts w:ascii="Times New Roman" w:hAnsi="Times New Roman"/>
            </w:rPr>
          </w:pPr>
          <w:r>
            <w:rPr>
              <w:rFonts w:hint="eastAsia" w:ascii="Times New Roman" w:cs="宋体"/>
              <w:szCs w:val="24"/>
            </w:rPr>
            <w:t>List of Quoted Standards</w:t>
          </w:r>
          <w:r>
            <w:rPr>
              <w:rFonts w:hint="eastAsia" w:ascii="Times New Roman" w:hAnsi="Times New Roman" w:cs="宋体"/>
              <w:szCs w:val="24"/>
            </w:rPr>
            <w:tab/>
          </w:r>
          <w:r>
            <w:rPr>
              <w:rFonts w:hint="eastAsia" w:ascii="Times New Roman" w:hAnsi="Times New Roman" w:cs="宋体"/>
              <w:szCs w:val="24"/>
            </w:rPr>
            <w:t>192</w:t>
          </w:r>
        </w:p>
        <w:p>
          <w:pPr>
            <w:rPr>
              <w:rFonts w:ascii="Times New Roman" w:hAnsi="Times New Roman"/>
            </w:rPr>
          </w:pPr>
          <w:r>
            <w:rPr>
              <w:rFonts w:hint="eastAsia" w:ascii="Times New Roman" w:hAnsi="Times New Roman"/>
            </w:rPr>
            <w:t xml:space="preserve">Addition: Explanation of Provisions                                       </w:t>
          </w:r>
        </w:p>
        <w:p>
          <w:pPr>
            <w:rPr>
              <w:rFonts w:ascii="Times New Roman" w:hAnsi="Times New Roman"/>
            </w:rPr>
          </w:pPr>
        </w:p>
        <w:p>
          <w:pPr>
            <w:pStyle w:val="3"/>
            <w:bidi w:val="0"/>
            <w:jc w:val="both"/>
            <w:outlineLvl w:val="9"/>
            <w:rPr>
              <w:rFonts w:hint="eastAsia"/>
            </w:rPr>
            <w:sectPr>
              <w:pgSz w:w="12240" w:h="15840"/>
              <w:pgMar w:top="1440" w:right="1800" w:bottom="1440" w:left="1800" w:header="720" w:footer="720" w:gutter="0"/>
              <w:cols w:space="425" w:num="1"/>
              <w:docGrid w:type="lines" w:linePitch="312" w:charSpace="0"/>
            </w:sectPr>
          </w:pPr>
        </w:p>
      </w:sdtContent>
    </w:sdt>
    <w:p>
      <w:pPr>
        <w:pStyle w:val="2"/>
        <w:bidi w:val="0"/>
        <w:outlineLvl w:val="0"/>
      </w:pPr>
      <w:bookmarkStart w:id="9" w:name="_Toc4626"/>
      <w:bookmarkStart w:id="10" w:name="_Toc18144"/>
      <w:bookmarkStart w:id="11" w:name="_Toc7494"/>
      <w:r>
        <w:rPr>
          <w:rFonts w:hint="eastAsia"/>
        </w:rPr>
        <w:t>1  总 则</w:t>
      </w:r>
      <w:bookmarkEnd w:id="9"/>
      <w:bookmarkEnd w:id="10"/>
      <w:bookmarkEnd w:id="11"/>
    </w:p>
    <w:p>
      <w:pPr>
        <w:widowControl w:val="0"/>
        <w:spacing w:line="480" w:lineRule="exact"/>
        <w:rPr>
          <w:rFonts w:ascii="Times New Roman" w:hAnsi="Times New Roman"/>
          <w:szCs w:val="28"/>
        </w:rPr>
      </w:pPr>
      <w:r>
        <w:rPr>
          <w:rFonts w:hint="eastAsia" w:ascii="Times New Roman" w:hAnsi="Times New Roman"/>
          <w:b/>
          <w:szCs w:val="28"/>
        </w:rPr>
        <w:t xml:space="preserve">1.0.1 </w:t>
      </w:r>
      <w:r>
        <w:rPr>
          <w:rFonts w:hint="eastAsia" w:ascii="Times New Roman" w:hAnsi="宋体"/>
          <w:szCs w:val="28"/>
        </w:rPr>
        <w:t>为使山西行政区域内建筑基坑工程做到安全可靠、技术先进、经济合理，并满足基坑周边环境保护要求，制定本</w:t>
      </w:r>
      <w:r>
        <w:rPr>
          <w:rFonts w:hint="eastAsia" w:ascii="Times New Roman" w:hAnsi="宋体"/>
          <w:szCs w:val="28"/>
          <w:lang w:eastAsia="zh-CN"/>
        </w:rPr>
        <w:t>标准</w:t>
      </w:r>
      <w:r>
        <w:rPr>
          <w:rFonts w:hint="eastAsia" w:ascii="Times New Roman" w:hAnsi="宋体"/>
          <w:szCs w:val="28"/>
        </w:rPr>
        <w:t>。</w:t>
      </w:r>
    </w:p>
    <w:p>
      <w:pPr>
        <w:widowControl w:val="0"/>
        <w:spacing w:line="480" w:lineRule="exact"/>
        <w:rPr>
          <w:rFonts w:ascii="Times New Roman" w:hAnsi="Times New Roman"/>
          <w:szCs w:val="28"/>
        </w:rPr>
      </w:pPr>
      <w:r>
        <w:rPr>
          <w:rFonts w:hint="eastAsia" w:ascii="Times New Roman" w:hAnsi="Times New Roman"/>
          <w:b/>
          <w:szCs w:val="28"/>
        </w:rPr>
        <w:t>1.0.2</w:t>
      </w:r>
      <w:r>
        <w:rPr>
          <w:rFonts w:hint="eastAsia" w:ascii="Times New Roman" w:hAnsi="Times New Roman"/>
          <w:szCs w:val="28"/>
        </w:rPr>
        <w:t xml:space="preserve"> </w:t>
      </w:r>
      <w:r>
        <w:rPr>
          <w:rFonts w:hint="eastAsia" w:ascii="Times New Roman" w:hAnsi="宋体"/>
          <w:szCs w:val="28"/>
        </w:rPr>
        <w:t>本</w:t>
      </w:r>
      <w:r>
        <w:rPr>
          <w:rFonts w:hint="eastAsia" w:ascii="Times New Roman" w:hAnsi="宋体"/>
          <w:szCs w:val="28"/>
          <w:lang w:eastAsia="zh-CN"/>
        </w:rPr>
        <w:t>标准</w:t>
      </w:r>
      <w:r>
        <w:rPr>
          <w:rFonts w:hint="eastAsia" w:ascii="Times New Roman" w:hAnsi="宋体"/>
          <w:szCs w:val="28"/>
        </w:rPr>
        <w:t>适用于山西省行政区域内建筑基坑支护工程的勘察、设计、施工、土方开挖及监测。</w:t>
      </w:r>
    </w:p>
    <w:p>
      <w:pPr>
        <w:widowControl w:val="0"/>
        <w:spacing w:line="480" w:lineRule="exact"/>
        <w:rPr>
          <w:rFonts w:ascii="Times New Roman" w:hAnsi="Times New Roman"/>
          <w:szCs w:val="28"/>
        </w:rPr>
      </w:pPr>
      <w:r>
        <w:rPr>
          <w:rFonts w:hint="eastAsia" w:ascii="Times New Roman" w:hAnsi="Times New Roman"/>
          <w:b/>
          <w:szCs w:val="28"/>
        </w:rPr>
        <w:t>1.0.3</w:t>
      </w:r>
      <w:r>
        <w:rPr>
          <w:rFonts w:hint="eastAsia" w:ascii="Times New Roman" w:hAnsi="Times New Roman"/>
          <w:szCs w:val="28"/>
        </w:rPr>
        <w:t xml:space="preserve"> </w:t>
      </w:r>
      <w:r>
        <w:rPr>
          <w:rFonts w:hint="eastAsia" w:ascii="Times New Roman" w:hAnsi="宋体"/>
          <w:szCs w:val="28"/>
        </w:rPr>
        <w:t>建筑基坑支护工程应综合考虑地质条件、周边环境、地下结构形式等因素，因地制宜，合理选型、优化设计、精心施工、严格监测。</w:t>
      </w:r>
    </w:p>
    <w:p>
      <w:pPr>
        <w:widowControl w:val="0"/>
        <w:spacing w:line="480" w:lineRule="exact"/>
        <w:rPr>
          <w:rFonts w:ascii="Times New Roman" w:hAnsi="宋体"/>
          <w:szCs w:val="28"/>
        </w:rPr>
      </w:pPr>
      <w:r>
        <w:rPr>
          <w:rFonts w:hint="eastAsia" w:ascii="Times New Roman" w:hAnsi="Times New Roman"/>
          <w:b/>
          <w:szCs w:val="28"/>
        </w:rPr>
        <w:t>1.0.4</w:t>
      </w:r>
      <w:r>
        <w:rPr>
          <w:rFonts w:hint="eastAsia" w:ascii="Times New Roman" w:hAnsi="Times New Roman"/>
          <w:szCs w:val="28"/>
        </w:rPr>
        <w:t xml:space="preserve"> </w:t>
      </w:r>
      <w:r>
        <w:rPr>
          <w:rFonts w:hint="eastAsia" w:ascii="Times New Roman" w:hAnsi="宋体"/>
          <w:szCs w:val="28"/>
        </w:rPr>
        <w:t>建筑基坑工程除应符合本</w:t>
      </w:r>
      <w:r>
        <w:rPr>
          <w:rFonts w:hint="eastAsia" w:ascii="Times New Roman" w:hAnsi="宋体"/>
          <w:szCs w:val="28"/>
          <w:lang w:eastAsia="zh-CN"/>
        </w:rPr>
        <w:t>标准</w:t>
      </w:r>
      <w:r>
        <w:rPr>
          <w:rFonts w:hint="eastAsia" w:ascii="Times New Roman" w:hAnsi="宋体"/>
          <w:szCs w:val="28"/>
        </w:rPr>
        <w:t>规定之外，尚应符合现行国家、行业和山西省地方标准的相关规定。</w:t>
      </w:r>
    </w:p>
    <w:p>
      <w:pPr>
        <w:jc w:val="left"/>
        <w:rPr>
          <w:rFonts w:ascii="Times New Roman" w:hAnsi="Times New Roman"/>
        </w:rPr>
      </w:pPr>
      <w:r>
        <w:rPr>
          <w:rFonts w:ascii="Times New Roman" w:hAnsi="Times New Roman"/>
        </w:rPr>
        <w:br w:type="page"/>
      </w:r>
    </w:p>
    <w:p>
      <w:pPr>
        <w:pStyle w:val="2"/>
      </w:pPr>
      <w:bookmarkStart w:id="12" w:name="_Toc384300257"/>
      <w:bookmarkStart w:id="13" w:name="_Toc384309829"/>
      <w:bookmarkStart w:id="14" w:name="_Toc385518810"/>
      <w:bookmarkStart w:id="15" w:name="_Toc382559877"/>
      <w:bookmarkStart w:id="16" w:name="_Toc385576907"/>
      <w:bookmarkStart w:id="17" w:name="_Toc375039673"/>
      <w:bookmarkStart w:id="18" w:name="_Toc381951376"/>
      <w:bookmarkStart w:id="19" w:name="_Toc384304337"/>
      <w:bookmarkStart w:id="20" w:name="_Toc381950736"/>
      <w:bookmarkStart w:id="21" w:name="_Toc384310050"/>
      <w:bookmarkStart w:id="22" w:name="_Toc385581683"/>
      <w:bookmarkStart w:id="23" w:name="_Toc381951571"/>
      <w:bookmarkStart w:id="24" w:name="_Toc384300109"/>
      <w:bookmarkStart w:id="25" w:name="_Toc382559715"/>
      <w:bookmarkStart w:id="26" w:name="_Toc388643531"/>
      <w:bookmarkStart w:id="27" w:name="_Toc381950992"/>
      <w:bookmarkStart w:id="28" w:name="_Toc388643414"/>
      <w:bookmarkStart w:id="29" w:name="_Toc22133"/>
      <w:bookmarkStart w:id="30" w:name="_Toc25291"/>
      <w:bookmarkStart w:id="31" w:name="_Toc367261459"/>
      <w:bookmarkStart w:id="32" w:name="_Toc363548467"/>
      <w:bookmarkStart w:id="33" w:name="_Toc384304340"/>
      <w:bookmarkStart w:id="34" w:name="_Toc388643417"/>
      <w:bookmarkStart w:id="35" w:name="_Toc388643534"/>
      <w:bookmarkStart w:id="36" w:name="_Toc381951379"/>
      <w:bookmarkStart w:id="37" w:name="_Toc385576910"/>
      <w:bookmarkStart w:id="38" w:name="_Toc363803515"/>
      <w:bookmarkStart w:id="39" w:name="_Toc384300260"/>
      <w:bookmarkStart w:id="40" w:name="_Toc384310053"/>
      <w:bookmarkStart w:id="41" w:name="_Toc384309832"/>
      <w:bookmarkStart w:id="42" w:name="_Toc381950995"/>
      <w:bookmarkStart w:id="43" w:name="_Toc385518813"/>
      <w:bookmarkStart w:id="44" w:name="_Toc385581686"/>
      <w:bookmarkStart w:id="45" w:name="_Toc363133972"/>
      <w:bookmarkStart w:id="46" w:name="_Toc363547157"/>
      <w:bookmarkStart w:id="47" w:name="_Toc364431746"/>
      <w:bookmarkStart w:id="48" w:name="_Toc363566453"/>
      <w:bookmarkStart w:id="49" w:name="_Toc381951574"/>
      <w:bookmarkStart w:id="50" w:name="_Toc384300112"/>
      <w:bookmarkStart w:id="51" w:name="_Toc9470"/>
      <w:bookmarkStart w:id="52" w:name="_Toc375039676"/>
      <w:bookmarkStart w:id="53" w:name="_Toc382559880"/>
      <w:bookmarkStart w:id="54" w:name="_Toc381950739"/>
      <w:bookmarkStart w:id="55" w:name="_Toc3079"/>
      <w:bookmarkStart w:id="56" w:name="_Toc364930749"/>
      <w:bookmarkStart w:id="57" w:name="_Toc364680547"/>
      <w:bookmarkStart w:id="58" w:name="_Toc364772932"/>
      <w:bookmarkStart w:id="59" w:name="_Toc382559718"/>
      <w:bookmarkStart w:id="60" w:name="_Toc11212"/>
      <w:bookmarkStart w:id="61" w:name="_Toc363199035"/>
      <w:r>
        <w:rPr>
          <w:rFonts w:hint="eastAsia"/>
        </w:rPr>
        <w:t>2  术语和符号</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3"/>
      </w:pPr>
      <w:bookmarkStart w:id="62" w:name="_Toc384304338"/>
      <w:bookmarkStart w:id="63" w:name="_Toc385581684"/>
      <w:bookmarkStart w:id="64" w:name="_Toc381951377"/>
      <w:bookmarkStart w:id="65" w:name="_Toc381950737"/>
      <w:bookmarkStart w:id="66" w:name="_Toc385576908"/>
      <w:bookmarkStart w:id="67" w:name="_Toc388643415"/>
      <w:bookmarkStart w:id="68" w:name="_Toc384309830"/>
      <w:bookmarkStart w:id="69" w:name="_Toc388643532"/>
      <w:bookmarkStart w:id="70" w:name="_Toc382559716"/>
      <w:bookmarkStart w:id="71" w:name="_Toc375039674"/>
      <w:bookmarkStart w:id="72" w:name="_Toc381950993"/>
      <w:bookmarkStart w:id="73" w:name="_Toc31370"/>
      <w:bookmarkStart w:id="74" w:name="_Toc385518811"/>
      <w:bookmarkStart w:id="75" w:name="_Toc384310051"/>
      <w:bookmarkStart w:id="76" w:name="_Toc384300110"/>
      <w:bookmarkStart w:id="77" w:name="_Toc30779"/>
      <w:bookmarkStart w:id="78" w:name="_Toc384300258"/>
      <w:bookmarkStart w:id="79" w:name="_Toc381951572"/>
      <w:bookmarkStart w:id="80" w:name="_Toc382559878"/>
      <w:r>
        <w:rPr>
          <w:rFonts w:hint="eastAsia"/>
        </w:rPr>
        <w:t>2.1  术语</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widowControl w:val="0"/>
        <w:spacing w:line="360" w:lineRule="auto"/>
        <w:rPr>
          <w:rFonts w:ascii="宋体" w:hAnsi="宋体" w:cs="宋体"/>
          <w:color w:val="000000"/>
          <w:kern w:val="0"/>
        </w:rPr>
      </w:pPr>
      <w:r>
        <w:rPr>
          <w:rFonts w:hint="eastAsia" w:ascii="Times New Roman" w:hAnsi="Times New Roman"/>
          <w:b/>
          <w:szCs w:val="28"/>
        </w:rPr>
        <w:t>2.1.1</w:t>
      </w:r>
      <w:r>
        <w:rPr>
          <w:rFonts w:hint="eastAsia"/>
        </w:rPr>
        <w:t xml:space="preserve">基坑  </w:t>
      </w:r>
      <w:r>
        <w:rPr>
          <w:rFonts w:ascii="Times New Roman" w:hAnsi="Times New Roman"/>
          <w:szCs w:val="28"/>
        </w:rPr>
        <w:t>excavations</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为进行建(构)筑物地下部分的施工由地面向下开挖出的空间</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hint="eastAsia" w:ascii="Times New Roman" w:hAnsi="Times New Roman"/>
          <w:b/>
          <w:szCs w:val="28"/>
        </w:rPr>
        <w:t>2.1.2</w:t>
      </w:r>
      <w:r>
        <w:rPr>
          <w:rFonts w:hint="eastAsia" w:ascii="宋体" w:hAnsi="宋体" w:cs="宋体"/>
          <w:color w:val="000000"/>
          <w:kern w:val="0"/>
        </w:rPr>
        <w:t xml:space="preserve"> 基坑影响范围  </w:t>
      </w:r>
      <w:r>
        <w:rPr>
          <w:rFonts w:hint="eastAsia" w:ascii="Times New Roman" w:hAnsi="Times New Roman"/>
          <w:szCs w:val="28"/>
        </w:rPr>
        <w:t xml:space="preserve">affected　scope　of </w:t>
      </w:r>
      <w:r>
        <w:rPr>
          <w:rFonts w:ascii="Times New Roman" w:hAnsi="Times New Roman"/>
          <w:szCs w:val="28"/>
        </w:rPr>
        <w:t>excavati</w:t>
      </w:r>
      <w:r>
        <w:rPr>
          <w:rFonts w:hint="eastAsia" w:ascii="Times New Roman" w:hAnsi="Times New Roman"/>
          <w:szCs w:val="28"/>
        </w:rPr>
        <w:t>ons</w:t>
      </w:r>
    </w:p>
    <w:p>
      <w:pPr>
        <w:widowControl w:val="0"/>
        <w:spacing w:line="360" w:lineRule="auto"/>
        <w:ind w:firstLine="480" w:firstLineChars="200"/>
        <w:rPr>
          <w:rFonts w:ascii="Times New Roman" w:hAnsi="Times New Roman" w:cs="宋体"/>
          <w:b/>
          <w:color w:val="000000"/>
          <w:kern w:val="0"/>
        </w:rPr>
      </w:pPr>
      <w:r>
        <w:rPr>
          <w:rFonts w:hint="eastAsia" w:ascii="Times New Roman" w:hAnsi="Times New Roman" w:cs="宋体"/>
          <w:color w:val="000000"/>
          <w:kern w:val="0"/>
        </w:rPr>
        <w:t>基坑工程引起的水平位移、地面沉降及地下水变化影响的区域。</w:t>
      </w:r>
    </w:p>
    <w:p>
      <w:pPr>
        <w:widowControl w:val="0"/>
        <w:spacing w:line="360" w:lineRule="auto"/>
        <w:rPr>
          <w:rFonts w:ascii="宋体" w:hAnsi="宋体" w:cs="宋体"/>
          <w:color w:val="FF0000"/>
          <w:kern w:val="0"/>
        </w:rPr>
      </w:pPr>
      <w:r>
        <w:rPr>
          <w:rFonts w:hint="eastAsia" w:ascii="Times New Roman" w:hAnsi="Times New Roman"/>
          <w:b/>
          <w:szCs w:val="28"/>
        </w:rPr>
        <w:t>2.1.3</w:t>
      </w:r>
      <w:r>
        <w:rPr>
          <w:rFonts w:ascii="宋体" w:hAnsi="宋体" w:cs="宋体"/>
          <w:color w:val="000000"/>
          <w:kern w:val="0"/>
        </w:rPr>
        <w:t>设计</w:t>
      </w:r>
      <w:r>
        <w:rPr>
          <w:rFonts w:hint="eastAsia" w:ascii="宋体" w:hAnsi="宋体" w:cs="宋体"/>
          <w:color w:val="000000"/>
          <w:kern w:val="0"/>
        </w:rPr>
        <w:t>工作年限</w:t>
      </w:r>
      <w:r>
        <w:rPr>
          <w:rFonts w:ascii="Times New Roman" w:hAnsi="Times New Roman"/>
          <w:szCs w:val="28"/>
        </w:rPr>
        <w:t>design workable life</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设计规定的从基坑开挖到预定深度至完成基坑支护使用功能的时段</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hint="eastAsia" w:ascii="Times New Roman" w:hAnsi="Times New Roman"/>
          <w:b/>
          <w:szCs w:val="28"/>
        </w:rPr>
        <w:t>2.1.4</w:t>
      </w:r>
      <w:r>
        <w:rPr>
          <w:rFonts w:hint="eastAsia" w:ascii="宋体" w:hAnsi="宋体" w:cs="宋体"/>
          <w:color w:val="000000"/>
          <w:kern w:val="0"/>
        </w:rPr>
        <w:t xml:space="preserve"> 基坑周边环境  </w:t>
      </w:r>
      <w:r>
        <w:rPr>
          <w:rFonts w:ascii="Times New Roman" w:hAnsi="Times New Roman"/>
          <w:szCs w:val="28"/>
        </w:rPr>
        <w:t>surroundings around excavations</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与基坑开挖相互影响的周边建(构)筑物、地下管线、道路、岩土体与地下水体的统称</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hint="eastAsia" w:ascii="Times New Roman" w:hAnsi="Times New Roman"/>
          <w:b/>
          <w:szCs w:val="28"/>
        </w:rPr>
        <w:t xml:space="preserve">2.1.5 </w:t>
      </w:r>
      <w:r>
        <w:rPr>
          <w:rFonts w:ascii="宋体" w:hAnsi="宋体" w:cs="宋体"/>
          <w:color w:val="000000"/>
          <w:kern w:val="0"/>
        </w:rPr>
        <w:t xml:space="preserve">基坑支护  </w:t>
      </w:r>
      <w:r>
        <w:rPr>
          <w:rFonts w:ascii="Times New Roman" w:hAnsi="Times New Roman"/>
          <w:szCs w:val="28"/>
        </w:rPr>
        <w:t>retaining and protection for excavati</w:t>
      </w:r>
      <w:r>
        <w:rPr>
          <w:rFonts w:hint="eastAsia" w:ascii="Times New Roman" w:hAnsi="Times New Roman"/>
          <w:szCs w:val="28"/>
        </w:rPr>
        <w:t>ons</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为保</w:t>
      </w:r>
      <w:r>
        <w:rPr>
          <w:rFonts w:hint="eastAsia" w:ascii="宋体" w:hAnsi="宋体" w:cs="宋体"/>
          <w:color w:val="000000"/>
          <w:kern w:val="0"/>
        </w:rPr>
        <w:t>证</w:t>
      </w:r>
      <w:r>
        <w:rPr>
          <w:rFonts w:ascii="宋体" w:hAnsi="宋体" w:cs="宋体"/>
          <w:color w:val="000000"/>
          <w:kern w:val="0"/>
        </w:rPr>
        <w:t>地下结构施工和基坑周边环境的安全，对基坑采</w:t>
      </w:r>
      <w:r>
        <w:rPr>
          <w:rFonts w:hint="eastAsia" w:ascii="宋体" w:hAnsi="宋体" w:cs="宋体"/>
          <w:color w:val="000000"/>
          <w:kern w:val="0"/>
        </w:rPr>
        <w:t>取</w:t>
      </w:r>
      <w:r>
        <w:rPr>
          <w:rFonts w:ascii="宋体" w:hAnsi="宋体" w:cs="宋体"/>
          <w:color w:val="000000"/>
          <w:kern w:val="0"/>
        </w:rPr>
        <w:t>的支挡、加固、</w:t>
      </w:r>
      <w:r>
        <w:rPr>
          <w:rFonts w:hint="eastAsia" w:ascii="宋体" w:hAnsi="宋体" w:cs="宋体"/>
          <w:color w:val="000000"/>
          <w:kern w:val="0"/>
        </w:rPr>
        <w:t>保护与地下水控制的措施。</w:t>
      </w:r>
    </w:p>
    <w:p>
      <w:pPr>
        <w:widowControl w:val="0"/>
        <w:spacing w:line="360" w:lineRule="auto"/>
        <w:rPr>
          <w:rFonts w:ascii="宋体" w:hAnsi="宋体" w:cs="宋体"/>
          <w:color w:val="000000"/>
          <w:kern w:val="0"/>
        </w:rPr>
      </w:pPr>
      <w:r>
        <w:rPr>
          <w:rFonts w:hint="eastAsia" w:ascii="Times New Roman" w:hAnsi="Times New Roman"/>
          <w:b/>
          <w:szCs w:val="28"/>
        </w:rPr>
        <w:t>2.1.6</w:t>
      </w:r>
      <w:r>
        <w:rPr>
          <w:rFonts w:ascii="宋体" w:hAnsi="宋体" w:cs="宋体"/>
          <w:color w:val="000000"/>
          <w:kern w:val="0"/>
        </w:rPr>
        <w:t xml:space="preserve">支护结构  </w:t>
      </w:r>
      <w:r>
        <w:rPr>
          <w:rFonts w:ascii="Times New Roman" w:hAnsi="Times New Roman"/>
          <w:szCs w:val="28"/>
        </w:rPr>
        <w:t>retaining and protection structure</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支挡或加固基坑侧壁的结构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w:t>
      </w:r>
      <w:r>
        <w:rPr>
          <w:rFonts w:hint="eastAsia" w:ascii="Times New Roman" w:hAnsi="Times New Roman"/>
          <w:b/>
          <w:szCs w:val="28"/>
        </w:rPr>
        <w:t>7</w:t>
      </w:r>
      <w:r>
        <w:rPr>
          <w:rFonts w:ascii="宋体" w:hAnsi="宋体" w:cs="宋体"/>
          <w:color w:val="000000"/>
          <w:kern w:val="0"/>
        </w:rPr>
        <w:t xml:space="preserve">支挡式结构 </w:t>
      </w:r>
      <w:r>
        <w:rPr>
          <w:rFonts w:ascii="Times New Roman" w:hAnsi="Times New Roman"/>
          <w:szCs w:val="28"/>
        </w:rPr>
        <w:t xml:space="preserve"> retaining structure</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以挡土构件和锚杆或支撑为主要构件，或以挡土构件为主要构件的支护结构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w:t>
      </w:r>
      <w:r>
        <w:rPr>
          <w:rFonts w:hint="eastAsia" w:ascii="Times New Roman" w:hAnsi="Times New Roman"/>
          <w:b/>
          <w:szCs w:val="28"/>
        </w:rPr>
        <w:t>8</w:t>
      </w:r>
      <w:r>
        <w:rPr>
          <w:rFonts w:ascii="宋体" w:hAnsi="宋体" w:cs="宋体"/>
          <w:color w:val="000000"/>
          <w:kern w:val="0"/>
        </w:rPr>
        <w:t xml:space="preserve">挡土构件  </w:t>
      </w:r>
      <w:r>
        <w:rPr>
          <w:rFonts w:ascii="Times New Roman" w:hAnsi="Times New Roman"/>
          <w:szCs w:val="28"/>
        </w:rPr>
        <w:t>structural member for earth retaining</w:t>
      </w:r>
    </w:p>
    <w:p>
      <w:pPr>
        <w:widowControl w:val="0"/>
        <w:spacing w:line="360" w:lineRule="auto"/>
        <w:rPr>
          <w:rFonts w:ascii="宋体" w:hAnsi="宋体" w:cs="宋体"/>
          <w:color w:val="000000"/>
          <w:kern w:val="0"/>
        </w:rPr>
      </w:pPr>
      <w:r>
        <w:rPr>
          <w:rFonts w:ascii="宋体" w:hAnsi="宋体" w:cs="宋体"/>
          <w:color w:val="000000"/>
          <w:kern w:val="0"/>
        </w:rPr>
        <w:t>设置在基坑侧壁并嵌入基坑底面的支护结构竖向构件。例如，支护桩、地下连续墙</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w:t>
      </w:r>
      <w:r>
        <w:rPr>
          <w:rFonts w:hint="eastAsia" w:ascii="Times New Roman" w:hAnsi="Times New Roman"/>
          <w:b/>
          <w:szCs w:val="28"/>
        </w:rPr>
        <w:t>9</w:t>
      </w:r>
      <w:r>
        <w:rPr>
          <w:rFonts w:ascii="宋体" w:hAnsi="宋体" w:cs="宋体"/>
          <w:color w:val="000000"/>
          <w:kern w:val="0"/>
        </w:rPr>
        <w:t xml:space="preserve"> 悬臂式支挡结构  </w:t>
      </w:r>
      <w:r>
        <w:rPr>
          <w:rFonts w:ascii="Times New Roman" w:hAnsi="Times New Roman"/>
          <w:szCs w:val="28"/>
        </w:rPr>
        <w:t>cantilever retaining structure</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以顶端自由的挡土构件为主要构件的支挡式结构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w:t>
      </w:r>
      <w:r>
        <w:rPr>
          <w:rFonts w:hint="eastAsia" w:ascii="Times New Roman" w:hAnsi="Times New Roman"/>
          <w:b/>
          <w:szCs w:val="28"/>
        </w:rPr>
        <w:t>10</w:t>
      </w:r>
      <w:r>
        <w:rPr>
          <w:rFonts w:ascii="宋体" w:hAnsi="宋体" w:cs="宋体"/>
          <w:color w:val="000000"/>
          <w:kern w:val="0"/>
        </w:rPr>
        <w:t xml:space="preserve"> 锚拉式支挡结构  </w:t>
      </w:r>
      <w:r>
        <w:rPr>
          <w:rFonts w:ascii="Times New Roman" w:hAnsi="Times New Roman"/>
          <w:szCs w:val="28"/>
        </w:rPr>
        <w:t>anchored retaining structure</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以挡土构件和锚杆为主要构件的支挡式结构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w:t>
      </w:r>
      <w:r>
        <w:rPr>
          <w:rFonts w:hint="eastAsia" w:ascii="Times New Roman" w:hAnsi="Times New Roman"/>
          <w:b/>
          <w:szCs w:val="28"/>
        </w:rPr>
        <w:t>11</w:t>
      </w:r>
      <w:r>
        <w:rPr>
          <w:rFonts w:ascii="宋体" w:hAnsi="宋体" w:cs="宋体"/>
          <w:color w:val="000000"/>
          <w:kern w:val="0"/>
        </w:rPr>
        <w:t xml:space="preserve"> 支撑式支挡结构  </w:t>
      </w:r>
      <w:r>
        <w:rPr>
          <w:rFonts w:ascii="Times New Roman" w:hAnsi="Times New Roman"/>
          <w:szCs w:val="28"/>
        </w:rPr>
        <w:t>strutted retaining structure</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以挡土构件和支撑为主要构件的支挡式结构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2</w:t>
      </w:r>
      <w:r>
        <w:rPr>
          <w:rFonts w:ascii="宋体" w:hAnsi="宋体" w:cs="宋体"/>
          <w:color w:val="000000"/>
          <w:kern w:val="0"/>
        </w:rPr>
        <w:t xml:space="preserve">排桩  </w:t>
      </w:r>
      <w:r>
        <w:rPr>
          <w:rFonts w:ascii="Times New Roman" w:hAnsi="Times New Roman"/>
          <w:szCs w:val="28"/>
        </w:rPr>
        <w:t>soldier pile wall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沿基坑侧壁排列</w:t>
      </w:r>
      <w:r>
        <w:rPr>
          <w:rFonts w:ascii="宋体" w:hAnsi="宋体" w:cs="宋体"/>
          <w:kern w:val="0"/>
        </w:rPr>
        <w:t>设置的支护桩</w:t>
      </w:r>
      <w:r>
        <w:rPr>
          <w:rFonts w:hint="eastAsia" w:ascii="宋体" w:hAnsi="宋体" w:cs="宋体"/>
          <w:color w:val="000000"/>
          <w:kern w:val="0"/>
        </w:rPr>
        <w:t>及冠梁所组成的支挡式结构。</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3</w:t>
      </w:r>
      <w:r>
        <w:rPr>
          <w:rFonts w:ascii="宋体" w:hAnsi="宋体" w:cs="宋体"/>
          <w:color w:val="000000"/>
          <w:kern w:val="0"/>
        </w:rPr>
        <w:t xml:space="preserve"> 双排桩  </w:t>
      </w:r>
      <w:r>
        <w:rPr>
          <w:rFonts w:ascii="Times New Roman" w:hAnsi="Times New Roman"/>
          <w:szCs w:val="28"/>
        </w:rPr>
        <w:t>double-row-piles wall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沿基坑侧壁排列设置的由前、后两排支护桩和</w:t>
      </w:r>
      <w:r>
        <w:rPr>
          <w:rFonts w:hint="eastAsia" w:ascii="宋体" w:hAnsi="宋体" w:cs="宋体"/>
          <w:color w:val="000000"/>
          <w:kern w:val="0"/>
        </w:rPr>
        <w:t>连</w:t>
      </w:r>
      <w:r>
        <w:rPr>
          <w:rFonts w:ascii="宋体" w:hAnsi="宋体" w:cs="宋体"/>
          <w:color w:val="000000"/>
          <w:kern w:val="0"/>
        </w:rPr>
        <w:t>梁</w:t>
      </w:r>
      <w:r>
        <w:rPr>
          <w:rFonts w:hint="eastAsia" w:ascii="宋体" w:hAnsi="宋体" w:cs="宋体"/>
          <w:color w:val="000000"/>
          <w:kern w:val="0"/>
        </w:rPr>
        <w:t>组</w:t>
      </w:r>
      <w:r>
        <w:rPr>
          <w:rFonts w:ascii="宋体" w:hAnsi="宋体" w:cs="宋体"/>
          <w:color w:val="000000"/>
          <w:kern w:val="0"/>
        </w:rPr>
        <w:t>成的刚架</w:t>
      </w:r>
      <w:r>
        <w:rPr>
          <w:rFonts w:hint="eastAsia" w:ascii="宋体" w:hAnsi="宋体" w:cs="宋体"/>
          <w:color w:val="000000"/>
          <w:kern w:val="0"/>
        </w:rPr>
        <w:t>式</w:t>
      </w:r>
      <w:r>
        <w:rPr>
          <w:rFonts w:ascii="宋体" w:hAnsi="宋体" w:cs="宋体"/>
          <w:color w:val="000000"/>
          <w:kern w:val="0"/>
        </w:rPr>
        <w:t>支挡</w:t>
      </w:r>
      <w:r>
        <w:rPr>
          <w:rFonts w:hint="eastAsia" w:ascii="宋体" w:hAnsi="宋体" w:cs="宋体"/>
          <w:color w:val="000000"/>
          <w:kern w:val="0"/>
        </w:rPr>
        <w:t>结构。</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4</w:t>
      </w:r>
      <w:r>
        <w:rPr>
          <w:rFonts w:ascii="宋体" w:hAnsi="宋体" w:cs="宋体"/>
          <w:color w:val="000000"/>
          <w:kern w:val="0"/>
        </w:rPr>
        <w:t xml:space="preserve"> 地下连续墙  </w:t>
      </w:r>
      <w:r>
        <w:rPr>
          <w:rFonts w:ascii="Times New Roman" w:hAnsi="Times New Roman"/>
          <w:szCs w:val="28"/>
        </w:rPr>
        <w:t>diaphragm wall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分槽段用专用机械成槽、浇筑钢筋混凝土所形成的连续地下墙体。</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5</w:t>
      </w:r>
      <w:r>
        <w:rPr>
          <w:rFonts w:ascii="宋体" w:hAnsi="宋体" w:cs="宋体"/>
          <w:color w:val="000000"/>
          <w:kern w:val="0"/>
        </w:rPr>
        <w:t xml:space="preserve"> 锚杆  </w:t>
      </w:r>
      <w:r>
        <w:rPr>
          <w:rFonts w:ascii="Times New Roman" w:hAnsi="Times New Roman"/>
          <w:szCs w:val="28"/>
        </w:rPr>
        <w:t>anchor</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由杆体（钢绞线、普通钢筋、</w:t>
      </w:r>
      <w:r>
        <w:rPr>
          <w:rFonts w:hint="eastAsia"/>
        </w:rPr>
        <w:t>预应力螺纹</w:t>
      </w:r>
      <w:r>
        <w:rPr>
          <w:rFonts w:ascii="宋体" w:hAnsi="宋体" w:cs="宋体"/>
          <w:color w:val="000000"/>
          <w:kern w:val="0"/>
        </w:rPr>
        <w:t>钢筋或钢管）、注浆形成的固结体、锚具、套管、</w:t>
      </w:r>
      <w:r>
        <w:rPr>
          <w:rFonts w:hint="eastAsia" w:ascii="宋体" w:hAnsi="宋体" w:cs="宋体"/>
          <w:color w:val="000000"/>
          <w:kern w:val="0"/>
        </w:rPr>
        <w:t>连接器</w:t>
      </w:r>
      <w:r>
        <w:rPr>
          <w:rFonts w:ascii="宋体" w:hAnsi="宋体" w:cs="宋体"/>
          <w:color w:val="000000"/>
          <w:kern w:val="0"/>
        </w:rPr>
        <w:t>所组成的一端与支护结构构件连接，另一端锚固在稳定岩土体内的受拉杆件。杆体采用</w:t>
      </w:r>
      <w:r>
        <w:rPr>
          <w:rFonts w:hint="eastAsia" w:ascii="宋体" w:hAnsi="宋体" w:cs="宋体"/>
          <w:color w:val="000000"/>
          <w:kern w:val="0"/>
        </w:rPr>
        <w:t>钢绞线时，亦可称为锚索。</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6</w:t>
      </w:r>
      <w:r>
        <w:rPr>
          <w:rFonts w:ascii="宋体" w:hAnsi="宋体" w:cs="宋体"/>
          <w:color w:val="000000"/>
          <w:kern w:val="0"/>
        </w:rPr>
        <w:t xml:space="preserve">内支撑  </w:t>
      </w:r>
      <w:r>
        <w:rPr>
          <w:rFonts w:ascii="Times New Roman" w:hAnsi="Times New Roman"/>
          <w:szCs w:val="28"/>
        </w:rPr>
        <w:t>strut</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设置在基坑内的由钢筋混凝土或钢构件组成的用以支撑挡土构件的结构部件。支撑构件</w:t>
      </w:r>
      <w:r>
        <w:rPr>
          <w:rFonts w:hint="eastAsia" w:ascii="宋体" w:hAnsi="宋体" w:cs="宋体"/>
          <w:color w:val="000000"/>
          <w:kern w:val="0"/>
        </w:rPr>
        <w:t>采用</w:t>
      </w:r>
      <w:r>
        <w:rPr>
          <w:rFonts w:ascii="宋体" w:hAnsi="宋体" w:cs="宋体"/>
          <w:color w:val="000000"/>
          <w:kern w:val="0"/>
        </w:rPr>
        <w:t>钢材、混凝土时，分别称为钢内支撑、混凝土内支撑</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7</w:t>
      </w:r>
      <w:r>
        <w:rPr>
          <w:rFonts w:ascii="宋体" w:hAnsi="宋体" w:cs="宋体"/>
          <w:color w:val="000000"/>
          <w:kern w:val="0"/>
        </w:rPr>
        <w:t xml:space="preserve"> 冠梁  </w:t>
      </w:r>
      <w:r>
        <w:rPr>
          <w:rFonts w:ascii="Times New Roman" w:hAnsi="Times New Roman"/>
          <w:szCs w:val="28"/>
        </w:rPr>
        <w:t>capping beam</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设置在挡土构件顶部的钢筋混凝土连梁</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8</w:t>
      </w:r>
      <w:r>
        <w:rPr>
          <w:rFonts w:ascii="宋体" w:hAnsi="宋体" w:cs="宋体"/>
          <w:color w:val="000000"/>
          <w:kern w:val="0"/>
        </w:rPr>
        <w:t xml:space="preserve">腰梁  </w:t>
      </w:r>
      <w:r>
        <w:rPr>
          <w:rFonts w:ascii="Times New Roman" w:hAnsi="Times New Roman"/>
          <w:szCs w:val="28"/>
        </w:rPr>
        <w:t>waling</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设置在挡土构件侧面的连接锚杆或内支撑的钢筋混凝土或型钢梁式构件</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2.1.1</w:t>
      </w:r>
      <w:r>
        <w:rPr>
          <w:rFonts w:hint="eastAsia" w:ascii="Times New Roman" w:hAnsi="Times New Roman"/>
          <w:b/>
          <w:szCs w:val="28"/>
        </w:rPr>
        <w:t>9</w:t>
      </w:r>
      <w:r>
        <w:rPr>
          <w:rFonts w:ascii="宋体" w:hAnsi="宋体" w:cs="宋体"/>
          <w:color w:val="000000"/>
          <w:kern w:val="0"/>
        </w:rPr>
        <w:t xml:space="preserve">土钉  </w:t>
      </w:r>
      <w:r>
        <w:rPr>
          <w:rFonts w:ascii="Times New Roman" w:hAnsi="Times New Roman"/>
          <w:szCs w:val="28"/>
        </w:rPr>
        <w:t>soil nail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设置在基坑侧壁土体内的承受拉力与剪力的杆件。例如，成孔后植入钢筋杆体并通过孔</w:t>
      </w:r>
      <w:r>
        <w:rPr>
          <w:rFonts w:hint="eastAsia" w:ascii="宋体" w:hAnsi="宋体" w:cs="宋体"/>
          <w:color w:val="000000"/>
          <w:kern w:val="0"/>
        </w:rPr>
        <w:t>内注浆</w:t>
      </w:r>
      <w:r>
        <w:rPr>
          <w:rFonts w:ascii="宋体" w:hAnsi="宋体" w:cs="宋体"/>
          <w:color w:val="000000"/>
          <w:kern w:val="0"/>
        </w:rPr>
        <w:t>在杆体周围形成固结体的钢筋土钉</w:t>
      </w:r>
      <w:r>
        <w:rPr>
          <w:rFonts w:hint="eastAsia"/>
        </w:rPr>
        <w:t>；</w:t>
      </w:r>
      <w:r>
        <w:rPr>
          <w:rFonts w:ascii="宋体" w:hAnsi="宋体" w:cs="宋体"/>
          <w:color w:val="000000"/>
          <w:kern w:val="0"/>
        </w:rPr>
        <w:t>将设有出浆孔的钢管直接击入基坑侧壁土中并在</w:t>
      </w:r>
      <w:r>
        <w:rPr>
          <w:rFonts w:hint="eastAsia" w:ascii="宋体" w:hAnsi="宋体" w:cs="宋体"/>
          <w:color w:val="000000"/>
          <w:kern w:val="0"/>
        </w:rPr>
        <w:t>钢管内</w:t>
      </w:r>
      <w:r>
        <w:rPr>
          <w:rFonts w:ascii="宋体" w:hAnsi="宋体" w:cs="宋体"/>
          <w:color w:val="000000"/>
          <w:kern w:val="0"/>
        </w:rPr>
        <w:t>注浆的钢管土钉</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w:t>
      </w:r>
      <w:r>
        <w:rPr>
          <w:rFonts w:hint="eastAsia" w:ascii="Times New Roman" w:hAnsi="Times New Roman"/>
          <w:b/>
          <w:szCs w:val="28"/>
        </w:rPr>
        <w:t>20</w:t>
      </w:r>
      <w:r>
        <w:rPr>
          <w:rFonts w:ascii="宋体" w:hAnsi="宋体" w:cs="宋体"/>
          <w:color w:val="000000"/>
          <w:kern w:val="0"/>
        </w:rPr>
        <w:t xml:space="preserve"> 土钉墙  </w:t>
      </w:r>
      <w:r>
        <w:rPr>
          <w:rFonts w:ascii="Times New Roman" w:hAnsi="Times New Roman"/>
          <w:szCs w:val="28"/>
        </w:rPr>
        <w:t>soil nailing wall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由随基坑开挖分层设置的、纵横向密布的土钉群、喷射混凝土面层及原位土体所组成的</w:t>
      </w:r>
      <w:r>
        <w:rPr>
          <w:rFonts w:hint="eastAsia" w:ascii="宋体" w:hAnsi="宋体" w:cs="宋体"/>
          <w:color w:val="000000"/>
          <w:kern w:val="0"/>
        </w:rPr>
        <w:t>支护结构。</w:t>
      </w:r>
    </w:p>
    <w:p>
      <w:pPr>
        <w:widowControl w:val="0"/>
        <w:spacing w:line="360" w:lineRule="auto"/>
        <w:rPr>
          <w:rFonts w:ascii="宋体" w:hAnsi="宋体" w:cs="宋体"/>
          <w:color w:val="000000"/>
          <w:kern w:val="0"/>
        </w:rPr>
      </w:pPr>
      <w:r>
        <w:rPr>
          <w:rFonts w:ascii="Times New Roman" w:hAnsi="Times New Roman"/>
          <w:b/>
          <w:szCs w:val="28"/>
        </w:rPr>
        <w:t>2.1.2</w:t>
      </w:r>
      <w:r>
        <w:rPr>
          <w:rFonts w:hint="eastAsia" w:ascii="Times New Roman" w:hAnsi="Times New Roman"/>
          <w:b/>
          <w:szCs w:val="28"/>
        </w:rPr>
        <w:t>1</w:t>
      </w:r>
      <w:r>
        <w:rPr>
          <w:rFonts w:ascii="宋体" w:hAnsi="宋体" w:cs="宋体"/>
          <w:color w:val="000000"/>
          <w:kern w:val="0"/>
        </w:rPr>
        <w:t xml:space="preserve">复合土钉墙  </w:t>
      </w:r>
      <w:r>
        <w:rPr>
          <w:rFonts w:ascii="Times New Roman" w:hAnsi="Times New Roman"/>
          <w:szCs w:val="28"/>
        </w:rPr>
        <w:t>composite soil nailing wall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土钉墙与预应力锚杆、微型桩、旋喷桩、搅拌桩中的一种或多种组成的复合型支护结构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2.1.2</w:t>
      </w:r>
      <w:r>
        <w:rPr>
          <w:rFonts w:hint="eastAsia" w:ascii="Times New Roman" w:hAnsi="Times New Roman"/>
          <w:b/>
          <w:szCs w:val="28"/>
        </w:rPr>
        <w:t>2</w:t>
      </w:r>
      <w:r>
        <w:rPr>
          <w:rFonts w:ascii="宋体" w:hAnsi="宋体" w:cs="宋体"/>
          <w:color w:val="000000"/>
          <w:kern w:val="0"/>
        </w:rPr>
        <w:t xml:space="preserve">重力式水泥土墙  </w:t>
      </w:r>
      <w:r>
        <w:rPr>
          <w:rFonts w:ascii="Times New Roman" w:hAnsi="Times New Roman"/>
          <w:szCs w:val="28"/>
        </w:rPr>
        <w:t>gravity cement-soil wall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水泥土桩相互搭接成格栅</w:t>
      </w:r>
      <w:r>
        <w:rPr>
          <w:rFonts w:hint="eastAsia" w:ascii="宋体" w:hAnsi="宋体" w:cs="宋体"/>
          <w:color w:val="000000"/>
          <w:kern w:val="0"/>
        </w:rPr>
        <w:t>（状）</w:t>
      </w:r>
      <w:r>
        <w:rPr>
          <w:rFonts w:ascii="宋体" w:hAnsi="宋体" w:cs="宋体"/>
          <w:color w:val="000000"/>
          <w:kern w:val="0"/>
        </w:rPr>
        <w:t>或实体</w:t>
      </w:r>
      <w:r>
        <w:rPr>
          <w:rFonts w:hint="eastAsia" w:ascii="宋体" w:hAnsi="宋体" w:cs="宋体"/>
          <w:color w:val="000000"/>
          <w:kern w:val="0"/>
        </w:rPr>
        <w:t>（状）</w:t>
      </w:r>
      <w:r>
        <w:rPr>
          <w:rFonts w:ascii="宋体" w:hAnsi="宋体" w:cs="宋体"/>
          <w:color w:val="000000"/>
          <w:kern w:val="0"/>
        </w:rPr>
        <w:t>的重力式支护结构</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ascii="Times New Roman" w:hAnsi="Times New Roman"/>
          <w:b/>
          <w:szCs w:val="28"/>
        </w:rPr>
        <w:t>2.1.2</w:t>
      </w:r>
      <w:r>
        <w:rPr>
          <w:rFonts w:hint="eastAsia" w:ascii="Times New Roman" w:hAnsi="Times New Roman"/>
          <w:b/>
          <w:szCs w:val="28"/>
        </w:rPr>
        <w:t>3</w:t>
      </w:r>
      <w:r>
        <w:rPr>
          <w:rFonts w:ascii="宋体" w:hAnsi="宋体" w:cs="宋体"/>
          <w:color w:val="000000"/>
          <w:kern w:val="0"/>
        </w:rPr>
        <w:t xml:space="preserve"> 地下水控制  </w:t>
      </w:r>
      <w:r>
        <w:rPr>
          <w:rFonts w:ascii="Times New Roman" w:hAnsi="Times New Roman"/>
          <w:szCs w:val="28"/>
        </w:rPr>
        <w:t>groundwater control</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为保证支护结构、基坑开挖、地下结构的正常施工，防止地下水变化对基坑周边环境</w:t>
      </w:r>
      <w:r>
        <w:rPr>
          <w:rFonts w:hint="eastAsia" w:ascii="宋体" w:hAnsi="宋体" w:cs="宋体"/>
          <w:color w:val="000000"/>
          <w:kern w:val="0"/>
        </w:rPr>
        <w:t>产生</w:t>
      </w:r>
      <w:r>
        <w:rPr>
          <w:rFonts w:ascii="宋体" w:hAnsi="宋体" w:cs="宋体"/>
          <w:color w:val="000000"/>
          <w:kern w:val="0"/>
        </w:rPr>
        <w:t>影响所采</w:t>
      </w:r>
      <w:r>
        <w:rPr>
          <w:rFonts w:hint="eastAsia" w:ascii="宋体" w:hAnsi="宋体" w:cs="宋体"/>
          <w:color w:val="000000"/>
          <w:kern w:val="0"/>
        </w:rPr>
        <w:t>取</w:t>
      </w:r>
      <w:r>
        <w:rPr>
          <w:rFonts w:ascii="宋体" w:hAnsi="宋体" w:cs="宋体"/>
          <w:color w:val="000000"/>
          <w:kern w:val="0"/>
        </w:rPr>
        <w:t>的截水、降水、排水、回灌等措施</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hint="eastAsia" w:ascii="Times New Roman" w:hAnsi="Times New Roman"/>
          <w:b/>
          <w:szCs w:val="28"/>
        </w:rPr>
        <w:t xml:space="preserve">2.1.24 </w:t>
      </w:r>
      <w:r>
        <w:rPr>
          <w:rFonts w:ascii="宋体" w:hAnsi="宋体" w:cs="宋体"/>
          <w:color w:val="000000"/>
          <w:kern w:val="0"/>
        </w:rPr>
        <w:t xml:space="preserve">降水  </w:t>
      </w:r>
      <w:r>
        <w:rPr>
          <w:rFonts w:ascii="Times New Roman" w:hAnsi="Times New Roman"/>
          <w:szCs w:val="28"/>
        </w:rPr>
        <w:t>dewatering</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为防止地下水通过基坑侧壁与</w:t>
      </w:r>
      <w:r>
        <w:rPr>
          <w:rFonts w:hint="eastAsia"/>
        </w:rPr>
        <w:t>坑</w:t>
      </w:r>
      <w:r>
        <w:rPr>
          <w:rFonts w:ascii="宋体" w:hAnsi="宋体" w:cs="宋体"/>
          <w:color w:val="000000"/>
          <w:kern w:val="0"/>
        </w:rPr>
        <w:t>底流入基坑，用抽水井或渗水井降低基坑内外地下水位</w:t>
      </w:r>
      <w:r>
        <w:rPr>
          <w:rFonts w:hint="eastAsia" w:ascii="宋体" w:hAnsi="宋体" w:cs="宋体"/>
          <w:color w:val="000000"/>
          <w:kern w:val="0"/>
        </w:rPr>
        <w:t>的方法。</w:t>
      </w:r>
    </w:p>
    <w:p>
      <w:pPr>
        <w:widowControl w:val="0"/>
        <w:spacing w:line="360" w:lineRule="auto"/>
        <w:rPr>
          <w:rFonts w:ascii="宋体" w:hAnsi="宋体" w:cs="宋体"/>
          <w:color w:val="000000"/>
          <w:kern w:val="0"/>
        </w:rPr>
      </w:pPr>
      <w:r>
        <w:rPr>
          <w:rFonts w:ascii="Times New Roman" w:hAnsi="Times New Roman"/>
          <w:b/>
          <w:szCs w:val="28"/>
        </w:rPr>
        <w:t>2.1.2</w:t>
      </w:r>
      <w:r>
        <w:rPr>
          <w:rFonts w:hint="eastAsia" w:ascii="Times New Roman" w:hAnsi="Times New Roman"/>
          <w:b/>
          <w:szCs w:val="28"/>
        </w:rPr>
        <w:t>5</w:t>
      </w:r>
      <w:r>
        <w:rPr>
          <w:rFonts w:ascii="宋体" w:hAnsi="宋体" w:cs="宋体"/>
          <w:color w:val="000000"/>
          <w:kern w:val="0"/>
        </w:rPr>
        <w:t xml:space="preserve">截水帷幕  </w:t>
      </w:r>
      <w:r>
        <w:rPr>
          <w:rFonts w:ascii="Times New Roman" w:hAnsi="Times New Roman"/>
          <w:szCs w:val="28"/>
        </w:rPr>
        <w:t>curtain for cutting off drains</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用以阻隔或减少地下水通过基坑侧壁与坑底流入基坑和</w:t>
      </w:r>
      <w:r>
        <w:rPr>
          <w:rFonts w:hint="eastAsia"/>
        </w:rPr>
        <w:t>控制</w:t>
      </w:r>
      <w:r>
        <w:rPr>
          <w:rFonts w:ascii="宋体" w:hAnsi="宋体" w:cs="宋体"/>
          <w:color w:val="000000"/>
          <w:kern w:val="0"/>
        </w:rPr>
        <w:t>基坑外地下水位下降的</w:t>
      </w:r>
      <w:r>
        <w:rPr>
          <w:rFonts w:hint="eastAsia" w:ascii="宋体" w:hAnsi="宋体" w:cs="宋体"/>
          <w:color w:val="000000"/>
          <w:kern w:val="0"/>
        </w:rPr>
        <w:t>幕墙</w:t>
      </w:r>
      <w:r>
        <w:rPr>
          <w:rFonts w:ascii="宋体" w:hAnsi="宋体" w:cs="宋体"/>
          <w:color w:val="000000"/>
          <w:kern w:val="0"/>
        </w:rPr>
        <w:t>状竖向截水体</w:t>
      </w:r>
      <w:r>
        <w:rPr>
          <w:rFonts w:hint="eastAsia" w:ascii="宋体" w:hAnsi="宋体" w:cs="宋体"/>
          <w:color w:val="000000"/>
          <w:kern w:val="0"/>
        </w:rPr>
        <w:t>。</w:t>
      </w:r>
    </w:p>
    <w:p>
      <w:pPr>
        <w:widowControl w:val="0"/>
        <w:spacing w:line="360" w:lineRule="auto"/>
        <w:rPr>
          <w:rFonts w:ascii="宋体" w:hAnsi="宋体" w:cs="宋体"/>
          <w:color w:val="000000"/>
          <w:kern w:val="0"/>
        </w:rPr>
      </w:pPr>
      <w:r>
        <w:rPr>
          <w:rFonts w:hint="eastAsia" w:ascii="Times New Roman" w:hAnsi="Times New Roman"/>
          <w:b/>
          <w:szCs w:val="28"/>
        </w:rPr>
        <w:t>2.1.26</w:t>
      </w:r>
      <w:r>
        <w:rPr>
          <w:rFonts w:ascii="宋体" w:hAnsi="宋体" w:cs="宋体"/>
          <w:color w:val="000000"/>
          <w:kern w:val="0"/>
        </w:rPr>
        <w:t xml:space="preserve">集水明排  </w:t>
      </w:r>
      <w:r>
        <w:rPr>
          <w:rFonts w:ascii="Times New Roman" w:hAnsi="Times New Roman"/>
          <w:szCs w:val="28"/>
        </w:rPr>
        <w:t>open pumping</w:t>
      </w:r>
    </w:p>
    <w:p>
      <w:pPr>
        <w:widowControl w:val="0"/>
        <w:spacing w:line="360" w:lineRule="auto"/>
        <w:ind w:firstLine="480" w:firstLineChars="200"/>
        <w:rPr>
          <w:rFonts w:ascii="宋体" w:hAnsi="宋体" w:cs="宋体"/>
          <w:color w:val="000000"/>
          <w:kern w:val="0"/>
        </w:rPr>
      </w:pPr>
      <w:r>
        <w:rPr>
          <w:rFonts w:ascii="宋体" w:hAnsi="宋体" w:cs="宋体"/>
          <w:color w:val="000000"/>
          <w:kern w:val="0"/>
        </w:rPr>
        <w:t>用排水沟、集水井、泄水管、输水管等组成的排水系统将地表水、渗漏水排泄至基坑外</w:t>
      </w:r>
      <w:r>
        <w:rPr>
          <w:rFonts w:hint="eastAsia" w:ascii="宋体" w:hAnsi="宋体" w:cs="宋体"/>
          <w:color w:val="000000"/>
          <w:kern w:val="0"/>
        </w:rPr>
        <w:t>的方法。</w:t>
      </w:r>
    </w:p>
    <w:p>
      <w:pPr>
        <w:widowControl w:val="0"/>
        <w:spacing w:line="360" w:lineRule="auto"/>
        <w:rPr>
          <w:rFonts w:ascii="Times New Roman" w:hAnsi="Times New Roman"/>
          <w:b/>
          <w:color w:val="FF0000"/>
          <w:szCs w:val="28"/>
        </w:rPr>
      </w:pPr>
      <w:r>
        <w:rPr>
          <w:rFonts w:hint="eastAsia" w:ascii="Times New Roman" w:hAnsi="Times New Roman"/>
          <w:b/>
          <w:szCs w:val="28"/>
        </w:rPr>
        <w:t>2.1.27</w:t>
      </w:r>
      <w:r>
        <w:rPr>
          <w:rFonts w:hint="eastAsia" w:ascii="宋体" w:hAnsi="宋体" w:cs="宋体"/>
          <w:color w:val="000000"/>
          <w:kern w:val="0"/>
        </w:rPr>
        <w:t>钢板桩</w:t>
      </w:r>
      <w:r>
        <w:rPr>
          <w:rFonts w:hint="eastAsia" w:ascii="Times New Roman" w:hAnsi="Times New Roman"/>
          <w:szCs w:val="28"/>
        </w:rPr>
        <w:t>steel sheet piling</w:t>
      </w:r>
    </w:p>
    <w:p>
      <w:pPr>
        <w:widowControl w:val="0"/>
        <w:spacing w:line="360" w:lineRule="auto"/>
        <w:ind w:firstLine="480" w:firstLineChars="200"/>
        <w:rPr>
          <w:rFonts w:ascii="宋体" w:hAnsi="宋体" w:cs="宋体"/>
          <w:color w:val="000000"/>
          <w:kern w:val="0"/>
        </w:rPr>
      </w:pPr>
      <w:r>
        <w:rPr>
          <w:rFonts w:hint="eastAsia" w:ascii="宋体" w:hAnsi="宋体" w:cs="宋体"/>
          <w:color w:val="000000"/>
          <w:kern w:val="0"/>
        </w:rPr>
        <w:t>钢材经冷弯或热轧工艺加工的、带有连接锁口的钢构件，可分为冷弯钢板桩和热轧钢板桩。</w:t>
      </w:r>
    </w:p>
    <w:p>
      <w:pPr>
        <w:widowControl w:val="0"/>
        <w:spacing w:line="360" w:lineRule="auto"/>
        <w:rPr>
          <w:rFonts w:ascii="宋体" w:hAnsi="宋体" w:cs="宋体"/>
          <w:color w:val="FF0000"/>
          <w:kern w:val="0"/>
        </w:rPr>
      </w:pPr>
      <w:r>
        <w:rPr>
          <w:rFonts w:hint="eastAsia" w:ascii="Times New Roman" w:hAnsi="Times New Roman"/>
          <w:b/>
          <w:szCs w:val="28"/>
        </w:rPr>
        <w:t>2.1.28</w:t>
      </w:r>
      <w:r>
        <w:rPr>
          <w:rFonts w:hint="eastAsia" w:ascii="宋体" w:hAnsi="宋体" w:cs="宋体"/>
          <w:color w:val="000000"/>
          <w:kern w:val="0"/>
        </w:rPr>
        <w:t>钢板桩墙</w:t>
      </w:r>
      <w:r>
        <w:rPr>
          <w:rFonts w:hint="eastAsia" w:ascii="Times New Roman" w:hAnsi="Times New Roman"/>
          <w:szCs w:val="28"/>
        </w:rPr>
        <w:t>steel sheet pile wall</w:t>
      </w:r>
    </w:p>
    <w:p>
      <w:pPr>
        <w:widowControl w:val="0"/>
        <w:spacing w:line="360" w:lineRule="auto"/>
        <w:ind w:firstLine="480" w:firstLineChars="200"/>
        <w:rPr>
          <w:rFonts w:ascii="宋体" w:hAnsi="宋体" w:cs="宋体"/>
          <w:color w:val="000000"/>
          <w:kern w:val="0"/>
        </w:rPr>
      </w:pPr>
      <w:r>
        <w:rPr>
          <w:rFonts w:hint="eastAsia" w:ascii="宋体" w:hAnsi="宋体" w:cs="宋体"/>
          <w:color w:val="000000"/>
          <w:kern w:val="0"/>
        </w:rPr>
        <w:t>钢板桩通过锁口连接形成的连续墙体。</w:t>
      </w:r>
    </w:p>
    <w:p>
      <w:pPr>
        <w:widowControl w:val="0"/>
        <w:spacing w:line="360" w:lineRule="auto"/>
        <w:rPr>
          <w:rFonts w:ascii="宋体" w:hAnsi="宋体" w:cs="宋体"/>
          <w:color w:val="FF0000"/>
          <w:kern w:val="0"/>
        </w:rPr>
      </w:pPr>
      <w:r>
        <w:rPr>
          <w:rFonts w:hint="eastAsia" w:ascii="Times New Roman" w:hAnsi="Times New Roman"/>
          <w:b/>
          <w:szCs w:val="28"/>
        </w:rPr>
        <w:t xml:space="preserve">2.1.29 </w:t>
      </w:r>
      <w:r>
        <w:rPr>
          <w:rFonts w:hint="eastAsia" w:ascii="宋体" w:hAnsi="宋体" w:cs="宋体"/>
          <w:color w:val="000000"/>
          <w:kern w:val="0"/>
        </w:rPr>
        <w:t>钢板桩支护结构</w:t>
      </w:r>
      <w:r>
        <w:rPr>
          <w:rFonts w:hint="eastAsia" w:ascii="Times New Roman" w:hAnsi="Times New Roman"/>
          <w:szCs w:val="28"/>
        </w:rPr>
        <w:t>retaining structure of steel sheet pile</w:t>
      </w:r>
    </w:p>
    <w:p>
      <w:pPr>
        <w:widowControl w:val="0"/>
        <w:spacing w:line="360" w:lineRule="auto"/>
        <w:ind w:firstLine="480" w:firstLineChars="200"/>
        <w:rPr>
          <w:rFonts w:ascii="宋体" w:hAnsi="宋体" w:cs="宋体"/>
          <w:color w:val="000000"/>
          <w:kern w:val="0"/>
        </w:rPr>
      </w:pPr>
      <w:r>
        <w:rPr>
          <w:rFonts w:hint="eastAsia" w:ascii="宋体" w:hAnsi="宋体" w:cs="宋体"/>
          <w:color w:val="000000"/>
          <w:kern w:val="0"/>
        </w:rPr>
        <w:t>由钢板桩墙、锚杆（索）、支撑等构件组成的为基坑提供支挡抗力的结构体系。</w:t>
      </w:r>
    </w:p>
    <w:p>
      <w:pPr>
        <w:pStyle w:val="3"/>
      </w:pPr>
      <w:bookmarkStart w:id="81" w:name="_Toc384310052"/>
      <w:bookmarkStart w:id="82" w:name="_Toc384300111"/>
      <w:bookmarkStart w:id="83" w:name="_Toc388643533"/>
      <w:bookmarkStart w:id="84" w:name="_Toc385576909"/>
      <w:bookmarkStart w:id="85" w:name="_Toc384309831"/>
      <w:bookmarkStart w:id="86" w:name="_Toc384304339"/>
      <w:bookmarkStart w:id="87" w:name="_Toc381950738"/>
      <w:bookmarkStart w:id="88" w:name="_Toc381950994"/>
      <w:bookmarkStart w:id="89" w:name="_Toc385581685"/>
      <w:bookmarkStart w:id="90" w:name="_Toc388643416"/>
      <w:bookmarkStart w:id="91" w:name="_Toc385518812"/>
      <w:bookmarkStart w:id="92" w:name="_Toc381951573"/>
      <w:bookmarkStart w:id="93" w:name="_Toc381951378"/>
      <w:bookmarkStart w:id="94" w:name="_Toc382559717"/>
      <w:bookmarkStart w:id="95" w:name="_Toc19052"/>
      <w:bookmarkStart w:id="96" w:name="_Toc5526"/>
      <w:bookmarkStart w:id="97" w:name="_Toc382559879"/>
      <w:bookmarkStart w:id="98" w:name="_Toc384300259"/>
      <w:bookmarkStart w:id="99" w:name="_Toc375039675"/>
      <w:r>
        <w:rPr>
          <w:rFonts w:ascii="Times New Roman" w:hAnsi="Times New Roman"/>
        </w:rPr>
        <w:t>2</w:t>
      </w:r>
      <w:r>
        <w:t>.</w:t>
      </w:r>
      <w:r>
        <w:rPr>
          <w:rFonts w:ascii="Times New Roman" w:hAnsi="Times New Roman"/>
        </w:rPr>
        <w:t>2</w:t>
      </w:r>
      <w:r>
        <w:t xml:space="preserve">  符号</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widowControl w:val="0"/>
        <w:spacing w:line="360" w:lineRule="auto"/>
        <w:rPr>
          <w:rFonts w:ascii="宋体" w:hAnsi="宋体" w:cs="宋体"/>
          <w:color w:val="000000"/>
          <w:kern w:val="0"/>
        </w:rPr>
      </w:pPr>
      <w:r>
        <w:rPr>
          <w:rFonts w:ascii="Times New Roman" w:hAnsi="Times New Roman"/>
          <w:b/>
          <w:szCs w:val="28"/>
        </w:rPr>
        <w:t xml:space="preserve">2.2.1 </w:t>
      </w:r>
      <w:r>
        <w:rPr>
          <w:rFonts w:ascii="宋体" w:hAnsi="宋体" w:cs="宋体"/>
          <w:color w:val="000000"/>
          <w:kern w:val="0"/>
        </w:rPr>
        <w:t>作用和作用效应</w:t>
      </w:r>
    </w:p>
    <w:p>
      <w:pPr>
        <w:widowControl w:val="0"/>
        <w:spacing w:line="360" w:lineRule="auto"/>
        <w:ind w:firstLine="480" w:firstLineChars="200"/>
        <w:rPr>
          <w:rFonts w:ascii="宋体" w:hAnsi="宋体" w:cs="宋体"/>
          <w:color w:val="000000"/>
          <w:kern w:val="0"/>
        </w:rPr>
      </w:pPr>
      <w:r>
        <w:rPr>
          <w:rFonts w:ascii="宋体" w:hAnsi="宋体" w:cs="宋体"/>
          <w:i/>
          <w:color w:val="000000"/>
          <w:kern w:val="0"/>
          <w:position w:val="-12"/>
        </w:rPr>
        <w:drawing>
          <wp:inline distT="0" distB="0" distL="0" distR="0">
            <wp:extent cx="241300" cy="224155"/>
            <wp:effectExtent l="0" t="0" r="0" b="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noChangeArrowheads="true"/>
                    </pic:cNvPicPr>
                  </pic:nvPicPr>
                  <pic:blipFill>
                    <a:blip r:embed="rId8" cstate="print"/>
                    <a:srcRect/>
                    <a:stretch>
                      <a:fillRect/>
                    </a:stretch>
                  </pic:blipFill>
                  <pic:spPr>
                    <a:xfrm>
                      <a:off x="0" y="0"/>
                      <a:ext cx="241300" cy="224155"/>
                    </a:xfrm>
                    <a:prstGeom prst="rect">
                      <a:avLst/>
                    </a:prstGeom>
                    <a:noFill/>
                    <a:ln w="9525">
                      <a:noFill/>
                      <a:miter lim="800000"/>
                      <a:headEnd/>
                      <a:tailEnd/>
                    </a:ln>
                  </pic:spPr>
                </pic:pic>
              </a:graphicData>
            </a:graphic>
          </wp:inline>
        </w:drawing>
      </w:r>
      <w:r>
        <w:rPr>
          <w:rFonts w:ascii="宋体" w:hAnsi="宋体" w:cs="宋体"/>
          <w:color w:val="000000"/>
          <w:kern w:val="0"/>
        </w:rPr>
        <w:t>、</w:t>
      </w:r>
      <w:r>
        <w:rPr>
          <w:rFonts w:ascii="宋体" w:hAnsi="宋体" w:cs="宋体"/>
          <w:i/>
          <w:color w:val="000000"/>
          <w:kern w:val="0"/>
          <w:position w:val="-14"/>
        </w:rPr>
        <w:drawing>
          <wp:inline distT="0" distB="0" distL="0" distR="0">
            <wp:extent cx="250190" cy="241300"/>
            <wp:effectExtent l="0" t="0" r="0" b="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noChangeArrowheads="true"/>
                    </pic:cNvPicPr>
                  </pic:nvPicPr>
                  <pic:blipFill>
                    <a:blip r:embed="rId9" cstate="print"/>
                    <a:srcRect/>
                    <a:stretch>
                      <a:fillRect/>
                    </a:stretch>
                  </pic:blipFill>
                  <pic:spPr>
                    <a:xfrm>
                      <a:off x="0" y="0"/>
                      <a:ext cx="250190" cy="241300"/>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主动土压力</w:t>
      </w:r>
      <w:r>
        <w:rPr>
          <w:rFonts w:hint="eastAsia" w:ascii="宋体" w:hAnsi="宋体" w:cs="宋体"/>
          <w:color w:val="000000"/>
          <w:kern w:val="0"/>
        </w:rPr>
        <w:t>、</w:t>
      </w:r>
      <w:r>
        <w:rPr>
          <w:rFonts w:ascii="宋体" w:hAnsi="宋体" w:cs="宋体"/>
          <w:color w:val="000000"/>
          <w:kern w:val="0"/>
        </w:rPr>
        <w:t>被动土压力标准值</w:t>
      </w:r>
      <w:r>
        <w:rPr>
          <w:rFonts w:hint="eastAsia" w:ascii="宋体" w:hAnsi="宋体" w:cs="宋体"/>
          <w:color w:val="000000"/>
          <w:kern w:val="0"/>
        </w:rPr>
        <w:t>﹔</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63830" cy="180975"/>
            <wp:effectExtent l="0" t="0" r="0" b="0"/>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noChangeArrowheads="true"/>
                    </pic:cNvPicPr>
                  </pic:nvPicPr>
                  <pic:blipFill>
                    <a:blip r:embed="rId10" cstate="print"/>
                    <a:srcRect/>
                    <a:stretch>
                      <a:fillRect/>
                    </a:stretch>
                  </pic:blipFill>
                  <pic:spPr>
                    <a:xfrm>
                      <a:off x="0" y="0"/>
                      <a:ext cx="163830" cy="180975"/>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支护结构</w:t>
      </w:r>
      <w:r>
        <w:rPr>
          <w:rFonts w:hint="eastAsia" w:ascii="宋体" w:hAnsi="宋体" w:cs="宋体"/>
          <w:color w:val="000000"/>
          <w:kern w:val="0"/>
        </w:rPr>
        <w:t>和</w:t>
      </w:r>
      <w:r>
        <w:rPr>
          <w:rFonts w:ascii="宋体" w:hAnsi="宋体" w:cs="宋体"/>
          <w:color w:val="000000"/>
          <w:kern w:val="0"/>
        </w:rPr>
        <w:t>土的自重</w:t>
      </w:r>
      <w:r>
        <w:rPr>
          <w:rFonts w:hint="eastAsia" w:ascii="宋体" w:hAnsi="宋体" w:cs="宋体"/>
          <w:color w:val="000000"/>
          <w:kern w:val="0"/>
        </w:rPr>
        <w:t>﹔</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37795" cy="180975"/>
            <wp:effectExtent l="0" t="0" r="0" b="0"/>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noChangeArrowheads="true"/>
                    </pic:cNvPicPr>
                  </pic:nvPicPr>
                  <pic:blipFill>
                    <a:blip r:embed="rId11" cstate="print"/>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渗透力﹔</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4"/>
        </w:rPr>
        <w:drawing>
          <wp:inline distT="0" distB="0" distL="0" distR="0">
            <wp:extent cx="207010" cy="163830"/>
            <wp:effectExtent l="0" t="0" r="0" b="127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noChangeArrowheads="true"/>
                    </pic:cNvPicPr>
                  </pic:nvPicPr>
                  <pic:blipFill>
                    <a:blip r:embed="rId12" cstate="print"/>
                    <a:srcRect/>
                    <a:stretch>
                      <a:fillRect/>
                    </a:stretch>
                  </pic:blipFill>
                  <pic:spPr>
                    <a:xfrm>
                      <a:off x="0" y="0"/>
                      <a:ext cx="207010"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弯矩设计值﹔</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241300" cy="224155"/>
            <wp:effectExtent l="0" t="0" r="0" b="0"/>
            <wp:docPr id="256" name="图片 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true" noChangeArrowheads="true"/>
                    </pic:cNvPicPr>
                  </pic:nvPicPr>
                  <pic:blipFill>
                    <a:blip r:embed="rId13" cstate="print"/>
                    <a:srcRect/>
                    <a:stretch>
                      <a:fillRect/>
                    </a:stretch>
                  </pic:blipFill>
                  <pic:spPr>
                    <a:xfrm>
                      <a:off x="0" y="0"/>
                      <a:ext cx="24130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荷载标准组合的弯矩值﹔</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80975" cy="180975"/>
            <wp:effectExtent l="0" t="0" r="9525" b="0"/>
            <wp:docPr id="257" name="图片 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true" noChangeArrowheads="true"/>
                    </pic:cNvPicPr>
                  </pic:nvPicPr>
                  <pic:blipFill>
                    <a:blip r:embed="rId14"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轴向拉力或轴向压力设计值</w:t>
      </w:r>
      <w:r>
        <w:rPr>
          <w:rFonts w:hint="eastAsia" w:ascii="宋体" w:hAnsi="宋体" w:cs="宋体"/>
          <w:color w:val="000000"/>
          <w:kern w:val="0"/>
        </w:rPr>
        <w:t>﹔</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215900" cy="224155"/>
            <wp:effectExtent l="0" t="0" r="0" b="0"/>
            <wp:docPr id="258" name="图片 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true" noChangeArrowheads="true"/>
                    </pic:cNvPicPr>
                  </pic:nvPicPr>
                  <pic:blipFill>
                    <a:blip r:embed="rId15" cstate="print"/>
                    <a:srcRect/>
                    <a:stretch>
                      <a:fillRect/>
                    </a:stretch>
                  </pic:blipFill>
                  <pic:spPr>
                    <a:xfrm>
                      <a:off x="0" y="0"/>
                      <a:ext cx="21590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作用标准组合的轴向拉力值或轴向压力值﹔</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89865" cy="224155"/>
            <wp:effectExtent l="0" t="0" r="635" b="0"/>
            <wp:docPr id="259" name="图片 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true" noChangeArrowheads="true"/>
                    </pic:cNvPicPr>
                  </pic:nvPicPr>
                  <pic:blipFill>
                    <a:blip r:embed="rId16"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基坑地面附加压力的标准值﹔</w:t>
      </w:r>
    </w:p>
    <w:p>
      <w:pPr>
        <w:widowControl w:val="0"/>
        <w:spacing w:line="360" w:lineRule="auto"/>
        <w:ind w:firstLine="360" w:firstLineChars="150"/>
        <w:rPr>
          <w:rFonts w:ascii="宋体" w:hAnsi="宋体" w:cs="宋体"/>
          <w:color w:val="000000"/>
          <w:kern w:val="0"/>
        </w:rPr>
      </w:pPr>
      <w:r>
        <w:rPr>
          <w:rFonts w:ascii="宋体" w:hAnsi="宋体" w:cs="宋体"/>
          <w:i/>
          <w:color w:val="000000"/>
          <w:kern w:val="0"/>
          <w:position w:val="-12"/>
        </w:rPr>
        <w:drawing>
          <wp:inline distT="0" distB="0" distL="0" distR="0">
            <wp:extent cx="241300" cy="224155"/>
            <wp:effectExtent l="0" t="0" r="0" b="0"/>
            <wp:docPr id="260" name="图片 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true" noChangeArrowheads="true"/>
                    </pic:cNvPicPr>
                  </pic:nvPicPr>
                  <pic:blipFill>
                    <a:blip r:embed="rId17" cstate="print"/>
                    <a:srcRect/>
                    <a:stretch>
                      <a:fillRect/>
                    </a:stretch>
                  </pic:blipFill>
                  <pic:spPr>
                    <a:xfrm>
                      <a:off x="0" y="0"/>
                      <a:ext cx="241300" cy="224155"/>
                    </a:xfrm>
                    <a:prstGeom prst="rect">
                      <a:avLst/>
                    </a:prstGeom>
                    <a:noFill/>
                    <a:ln w="9525">
                      <a:noFill/>
                      <a:miter lim="800000"/>
                      <a:headEnd/>
                      <a:tailEnd/>
                    </a:ln>
                  </pic:spPr>
                </pic:pic>
              </a:graphicData>
            </a:graphic>
          </wp:inline>
        </w:drawing>
      </w:r>
      <w:r>
        <w:rPr>
          <w:rFonts w:hint="eastAsia" w:ascii="宋体" w:hAnsi="宋体" w:cs="宋体"/>
          <w:color w:val="000000"/>
          <w:kern w:val="0"/>
        </w:rPr>
        <w:t>、</w:t>
      </w:r>
      <w:r>
        <w:rPr>
          <w:rFonts w:ascii="宋体" w:hAnsi="宋体" w:cs="宋体"/>
          <w:i/>
          <w:color w:val="000000"/>
          <w:kern w:val="0"/>
          <w:position w:val="-14"/>
        </w:rPr>
        <w:drawing>
          <wp:inline distT="0" distB="0" distL="0" distR="0">
            <wp:extent cx="241300" cy="241300"/>
            <wp:effectExtent l="0" t="0" r="0" b="0"/>
            <wp:docPr id="261" name="图片 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true" noChangeArrowheads="true"/>
                    </pic:cNvPicPr>
                  </pic:nvPicPr>
                  <pic:blipFill>
                    <a:blip r:embed="rId18" cstate="print"/>
                    <a:srcRect/>
                    <a:stretch>
                      <a:fillRect/>
                    </a:stretch>
                  </pic:blipFill>
                  <pic:spPr>
                    <a:xfrm>
                      <a:off x="0" y="0"/>
                      <a:ext cx="241300" cy="24130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主动土压力强度标准值﹑被动土压力强度标准值﹔</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80975" cy="233045"/>
            <wp:effectExtent l="0" t="0" r="0" b="0"/>
            <wp:docPr id="262" name="图片 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true" noChangeArrowheads="true"/>
                    </pic:cNvPicPr>
                  </pic:nvPicPr>
                  <pic:blipFill>
                    <a:blip r:embed="rId19" cstate="print"/>
                    <a:srcRect/>
                    <a:stretch>
                      <a:fillRect/>
                    </a:stretch>
                  </pic:blipFill>
                  <pic:spPr>
                    <a:xfrm>
                      <a:off x="0" y="0"/>
                      <a:ext cx="180975" cy="23304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分布土反力﹔</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224155" cy="224155"/>
            <wp:effectExtent l="0" t="0" r="4445" b="0"/>
            <wp:docPr id="263" name="图片 2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true" noChangeArrowheads="true"/>
                    </pic:cNvPicPr>
                  </pic:nvPicPr>
                  <pic:blipFill>
                    <a:blip r:embed="rId20" cstate="print"/>
                    <a:srcRect/>
                    <a:stretch>
                      <a:fillRect/>
                    </a:stretch>
                  </pic:blipFill>
                  <pic:spPr>
                    <a:xfrm>
                      <a:off x="0" y="0"/>
                      <a:ext cx="22415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分布土反力初始值﹔</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0"/>
        </w:rPr>
        <w:drawing>
          <wp:inline distT="0" distB="0" distL="0" distR="0">
            <wp:extent cx="155575" cy="207010"/>
            <wp:effectExtent l="0" t="0" r="0" b="9525"/>
            <wp:docPr id="264" name="图片 2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true" noChangeArrowheads="true"/>
                    </pic:cNvPicPr>
                  </pic:nvPicPr>
                  <pic:blipFill>
                    <a:blip r:embed="rId21" cstate="print"/>
                    <a:srcRect/>
                    <a:stretch>
                      <a:fillRect/>
                    </a:stretch>
                  </pic:blipFill>
                  <pic:spPr>
                    <a:xfrm>
                      <a:off x="0" y="0"/>
                      <a:ext cx="155575" cy="20701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单井涌（抽水）量﹔</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63830" cy="224155"/>
            <wp:effectExtent l="0" t="0" r="1270" b="0"/>
            <wp:docPr id="265" name="图片 2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true" noChangeArrowheads="true"/>
                    </pic:cNvPicPr>
                  </pic:nvPicPr>
                  <pic:blipFill>
                    <a:blip r:embed="rId22" cstate="print"/>
                    <a:srcRect/>
                    <a:stretch>
                      <a:fillRect/>
                    </a:stretch>
                  </pic:blipFill>
                  <pic:spPr>
                    <a:xfrm>
                      <a:off x="0" y="0"/>
                      <a:ext cx="16383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均布附加荷载标准值﹔</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89865" cy="224155"/>
            <wp:effectExtent l="0" t="0" r="0" b="0"/>
            <wp:docPr id="266" name="图片 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true" noChangeArrowheads="true"/>
                    </pic:cNvPicPr>
                  </pic:nvPicPr>
                  <pic:blipFill>
                    <a:blip r:embed="rId23"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结构构件抗力设计值﹔</w:t>
      </w:r>
    </w:p>
    <w:p>
      <w:pPr>
        <w:widowControl w:val="0"/>
        <w:spacing w:line="360" w:lineRule="auto"/>
        <w:ind w:firstLine="1080" w:firstLineChars="450"/>
        <w:rPr>
          <w:rFonts w:ascii="宋体" w:hAnsi="宋体" w:cs="宋体"/>
          <w:color w:val="000000"/>
          <w:kern w:val="0"/>
          <w:vertAlign w:val="subscript"/>
        </w:rPr>
      </w:pPr>
      <w:r>
        <w:rPr>
          <w:rFonts w:ascii="宋体" w:hAnsi="宋体" w:cs="宋体"/>
          <w:i/>
          <w:color w:val="000000"/>
          <w:kern w:val="0"/>
          <w:position w:val="-12"/>
        </w:rPr>
        <w:drawing>
          <wp:inline distT="0" distB="0" distL="0" distR="0">
            <wp:extent cx="189865" cy="224155"/>
            <wp:effectExtent l="0" t="0" r="0" b="0"/>
            <wp:docPr id="267" name="图片 2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true" noChangeArrowheads="true"/>
                    </pic:cNvPicPr>
                  </pic:nvPicPr>
                  <pic:blipFill>
                    <a:blip r:embed="rId24"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弹性支点水平反力﹔</w:t>
      </w:r>
    </w:p>
    <w:p>
      <w:pPr>
        <w:widowControl w:val="0"/>
        <w:spacing w:line="360" w:lineRule="auto"/>
        <w:ind w:firstLine="1080" w:firstLineChars="450"/>
        <w:rPr>
          <w:rFonts w:ascii="宋体" w:hAnsi="宋体" w:cs="宋体"/>
          <w:kern w:val="0"/>
        </w:rPr>
      </w:pPr>
      <w:r>
        <w:rPr>
          <w:rFonts w:ascii="宋体" w:hAnsi="宋体" w:cs="宋体"/>
          <w:i/>
          <w:kern w:val="0"/>
          <w:position w:val="-12"/>
        </w:rPr>
        <w:drawing>
          <wp:inline distT="0" distB="0" distL="0" distR="0">
            <wp:extent cx="189865" cy="224155"/>
            <wp:effectExtent l="0" t="0" r="0" b="0"/>
            <wp:docPr id="268" name="图片 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true" noChangeArrowheads="true"/>
                    </pic:cNvPicPr>
                  </pic:nvPicPr>
                  <pic:blipFill>
                    <a:blip r:embed="rId25"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kern w:val="0"/>
        </w:rPr>
        <w:t>锚杆或土钉的极限抗拔承载力标准值﹔</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12395" cy="137795"/>
            <wp:effectExtent l="0" t="0" r="0" b="0"/>
            <wp:docPr id="269" name="图片 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true" noChangeArrowheads="true"/>
                    </pic:cNvPicPr>
                  </pic:nvPicPr>
                  <pic:blipFill>
                    <a:blip r:embed="rId26" cstate="print"/>
                    <a:srcRect/>
                    <a:stretch>
                      <a:fillRect/>
                    </a:stretch>
                  </pic:blipFill>
                  <pic:spPr>
                    <a:xfrm>
                      <a:off x="0" y="0"/>
                      <a:ext cx="112395"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固结沉降量﹔</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63830" cy="224155"/>
            <wp:effectExtent l="0" t="0" r="1270" b="0"/>
            <wp:docPr id="270" name="图片 2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true" noChangeArrowheads="true"/>
                    </pic:cNvPicPr>
                  </pic:nvPicPr>
                  <pic:blipFill>
                    <a:blip r:embed="rId27" cstate="print"/>
                    <a:srcRect/>
                    <a:stretch>
                      <a:fillRect/>
                    </a:stretch>
                  </pic:blipFill>
                  <pic:spPr>
                    <a:xfrm>
                      <a:off x="0" y="0"/>
                      <a:ext cx="16383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设计水位降深﹔</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89865" cy="224155"/>
            <wp:effectExtent l="0" t="0" r="0" b="0"/>
            <wp:docPr id="271" name="图片 2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true" noChangeArrowheads="true"/>
                    </pic:cNvPicPr>
                  </pic:nvPicPr>
                  <pic:blipFill>
                    <a:blip r:embed="rId28"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作用组合的效应设计值﹔</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12"/>
        </w:rPr>
        <w:drawing>
          <wp:inline distT="0" distB="0" distL="0" distR="0">
            <wp:extent cx="180975" cy="233045"/>
            <wp:effectExtent l="0" t="0" r="0" b="0"/>
            <wp:docPr id="272" name="图片 2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true" noChangeArrowheads="true"/>
                    </pic:cNvPicPr>
                  </pic:nvPicPr>
                  <pic:blipFill>
                    <a:blip r:embed="rId29" cstate="print"/>
                    <a:srcRect/>
                    <a:stretch>
                      <a:fillRect/>
                    </a:stretch>
                  </pic:blipFill>
                  <pic:spPr>
                    <a:xfrm>
                      <a:off x="0" y="0"/>
                      <a:ext cx="180975" cy="23304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作用标准组合效应﹔</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29540" cy="137795"/>
            <wp:effectExtent l="0" t="0" r="0" b="0"/>
            <wp:docPr id="273" name="图片 2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true" noChangeArrowheads="true"/>
                    </pic:cNvPicPr>
                  </pic:nvPicPr>
                  <pic:blipFill>
                    <a:blip r:embed="rId30" cstate="print"/>
                    <a:srcRect/>
                    <a:stretch>
                      <a:fillRect/>
                    </a:stretch>
                  </pic:blipFill>
                  <pic:spPr>
                    <a:xfrm>
                      <a:off x="0" y="0"/>
                      <a:ext cx="129540"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孔隙水压力﹔</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55575" cy="180975"/>
            <wp:effectExtent l="0" t="0" r="9525" b="0"/>
            <wp:docPr id="274" name="图片 2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true" noChangeArrowheads="true"/>
                    </pic:cNvPicPr>
                  </pic:nvPicPr>
                  <pic:blipFill>
                    <a:blip r:embed="rId31" cstate="print"/>
                    <a:srcRect/>
                    <a:stretch>
                      <a:fillRect/>
                    </a:stretch>
                  </pic:blipFill>
                  <pic:spPr>
                    <a:xfrm>
                      <a:off x="0" y="0"/>
                      <a:ext cx="155575" cy="180975"/>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剪力设计值</w:t>
      </w:r>
      <w:r>
        <w:rPr>
          <w:rFonts w:hint="eastAsia" w:ascii="宋体" w:hAnsi="宋体" w:cs="宋体"/>
          <w:color w:val="000000"/>
          <w:kern w:val="0"/>
        </w:rPr>
        <w:t>﹔</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12"/>
        </w:rPr>
        <w:drawing>
          <wp:inline distT="0" distB="0" distL="0" distR="0">
            <wp:extent cx="163830" cy="224155"/>
            <wp:effectExtent l="0" t="0" r="1270" b="0"/>
            <wp:docPr id="275" name="图片 2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true" noChangeArrowheads="true"/>
                    </pic:cNvPicPr>
                  </pic:nvPicPr>
                  <pic:blipFill>
                    <a:blip r:embed="rId32" cstate="print"/>
                    <a:srcRect/>
                    <a:stretch>
                      <a:fillRect/>
                    </a:stretch>
                  </pic:blipFill>
                  <pic:spPr>
                    <a:xfrm>
                      <a:off x="0" y="0"/>
                      <a:ext cx="16383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作用标准组合的剪力值﹔</w:t>
      </w:r>
    </w:p>
    <w:p>
      <w:pPr>
        <w:widowControl w:val="0"/>
        <w:spacing w:line="360" w:lineRule="auto"/>
        <w:ind w:firstLine="1200" w:firstLineChars="500"/>
        <w:rPr>
          <w:rFonts w:ascii="宋体" w:hAnsi="宋体" w:cs="宋体"/>
          <w:color w:val="000000"/>
          <w:kern w:val="0"/>
        </w:rPr>
      </w:pPr>
      <w:r>
        <w:rPr>
          <w:rFonts w:ascii="宋体" w:hAnsi="宋体" w:cs="宋体"/>
          <w:i/>
          <w:color w:val="000000"/>
          <w:kern w:val="0"/>
          <w:position w:val="-6"/>
        </w:rPr>
        <w:drawing>
          <wp:inline distT="0" distB="0" distL="0" distR="0">
            <wp:extent cx="112395" cy="137795"/>
            <wp:effectExtent l="0" t="0" r="1905" b="0"/>
            <wp:docPr id="276" name="图片 2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true" noChangeArrowheads="true"/>
                    </pic:cNvPicPr>
                  </pic:nvPicPr>
                  <pic:blipFill>
                    <a:blip r:embed="rId33" cstate="print"/>
                    <a:srcRect/>
                    <a:stretch>
                      <a:fillRect/>
                    </a:stretch>
                  </pic:blipFill>
                  <pic:spPr>
                    <a:xfrm>
                      <a:off x="0" y="0"/>
                      <a:ext cx="112395"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挡土构件的水平位移。</w:t>
      </w:r>
    </w:p>
    <w:p>
      <w:pPr>
        <w:widowControl w:val="0"/>
        <w:spacing w:line="360" w:lineRule="auto"/>
        <w:rPr>
          <w:rFonts w:ascii="宋体" w:hAnsi="宋体" w:cs="宋体"/>
          <w:color w:val="000000"/>
          <w:kern w:val="0"/>
        </w:rPr>
      </w:pPr>
      <w:r>
        <w:rPr>
          <w:rFonts w:ascii="Times New Roman" w:hAnsi="Times New Roman"/>
          <w:b/>
          <w:szCs w:val="28"/>
        </w:rPr>
        <w:t>2.2.2</w:t>
      </w:r>
      <w:r>
        <w:rPr>
          <w:rFonts w:ascii="宋体" w:hAnsi="宋体" w:cs="宋体"/>
          <w:color w:val="000000"/>
          <w:kern w:val="0"/>
        </w:rPr>
        <w:t xml:space="preserve"> 材料性能和抗力</w:t>
      </w:r>
    </w:p>
    <w:p>
      <w:pPr>
        <w:widowControl w:val="0"/>
        <w:spacing w:line="360" w:lineRule="auto"/>
        <w:rPr>
          <w:rFonts w:ascii="宋体" w:hAnsi="宋体" w:cs="宋体"/>
          <w:color w:val="000000"/>
          <w:kern w:val="0"/>
        </w:rPr>
      </w:pPr>
      <w:r>
        <w:rPr>
          <w:rFonts w:ascii="宋体" w:hAnsi="宋体" w:cs="宋体"/>
          <w:i/>
          <w:color w:val="000000"/>
          <w:kern w:val="0"/>
          <w:position w:val="-6"/>
        </w:rPr>
        <w:drawing>
          <wp:inline distT="0" distB="0" distL="0" distR="0">
            <wp:extent cx="155575" cy="180975"/>
            <wp:effectExtent l="0" t="0" r="9525" b="0"/>
            <wp:docPr id="277" name="图片 2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true" noChangeArrowheads="true"/>
                    </pic:cNvPicPr>
                  </pic:nvPicPr>
                  <pic:blipFill>
                    <a:blip r:embed="rId34" cstate="print"/>
                    <a:srcRect/>
                    <a:stretch>
                      <a:fillRect/>
                    </a:stretch>
                  </pic:blipFill>
                  <pic:spPr>
                    <a:xfrm>
                      <a:off x="0" y="0"/>
                      <a:ext cx="155575" cy="180975"/>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正常使用极限状态下支护结构位移或建筑物基础、地面沉降的限值</w:t>
      </w:r>
      <w:r>
        <w:rPr>
          <w:rFonts w:hint="eastAsia" w:ascii="宋体" w:hAnsi="宋体" w:cs="宋体"/>
          <w:color w:val="000000"/>
          <w:kern w:val="0"/>
        </w:rPr>
        <w:t>﹔</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6"/>
        </w:rPr>
        <w:drawing>
          <wp:inline distT="0" distB="0" distL="0" distR="0">
            <wp:extent cx="112395" cy="137795"/>
            <wp:effectExtent l="0" t="0" r="0" b="0"/>
            <wp:docPr id="278" name="图片 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true" noChangeArrowheads="true"/>
                    </pic:cNvPicPr>
                  </pic:nvPicPr>
                  <pic:blipFill>
                    <a:blip r:embed="rId35" cstate="print"/>
                    <a:srcRect/>
                    <a:stretch>
                      <a:fillRect/>
                    </a:stretch>
                  </pic:blipFill>
                  <pic:spPr>
                    <a:xfrm>
                      <a:off x="0" y="0"/>
                      <a:ext cx="112395"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土的粘聚力﹔</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4"/>
        </w:rPr>
        <w:drawing>
          <wp:inline distT="0" distB="0" distL="0" distR="0">
            <wp:extent cx="155575" cy="163830"/>
            <wp:effectExtent l="0" t="0" r="0" b="1270"/>
            <wp:docPr id="279" name="图片 2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true" noChangeArrowheads="true"/>
                    </pic:cNvPicPr>
                  </pic:nvPicPr>
                  <pic:blipFill>
                    <a:blip r:embed="rId36" cstate="print"/>
                    <a:srcRect/>
                    <a:stretch>
                      <a:fillRect/>
                    </a:stretch>
                  </pic:blipFill>
                  <pic:spPr>
                    <a:xfrm>
                      <a:off x="0" y="0"/>
                      <a:ext cx="155575"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弹性模量﹔</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189865" cy="224155"/>
            <wp:effectExtent l="0" t="0" r="0" b="0"/>
            <wp:docPr id="280" name="图片 2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true" noChangeArrowheads="true"/>
                    </pic:cNvPicPr>
                  </pic:nvPicPr>
                  <pic:blipFill>
                    <a:blip r:embed="rId37"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锚杆的复合弹性模量﹔</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215900" cy="224155"/>
            <wp:effectExtent l="0" t="0" r="0" b="0"/>
            <wp:docPr id="281" name="图片 2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true" noChangeArrowheads="true"/>
                    </pic:cNvPicPr>
                  </pic:nvPicPr>
                  <pic:blipFill>
                    <a:blip r:embed="rId38" cstate="print"/>
                    <a:srcRect/>
                    <a:stretch>
                      <a:fillRect/>
                    </a:stretch>
                  </pic:blipFill>
                  <pic:spPr>
                    <a:xfrm>
                      <a:off x="0" y="0"/>
                      <a:ext cx="21590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锚杆固结体的弹性模量﹔</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189865" cy="224155"/>
            <wp:effectExtent l="0" t="0" r="0" b="0"/>
            <wp:docPr id="282" name="图片 2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true" noChangeArrowheads="true"/>
                    </pic:cNvPicPr>
                  </pic:nvPicPr>
                  <pic:blipFill>
                    <a:blip r:embed="rId39"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锚杆杆体或支撑的弹性模量或土的压缩模量﹔</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163830" cy="224155"/>
            <wp:effectExtent l="0" t="0" r="0" b="0"/>
            <wp:docPr id="283" name="图片 2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true" noChangeArrowheads="true"/>
                    </pic:cNvPicPr>
                  </pic:nvPicPr>
                  <pic:blipFill>
                    <a:blip r:embed="rId40" cstate="print"/>
                    <a:srcRect/>
                    <a:stretch>
                      <a:fillRect/>
                    </a:stretch>
                  </pic:blipFill>
                  <pic:spPr>
                    <a:xfrm>
                      <a:off x="0" y="0"/>
                      <a:ext cx="16383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混凝土弯曲抗压强度设计值﹔</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215900" cy="224155"/>
            <wp:effectExtent l="0" t="0" r="0" b="0"/>
            <wp:docPr id="284" name="图片 2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true" noChangeArrowheads="true"/>
                    </pic:cNvPicPr>
                  </pic:nvPicPr>
                  <pic:blipFill>
                    <a:blip r:embed="rId41" cstate="print"/>
                    <a:srcRect/>
                    <a:stretch>
                      <a:fillRect/>
                    </a:stretch>
                  </pic:blipFill>
                  <pic:spPr>
                    <a:xfrm>
                      <a:off x="0" y="0"/>
                      <a:ext cx="21590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水泥土开挖龄期时的轴心抗压强度设计值﹔</w:t>
      </w:r>
    </w:p>
    <w:p>
      <w:pPr>
        <w:widowControl w:val="0"/>
        <w:spacing w:line="360" w:lineRule="auto"/>
        <w:ind w:firstLine="960" w:firstLineChars="400"/>
        <w:rPr>
          <w:rFonts w:ascii="宋体" w:hAnsi="宋体" w:cs="宋体"/>
          <w:color w:val="000000"/>
          <w:kern w:val="0"/>
          <w:vertAlign w:val="subscript"/>
        </w:rPr>
      </w:pPr>
      <w:r>
        <w:rPr>
          <w:rFonts w:ascii="宋体" w:hAnsi="宋体" w:cs="宋体"/>
          <w:i/>
          <w:color w:val="000000"/>
          <w:kern w:val="0"/>
          <w:position w:val="-14"/>
        </w:rPr>
        <w:drawing>
          <wp:inline distT="0" distB="0" distL="0" distR="0">
            <wp:extent cx="224155" cy="241300"/>
            <wp:effectExtent l="0" t="0" r="0" b="0"/>
            <wp:docPr id="68"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true" noChangeArrowheads="true"/>
                    </pic:cNvPicPr>
                  </pic:nvPicPr>
                  <pic:blipFill>
                    <a:blip r:embed="rId42" cstate="print"/>
                    <a:srcRect/>
                    <a:stretch>
                      <a:fillRect/>
                    </a:stretch>
                  </pic:blipFill>
                  <pic:spPr>
                    <a:xfrm>
                      <a:off x="0" y="0"/>
                      <a:ext cx="224155" cy="24130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预应力筋的抗拉强度设计值﹔</w:t>
      </w:r>
    </w:p>
    <w:p>
      <w:pPr>
        <w:widowControl w:val="0"/>
        <w:spacing w:line="360" w:lineRule="auto"/>
        <w:ind w:firstLine="240" w:firstLineChars="100"/>
        <w:rPr>
          <w:rFonts w:ascii="宋体" w:hAnsi="宋体" w:cs="宋体"/>
          <w:color w:val="000000"/>
          <w:kern w:val="0"/>
        </w:rPr>
      </w:pPr>
      <w:r>
        <w:rPr>
          <w:rFonts w:ascii="宋体" w:hAnsi="宋体" w:cs="宋体"/>
          <w:color w:val="000000"/>
          <w:kern w:val="0"/>
          <w:position w:val="-14"/>
        </w:rPr>
        <w:drawing>
          <wp:inline distT="0" distB="0" distL="0" distR="0">
            <wp:extent cx="180975" cy="241300"/>
            <wp:effectExtent l="0" t="0" r="0" b="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noChangeArrowheads="true"/>
                    </pic:cNvPicPr>
                  </pic:nvPicPr>
                  <pic:blipFill>
                    <a:blip r:embed="rId43" cstate="print"/>
                    <a:srcRect/>
                    <a:stretch>
                      <a:fillRect/>
                    </a:stretch>
                  </pic:blipFill>
                  <pic:spPr>
                    <a:xfrm>
                      <a:off x="0" y="0"/>
                      <a:ext cx="180975" cy="24130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钢筋的抗拉强度设计值﹔</w:t>
      </w:r>
    </w:p>
    <w:p>
      <w:pPr>
        <w:widowControl w:val="0"/>
        <w:spacing w:line="360" w:lineRule="auto"/>
        <w:ind w:firstLine="240" w:firstLineChars="100"/>
        <w:rPr>
          <w:rFonts w:ascii="宋体" w:hAnsi="宋体" w:cs="宋体"/>
          <w:color w:val="000000"/>
          <w:kern w:val="0"/>
        </w:rPr>
      </w:pPr>
      <w:r>
        <w:rPr>
          <w:rFonts w:ascii="宋体" w:hAnsi="宋体" w:cs="宋体"/>
          <w:i/>
          <w:color w:val="000000"/>
          <w:kern w:val="0"/>
          <w:position w:val="-4"/>
        </w:rPr>
        <w:drawing>
          <wp:inline distT="0" distB="0" distL="0" distR="0">
            <wp:extent cx="180975" cy="163830"/>
            <wp:effectExtent l="0" t="0" r="9525" b="1270"/>
            <wp:docPr id="75"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true" noChangeArrowheads="true"/>
                    </pic:cNvPicPr>
                  </pic:nvPicPr>
                  <pic:blipFill>
                    <a:blip r:embed="rId44" cstate="print"/>
                    <a:srcRect/>
                    <a:stretch>
                      <a:fillRect/>
                    </a:stretch>
                  </pic:blipFill>
                  <pic:spPr>
                    <a:xfrm>
                      <a:off x="0" y="0"/>
                      <a:ext cx="180975"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潜水初始含水层厚度﹔</w:t>
      </w:r>
    </w:p>
    <w:p>
      <w:pPr>
        <w:widowControl w:val="0"/>
        <w:spacing w:line="360" w:lineRule="auto"/>
        <w:ind w:firstLine="1080" w:firstLineChars="450"/>
        <w:rPr>
          <w:rFonts w:ascii="宋体" w:hAnsi="宋体" w:cs="宋体"/>
          <w:color w:val="000000"/>
          <w:kern w:val="0"/>
        </w:rPr>
      </w:pPr>
      <w:r>
        <w:rPr>
          <w:rFonts w:ascii="宋体" w:hAnsi="宋体" w:cs="宋体"/>
          <w:i/>
          <w:color w:val="000000"/>
          <w:kern w:val="0"/>
          <w:position w:val="-6"/>
        </w:rPr>
        <w:drawing>
          <wp:inline distT="0" distB="0" distL="0" distR="0">
            <wp:extent cx="129540" cy="180975"/>
            <wp:effectExtent l="0" t="0" r="0" b="0"/>
            <wp:docPr id="294" name="图片 2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true" noChangeArrowheads="true"/>
                    </pic:cNvPicPr>
                  </pic:nvPicPr>
                  <pic:blipFill>
                    <a:blip r:embed="rId45" cstate="print"/>
                    <a:srcRect/>
                    <a:stretch>
                      <a:fillRect/>
                    </a:stretch>
                  </pic:blipFill>
                  <pic:spPr>
                    <a:xfrm>
                      <a:off x="0" y="0"/>
                      <a:ext cx="129540"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土的渗透系数﹔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4"/>
        </w:rPr>
        <w:drawing>
          <wp:inline distT="0" distB="0" distL="0" distR="0">
            <wp:extent cx="207010" cy="163830"/>
            <wp:effectExtent l="0" t="0" r="0" b="1270"/>
            <wp:docPr id="295" name="图片 2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true" noChangeArrowheads="true"/>
                    </pic:cNvPicPr>
                  </pic:nvPicPr>
                  <pic:blipFill>
                    <a:blip r:embed="rId46" cstate="print"/>
                    <a:srcRect/>
                    <a:stretch>
                      <a:fillRect/>
                    </a:stretch>
                  </pic:blipFill>
                  <pic:spPr>
                    <a:xfrm>
                      <a:off x="0" y="0"/>
                      <a:ext cx="207010"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含水层厚度﹔</w:t>
      </w:r>
    </w:p>
    <w:p>
      <w:pPr>
        <w:widowControl w:val="0"/>
        <w:spacing w:line="360" w:lineRule="auto"/>
        <w:ind w:firstLine="840" w:firstLineChars="350"/>
        <w:rPr>
          <w:rFonts w:ascii="宋体" w:hAnsi="宋体" w:cs="宋体"/>
          <w:color w:val="000000"/>
          <w:kern w:val="0"/>
          <w:vertAlign w:val="subscript"/>
        </w:rPr>
      </w:pPr>
      <w:r>
        <w:rPr>
          <w:rFonts w:ascii="宋体" w:hAnsi="宋体" w:cs="宋体"/>
          <w:i/>
          <w:color w:val="000000"/>
          <w:kern w:val="0"/>
          <w:position w:val="-12"/>
        </w:rPr>
        <w:drawing>
          <wp:inline distT="0" distB="0" distL="0" distR="0">
            <wp:extent cx="207010" cy="224155"/>
            <wp:effectExtent l="0" t="0" r="8890" b="0"/>
            <wp:docPr id="297" name="图片 2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true" noChangeArrowheads="true"/>
                    </pic:cNvPicPr>
                  </pic:nvPicPr>
                  <pic:blipFill>
                    <a:blip r:embed="rId47" cstate="print"/>
                    <a:srcRect/>
                    <a:stretch>
                      <a:fillRect/>
                    </a:stretch>
                  </pic:blipFill>
                  <pic:spPr>
                    <a:xfrm>
                      <a:off x="0" y="0"/>
                      <a:ext cx="20701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土与锚杆或土钉的极限粘结强度标准值﹔</w:t>
      </w:r>
    </w:p>
    <w:p>
      <w:pPr>
        <w:widowControl w:val="0"/>
        <w:spacing w:line="360" w:lineRule="auto"/>
        <w:ind w:firstLine="960" w:firstLineChars="400"/>
        <w:rPr>
          <w:rFonts w:ascii="宋体" w:hAnsi="宋体" w:cs="宋体"/>
          <w:kern w:val="0"/>
        </w:rPr>
      </w:pPr>
      <w:r>
        <w:rPr>
          <w:rFonts w:ascii="宋体" w:hAnsi="宋体" w:cs="宋体"/>
          <w:i/>
          <w:kern w:val="0"/>
          <w:position w:val="-12"/>
        </w:rPr>
        <w:drawing>
          <wp:inline distT="0" distB="0" distL="0" distR="0">
            <wp:extent cx="189865" cy="224155"/>
            <wp:effectExtent l="0" t="0" r="0" b="0"/>
            <wp:docPr id="298" name="图片 2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true" noChangeArrowheads="true"/>
                    </pic:cNvPicPr>
                  </pic:nvPicPr>
                  <pic:blipFill>
                    <a:blip r:embed="rId48"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kern w:val="0"/>
        </w:rPr>
        <w:t>锚杆或土钉墙的极限抗拔承载力标准值﹔</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4"/>
        </w:rPr>
        <w:drawing>
          <wp:inline distT="0" distB="0" distL="0" distR="0">
            <wp:extent cx="155575" cy="163830"/>
            <wp:effectExtent l="0" t="0" r="0" b="1270"/>
            <wp:docPr id="299" name="图片 2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true" noChangeArrowheads="true"/>
                    </pic:cNvPicPr>
                  </pic:nvPicPr>
                  <pic:blipFill>
                    <a:blip r:embed="rId49" cstate="print"/>
                    <a:srcRect/>
                    <a:stretch>
                      <a:fillRect/>
                    </a:stretch>
                  </pic:blipFill>
                  <pic:spPr>
                    <a:xfrm>
                      <a:off x="0" y="0"/>
                      <a:ext cx="155575"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影响半径﹔</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207010" cy="224155"/>
            <wp:effectExtent l="0" t="0" r="0" b="0"/>
            <wp:docPr id="301" name="图片 3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true" noChangeArrowheads="true"/>
                    </pic:cNvPicPr>
                  </pic:nvPicPr>
                  <pic:blipFill>
                    <a:blip r:embed="rId50" cstate="print"/>
                    <a:srcRect/>
                    <a:stretch>
                      <a:fillRect/>
                    </a:stretch>
                  </pic:blipFill>
                  <pic:spPr>
                    <a:xfrm>
                      <a:off x="0" y="0"/>
                      <a:ext cx="20701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水泥土墙的重度﹔</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0"/>
        </w:rPr>
        <w:drawing>
          <wp:inline distT="0" distB="0" distL="0" distR="0">
            <wp:extent cx="129540" cy="163830"/>
            <wp:effectExtent l="0" t="0" r="10160" b="0"/>
            <wp:docPr id="302" name="图片 3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true" noChangeArrowheads="true"/>
                    </pic:cNvPicPr>
                  </pic:nvPicPr>
                  <pic:blipFill>
                    <a:blip r:embed="rId51" cstate="print"/>
                    <a:srcRect/>
                    <a:stretch>
                      <a:fillRect/>
                    </a:stretch>
                  </pic:blipFill>
                  <pic:spPr>
                    <a:xfrm>
                      <a:off x="0" y="0"/>
                      <a:ext cx="129540"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土的天然重度﹔</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207010" cy="224155"/>
            <wp:effectExtent l="0" t="0" r="0" b="0"/>
            <wp:docPr id="303" name="图片 3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true" noChangeArrowheads="true"/>
                    </pic:cNvPicPr>
                  </pic:nvPicPr>
                  <pic:blipFill>
                    <a:blip r:embed="rId52" cstate="print"/>
                    <a:srcRect/>
                    <a:stretch>
                      <a:fillRect/>
                    </a:stretch>
                  </pic:blipFill>
                  <pic:spPr>
                    <a:xfrm>
                      <a:off x="0" y="0"/>
                      <a:ext cx="20701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地下水的重度﹔</w:t>
      </w:r>
    </w:p>
    <w:p>
      <w:pPr>
        <w:widowControl w:val="0"/>
        <w:spacing w:line="360" w:lineRule="auto"/>
        <w:ind w:firstLine="960" w:firstLineChars="400"/>
        <w:rPr>
          <w:rFonts w:ascii="宋体" w:hAnsi="宋体" w:cs="宋体"/>
          <w:color w:val="000000"/>
          <w:kern w:val="0"/>
        </w:rPr>
      </w:pPr>
      <w:r>
        <w:rPr>
          <w:position w:val="-10"/>
        </w:rPr>
        <w:drawing>
          <wp:inline distT="0" distB="0" distL="0" distR="0">
            <wp:extent cx="137795" cy="163830"/>
            <wp:effectExtent l="0" t="0" r="1905" b="0"/>
            <wp:docPr id="308" name="图片 3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true" noChangeArrowheads="true"/>
                    </pic:cNvPicPr>
                  </pic:nvPicPr>
                  <pic:blipFill>
                    <a:blip r:embed="rId53" cstate="print"/>
                    <a:srcRect/>
                    <a:stretch>
                      <a:fillRect/>
                    </a:stretch>
                  </pic:blipFill>
                  <pic:spPr>
                    <a:xfrm>
                      <a:off x="0" y="0"/>
                      <a:ext cx="137795"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土的内摩擦角﹔</w:t>
      </w:r>
    </w:p>
    <w:p>
      <w:pPr>
        <w:widowControl w:val="0"/>
        <w:spacing w:line="360" w:lineRule="auto"/>
        <w:rPr>
          <w:rFonts w:ascii="宋体" w:hAnsi="宋体" w:cs="宋体"/>
          <w:color w:val="000000"/>
          <w:kern w:val="0"/>
        </w:rPr>
      </w:pPr>
      <w:r>
        <w:rPr>
          <w:rFonts w:ascii="Times New Roman" w:hAnsi="Times New Roman"/>
          <w:b/>
          <w:szCs w:val="28"/>
        </w:rPr>
        <w:t>2.2.3</w:t>
      </w:r>
      <w:r>
        <w:rPr>
          <w:rFonts w:ascii="宋体" w:hAnsi="宋体" w:cs="宋体"/>
          <w:color w:val="000000"/>
          <w:kern w:val="0"/>
        </w:rPr>
        <w:t xml:space="preserve"> 几何参数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4"/>
        </w:rPr>
        <w:drawing>
          <wp:inline distT="0" distB="0" distL="0" distR="0">
            <wp:extent cx="155575" cy="163830"/>
            <wp:effectExtent l="0" t="0" r="9525" b="1270"/>
            <wp:docPr id="310" name="图片 3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true" noChangeArrowheads="true"/>
                    </pic:cNvPicPr>
                  </pic:nvPicPr>
                  <pic:blipFill>
                    <a:blip r:embed="rId54" cstate="print"/>
                    <a:srcRect/>
                    <a:stretch>
                      <a:fillRect/>
                    </a:stretch>
                  </pic:blipFill>
                  <pic:spPr>
                    <a:xfrm>
                      <a:off x="0" y="0"/>
                      <a:ext cx="155575"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构件的截面面积﹔</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4"/>
        </w:rPr>
        <w:drawing>
          <wp:inline distT="0" distB="0" distL="0" distR="0">
            <wp:extent cx="207010" cy="241300"/>
            <wp:effectExtent l="0" t="0" r="0" b="0"/>
            <wp:docPr id="311" name="图片 3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true" noChangeArrowheads="true"/>
                    </pic:cNvPicPr>
                  </pic:nvPicPr>
                  <pic:blipFill>
                    <a:blip r:embed="rId55" cstate="print"/>
                    <a:srcRect/>
                    <a:stretch>
                      <a:fillRect/>
                    </a:stretch>
                  </pic:blipFill>
                  <pic:spPr>
                    <a:xfrm>
                      <a:off x="0" y="0"/>
                      <a:ext cx="207010" cy="24130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预应力钢筋的截面面积﹔</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180975" cy="233045"/>
            <wp:effectExtent l="0" t="0" r="0" b="0"/>
            <wp:docPr id="312" name="图片 3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true" noChangeArrowheads="true"/>
                    </pic:cNvPicPr>
                  </pic:nvPicPr>
                  <pic:blipFill>
                    <a:blip r:embed="rId56" cstate="print"/>
                    <a:srcRect/>
                    <a:stretch>
                      <a:fillRect/>
                    </a:stretch>
                  </pic:blipFill>
                  <pic:spPr>
                    <a:xfrm>
                      <a:off x="0" y="0"/>
                      <a:ext cx="180975" cy="23304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普通钢筋的截面面积﹔</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29540" cy="180975"/>
            <wp:effectExtent l="0" t="0" r="0" b="0"/>
            <wp:docPr id="313" name="图片 3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true" noChangeArrowheads="true"/>
                    </pic:cNvPicPr>
                  </pic:nvPicPr>
                  <pic:blipFill>
                    <a:blip r:embed="rId57" cstate="print"/>
                    <a:srcRect/>
                    <a:stretch>
                      <a:fillRect/>
                    </a:stretch>
                  </pic:blipFill>
                  <pic:spPr>
                    <a:xfrm>
                      <a:off x="0" y="0"/>
                      <a:ext cx="129540"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截面宽度﹔</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37795" cy="180975"/>
            <wp:effectExtent l="0" t="0" r="0" b="0"/>
            <wp:docPr id="314" name="图片 3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true" noChangeArrowheads="true"/>
                    </pic:cNvPicPr>
                  </pic:nvPicPr>
                  <pic:blipFill>
                    <a:blip r:embed="rId58" cstate="print"/>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桩、锚杆、土钉的直径或基础埋置深度﹔</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29540" cy="180975"/>
            <wp:effectExtent l="0" t="0" r="0" b="0"/>
            <wp:docPr id="315" name="图片 3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true" noChangeArrowheads="true"/>
                    </pic:cNvPicPr>
                  </pic:nvPicPr>
                  <pic:blipFill>
                    <a:blip r:embed="rId59" cstate="print"/>
                    <a:srcRect/>
                    <a:stretch>
                      <a:fillRect/>
                    </a:stretch>
                  </pic:blipFill>
                  <pic:spPr>
                    <a:xfrm>
                      <a:off x="0" y="0"/>
                      <a:ext cx="129540" cy="180975"/>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基坑深度或构件截面高度</w:t>
      </w:r>
      <w:r>
        <w:rPr>
          <w:rFonts w:hint="eastAsia" w:ascii="宋体" w:hAnsi="宋体" w:cs="宋体"/>
          <w:color w:val="000000"/>
          <w:kern w:val="0"/>
        </w:rPr>
        <w:t>﹔</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155575" cy="224155"/>
            <wp:effectExtent l="0" t="0" r="9525" b="0"/>
            <wp:docPr id="316" name="图片 3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true" noChangeArrowheads="true"/>
                    </pic:cNvPicPr>
                  </pic:nvPicPr>
                  <pic:blipFill>
                    <a:blip r:embed="rId60" cstate="print"/>
                    <a:srcRect/>
                    <a:stretch>
                      <a:fillRect/>
                    </a:stretch>
                  </pic:blipFill>
                  <pic:spPr>
                    <a:xfrm>
                      <a:off x="0" y="0"/>
                      <a:ext cx="15557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受压支撑构件的长度﹔</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4"/>
        </w:rPr>
        <w:drawing>
          <wp:inline distT="0" distB="0" distL="0" distR="0">
            <wp:extent cx="207010" cy="163830"/>
            <wp:effectExtent l="0" t="0" r="0" b="1270"/>
            <wp:docPr id="317" name="图片 3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true" noChangeArrowheads="true"/>
                    </pic:cNvPicPr>
                  </pic:nvPicPr>
                  <pic:blipFill>
                    <a:blip r:embed="rId61" cstate="print"/>
                    <a:srcRect/>
                    <a:stretch>
                      <a:fillRect/>
                    </a:stretch>
                  </pic:blipFill>
                  <pic:spPr>
                    <a:xfrm>
                      <a:off x="0" y="0"/>
                      <a:ext cx="207010"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承压含水层厚度﹔</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180975" cy="233045"/>
            <wp:effectExtent l="0" t="0" r="0" b="0"/>
            <wp:docPr id="318" name="图片 3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true" noChangeArrowheads="true"/>
                    </pic:cNvPicPr>
                  </pic:nvPicPr>
                  <pic:blipFill>
                    <a:blip r:embed="rId62" cstate="print"/>
                    <a:srcRect/>
                    <a:stretch>
                      <a:fillRect/>
                    </a:stretch>
                  </pic:blipFill>
                  <pic:spPr>
                    <a:xfrm>
                      <a:off x="0" y="0"/>
                      <a:ext cx="180975" cy="23304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降水井半径﹔</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37795" cy="180975"/>
            <wp:effectExtent l="0" t="0" r="1905" b="0"/>
            <wp:docPr id="319" name="图片 3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true" noChangeArrowheads="true"/>
                    </pic:cNvPicPr>
                  </pic:nvPicPr>
                  <pic:blipFill>
                    <a:blip r:embed="rId63" cstate="print"/>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锚杆间距﹔</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55575" cy="137795"/>
            <wp:effectExtent l="0" t="0" r="0" b="0"/>
            <wp:docPr id="320" name="图片 3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true" noChangeArrowheads="true"/>
                    </pic:cNvPicPr>
                  </pic:nvPicPr>
                  <pic:blipFill>
                    <a:blip r:embed="rId64" cstate="print"/>
                    <a:srcRect/>
                    <a:stretch>
                      <a:fillRect/>
                    </a:stretch>
                  </pic:blipFill>
                  <pic:spPr>
                    <a:xfrm>
                      <a:off x="0" y="0"/>
                      <a:ext cx="155575"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锚杆、土钉的倾角或支撑轴线与水平面的夹角﹔</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29540" cy="180975"/>
            <wp:effectExtent l="0" t="0" r="0" b="0"/>
            <wp:docPr id="321" name="图片 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true" noChangeArrowheads="true"/>
                    </pic:cNvPicPr>
                  </pic:nvPicPr>
                  <pic:blipFill>
                    <a:blip r:embed="rId65" cstate="print"/>
                    <a:srcRect/>
                    <a:stretch>
                      <a:fillRect/>
                    </a:stretch>
                  </pic:blipFill>
                  <pic:spPr>
                    <a:xfrm>
                      <a:off x="0" y="0"/>
                      <a:ext cx="129540"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滑弧面法线与垂直面夹角﹔</w:t>
      </w:r>
    </w:p>
    <w:p>
      <w:pPr>
        <w:widowControl w:val="0"/>
        <w:spacing w:line="360" w:lineRule="auto"/>
        <w:rPr>
          <w:rFonts w:ascii="宋体" w:hAnsi="宋体" w:cs="宋体"/>
          <w:color w:val="000000"/>
          <w:kern w:val="0"/>
        </w:rPr>
      </w:pPr>
      <w:r>
        <w:rPr>
          <w:rFonts w:ascii="Times New Roman" w:hAnsi="Times New Roman"/>
          <w:b/>
          <w:szCs w:val="28"/>
        </w:rPr>
        <w:t xml:space="preserve">2.2.4 </w:t>
      </w:r>
      <w:r>
        <w:rPr>
          <w:rFonts w:ascii="宋体" w:hAnsi="宋体" w:cs="宋体"/>
          <w:color w:val="000000"/>
          <w:kern w:val="0"/>
        </w:rPr>
        <w:t>设计参数和计算系数</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163830" cy="224155"/>
            <wp:effectExtent l="0" t="0" r="0" b="0"/>
            <wp:docPr id="322" name="图片 3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true" noChangeArrowheads="true"/>
                    </pic:cNvPicPr>
                  </pic:nvPicPr>
                  <pic:blipFill>
                    <a:blip r:embed="rId66" cstate="print"/>
                    <a:srcRect/>
                    <a:stretch>
                      <a:fillRect/>
                    </a:stretch>
                  </pic:blipFill>
                  <pic:spPr>
                    <a:xfrm>
                      <a:off x="0" y="0"/>
                      <a:ext cx="16383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土的水平反力系数﹔</w:t>
      </w:r>
    </w:p>
    <w:p>
      <w:pPr>
        <w:widowControl w:val="0"/>
        <w:spacing w:line="360" w:lineRule="auto"/>
        <w:ind w:firstLine="840" w:firstLineChars="350"/>
        <w:rPr>
          <w:rFonts w:ascii="宋体" w:hAnsi="宋体" w:cs="宋体"/>
          <w:color w:val="000000"/>
          <w:kern w:val="0"/>
          <w:vertAlign w:val="subscript"/>
        </w:rPr>
      </w:pPr>
      <w:r>
        <w:rPr>
          <w:rFonts w:ascii="宋体" w:hAnsi="宋体" w:cs="宋体"/>
          <w:i/>
          <w:color w:val="000000"/>
          <w:kern w:val="0"/>
          <w:position w:val="-12"/>
        </w:rPr>
        <w:drawing>
          <wp:inline distT="0" distB="0" distL="0" distR="0">
            <wp:extent cx="180975" cy="233045"/>
            <wp:effectExtent l="0" t="0" r="9525" b="0"/>
            <wp:docPr id="323" name="图片 3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true" noChangeArrowheads="true"/>
                    </pic:cNvPicPr>
                  </pic:nvPicPr>
                  <pic:blipFill>
                    <a:blip r:embed="rId67" cstate="print"/>
                    <a:srcRect/>
                    <a:stretch>
                      <a:fillRect/>
                    </a:stretch>
                  </pic:blipFill>
                  <pic:spPr>
                    <a:xfrm>
                      <a:off x="0" y="0"/>
                      <a:ext cx="180975" cy="23304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弹性支点轴向刚度系数﹔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4"/>
        </w:rPr>
        <w:drawing>
          <wp:inline distT="0" distB="0" distL="0" distR="0">
            <wp:extent cx="163830" cy="163830"/>
            <wp:effectExtent l="0" t="0" r="1270" b="1270"/>
            <wp:docPr id="324" name="图片 3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true" noChangeArrowheads="true"/>
                    </pic:cNvPicPr>
                  </pic:nvPicPr>
                  <pic:blipFill>
                    <a:blip r:embed="rId68" cstate="print"/>
                    <a:srcRect/>
                    <a:stretch>
                      <a:fillRect/>
                    </a:stretch>
                  </pic:blipFill>
                  <pic:spPr>
                    <a:xfrm>
                      <a:off x="0" y="0"/>
                      <a:ext cx="163830" cy="163830"/>
                    </a:xfrm>
                    <a:prstGeom prst="rect">
                      <a:avLst/>
                    </a:prstGeom>
                    <a:noFill/>
                    <a:ln w="9525">
                      <a:noFill/>
                      <a:miter lim="800000"/>
                      <a:headEnd/>
                      <a:tailEnd/>
                    </a:ln>
                  </pic:spPr>
                </pic:pic>
              </a:graphicData>
            </a:graphic>
          </wp:inline>
        </w:drawing>
      </w:r>
      <w:r>
        <w:rPr>
          <w:rFonts w:ascii="Times New Roman" w:hAnsi="Times New Roman"/>
          <w:szCs w:val="24"/>
        </w:rPr>
        <w:t>——</w:t>
      </w:r>
      <w:r>
        <w:rPr>
          <w:rFonts w:ascii="宋体" w:hAnsi="宋体" w:cs="宋体"/>
          <w:color w:val="000000"/>
          <w:kern w:val="0"/>
        </w:rPr>
        <w:t>安全系数</w:t>
      </w:r>
      <w:r>
        <w:rPr>
          <w:rFonts w:hint="eastAsia" w:ascii="宋体" w:hAnsi="宋体" w:cs="宋体"/>
          <w:color w:val="000000"/>
          <w:kern w:val="0"/>
        </w:rPr>
        <w:t>﹔</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215900" cy="224155"/>
            <wp:effectExtent l="0" t="0" r="0" b="0"/>
            <wp:docPr id="325" name="图片 3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true" noChangeArrowheads="true"/>
                    </pic:cNvPicPr>
                  </pic:nvPicPr>
                  <pic:blipFill>
                    <a:blip r:embed="rId69" cstate="print"/>
                    <a:srcRect/>
                    <a:stretch>
                      <a:fillRect/>
                    </a:stretch>
                  </pic:blipFill>
                  <pic:spPr>
                    <a:xfrm>
                      <a:off x="0" y="0"/>
                      <a:ext cx="21590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主动土压力系数﹔</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207010" cy="224155"/>
            <wp:effectExtent l="0" t="0" r="8890" b="0"/>
            <wp:docPr id="326" name="图片 3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true" noChangeArrowheads="true"/>
                    </pic:cNvPicPr>
                  </pic:nvPicPr>
                  <pic:blipFill>
                    <a:blip r:embed="rId70" cstate="print"/>
                    <a:srcRect/>
                    <a:stretch>
                      <a:fillRect/>
                    </a:stretch>
                  </pic:blipFill>
                  <pic:spPr>
                    <a:xfrm>
                      <a:off x="0" y="0"/>
                      <a:ext cx="20701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嵌固稳定</w:t>
      </w:r>
      <w:r>
        <w:rPr>
          <w:rFonts w:ascii="宋体" w:hAnsi="宋体" w:cs="宋体"/>
          <w:color w:val="000000"/>
          <w:kern w:val="0"/>
        </w:rPr>
        <w:t>安全系数</w:t>
      </w:r>
      <w:r>
        <w:rPr>
          <w:rFonts w:hint="eastAsia" w:ascii="宋体" w:hAnsi="宋体" w:cs="宋体"/>
          <w:color w:val="000000"/>
          <w:kern w:val="0"/>
        </w:rPr>
        <w:t>﹔</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2"/>
        </w:rPr>
        <w:drawing>
          <wp:inline distT="0" distB="0" distL="0" distR="0">
            <wp:extent cx="207010" cy="224155"/>
            <wp:effectExtent l="0" t="0" r="8890" b="0"/>
            <wp:docPr id="327" name="图片 3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true" noChangeArrowheads="true"/>
                    </pic:cNvPicPr>
                  </pic:nvPicPr>
                  <pic:blipFill>
                    <a:blip r:embed="rId71" cstate="print"/>
                    <a:srcRect/>
                    <a:stretch>
                      <a:fillRect/>
                    </a:stretch>
                  </pic:blipFill>
                  <pic:spPr>
                    <a:xfrm>
                      <a:off x="0" y="0"/>
                      <a:ext cx="20701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静止土压力系数﹔</w:t>
      </w:r>
    </w:p>
    <w:p>
      <w:pPr>
        <w:widowControl w:val="0"/>
        <w:spacing w:line="360" w:lineRule="auto"/>
        <w:ind w:firstLine="840" w:firstLineChars="350"/>
        <w:rPr>
          <w:rFonts w:ascii="宋体" w:hAnsi="宋体" w:cs="宋体"/>
          <w:color w:val="000000"/>
          <w:kern w:val="0"/>
        </w:rPr>
      </w:pPr>
      <w:r>
        <w:rPr>
          <w:rFonts w:ascii="宋体" w:hAnsi="宋体" w:cs="宋体"/>
          <w:i/>
          <w:color w:val="000000"/>
          <w:kern w:val="0"/>
          <w:position w:val="-14"/>
        </w:rPr>
        <w:drawing>
          <wp:inline distT="0" distB="0" distL="0" distR="0">
            <wp:extent cx="215900" cy="241300"/>
            <wp:effectExtent l="0" t="0" r="0" b="0"/>
            <wp:docPr id="330" name="图片 3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true" noChangeArrowheads="true"/>
                    </pic:cNvPicPr>
                  </pic:nvPicPr>
                  <pic:blipFill>
                    <a:blip r:embed="rId72" cstate="print"/>
                    <a:srcRect/>
                    <a:stretch>
                      <a:fillRect/>
                    </a:stretch>
                  </pic:blipFill>
                  <pic:spPr>
                    <a:xfrm>
                      <a:off x="0" y="0"/>
                      <a:ext cx="215900" cy="24130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被动土压力系数﹔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63830" cy="137795"/>
            <wp:effectExtent l="0" t="0" r="0" b="0"/>
            <wp:docPr id="332" name="图片 3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true" noChangeArrowheads="true"/>
                    </pic:cNvPicPr>
                  </pic:nvPicPr>
                  <pic:blipFill>
                    <a:blip r:embed="rId73" cstate="print"/>
                    <a:srcRect/>
                    <a:stretch>
                      <a:fillRect/>
                    </a:stretch>
                  </pic:blipFill>
                  <pic:spPr>
                    <a:xfrm>
                      <a:off x="0" y="0"/>
                      <a:ext cx="163830"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土的水平反力系数的比例系数﹔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55575" cy="137795"/>
            <wp:effectExtent l="0" t="0" r="0" b="0"/>
            <wp:docPr id="333" name="图片 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true" noChangeArrowheads="true"/>
                    </pic:cNvPicPr>
                  </pic:nvPicPr>
                  <pic:blipFill>
                    <a:blip r:embed="rId74" cstate="print"/>
                    <a:srcRect/>
                    <a:stretch>
                      <a:fillRect/>
                    </a:stretch>
                  </pic:blipFill>
                  <pic:spPr>
                    <a:xfrm>
                      <a:off x="0" y="0"/>
                      <a:ext cx="155575" cy="13779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支撑松弛系数﹔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189865" cy="224155"/>
            <wp:effectExtent l="0" t="0" r="0" b="0"/>
            <wp:docPr id="334" name="图片 3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true" noChangeArrowheads="true"/>
                    </pic:cNvPicPr>
                  </pic:nvPicPr>
                  <pic:blipFill>
                    <a:blip r:embed="rId75" cstate="print"/>
                    <a:srcRect/>
                    <a:stretch>
                      <a:fillRect/>
                    </a:stretch>
                  </pic:blipFill>
                  <pic:spPr>
                    <a:xfrm>
                      <a:off x="0" y="0"/>
                      <a:ext cx="189865"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作用基本组合的综合分项系数﹔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2"/>
        </w:rPr>
        <w:drawing>
          <wp:inline distT="0" distB="0" distL="0" distR="0">
            <wp:extent cx="163830" cy="224155"/>
            <wp:effectExtent l="0" t="0" r="1270" b="0"/>
            <wp:docPr id="335" name="图片 3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true" noChangeArrowheads="true"/>
                    </pic:cNvPicPr>
                  </pic:nvPicPr>
                  <pic:blipFill>
                    <a:blip r:embed="rId76" cstate="print"/>
                    <a:srcRect/>
                    <a:stretch>
                      <a:fillRect/>
                    </a:stretch>
                  </pic:blipFill>
                  <pic:spPr>
                    <a:xfrm>
                      <a:off x="0" y="0"/>
                      <a:ext cx="163830" cy="22415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支护结构重要性系数﹔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10"/>
        </w:rPr>
        <w:drawing>
          <wp:inline distT="0" distB="0" distL="0" distR="0">
            <wp:extent cx="155575" cy="207010"/>
            <wp:effectExtent l="0" t="0" r="0" b="0"/>
            <wp:docPr id="336" name="图片 3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true" noChangeArrowheads="true"/>
                    </pic:cNvPicPr>
                  </pic:nvPicPr>
                  <pic:blipFill>
                    <a:blip r:embed="rId77" cstate="print"/>
                    <a:srcRect/>
                    <a:stretch>
                      <a:fillRect/>
                    </a:stretch>
                  </pic:blipFill>
                  <pic:spPr>
                    <a:xfrm>
                      <a:off x="0" y="0"/>
                      <a:ext cx="155575" cy="20701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主动土压力折减系数﹔</w:t>
      </w:r>
    </w:p>
    <w:p>
      <w:pPr>
        <w:widowControl w:val="0"/>
        <w:spacing w:line="360" w:lineRule="auto"/>
        <w:ind w:firstLine="960" w:firstLineChars="400"/>
        <w:rPr>
          <w:rFonts w:ascii="宋体" w:hAnsi="宋体" w:cs="宋体"/>
          <w:color w:val="000000"/>
          <w:kern w:val="0"/>
        </w:rPr>
      </w:pPr>
      <w:r>
        <w:rPr>
          <w:rFonts w:ascii="宋体" w:hAnsi="宋体" w:cs="宋体"/>
          <w:i/>
          <w:color w:val="000000"/>
          <w:kern w:val="0"/>
          <w:position w:val="-6"/>
        </w:rPr>
        <w:drawing>
          <wp:inline distT="0" distB="0" distL="0" distR="0">
            <wp:extent cx="137795" cy="180975"/>
            <wp:effectExtent l="0" t="0" r="0" b="0"/>
            <wp:docPr id="338" name="图片 3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true" noChangeArrowheads="true"/>
                    </pic:cNvPicPr>
                  </pic:nvPicPr>
                  <pic:blipFill>
                    <a:blip r:embed="rId78" cstate="print"/>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支撑不动点调整系数﹔</w:t>
      </w:r>
    </w:p>
    <w:p>
      <w:pPr>
        <w:widowControl w:val="0"/>
        <w:ind w:firstLine="960" w:firstLineChars="400"/>
        <w:rPr>
          <w:rFonts w:ascii="宋体" w:hAnsi="宋体" w:cs="宋体"/>
          <w:color w:val="000000"/>
          <w:kern w:val="0"/>
        </w:rPr>
      </w:pPr>
      <w:r>
        <w:rPr>
          <w:rFonts w:ascii="宋体" w:hAnsi="宋体" w:cs="宋体"/>
          <w:i/>
          <w:color w:val="000000"/>
          <w:kern w:val="0"/>
          <w:position w:val="-10"/>
        </w:rPr>
        <w:drawing>
          <wp:inline distT="0" distB="0" distL="0" distR="0">
            <wp:extent cx="155575" cy="163830"/>
            <wp:effectExtent l="0" t="0" r="9525" b="0"/>
            <wp:docPr id="339" name="图片 3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true" noChangeArrowheads="true"/>
                    </pic:cNvPicPr>
                  </pic:nvPicPr>
                  <pic:blipFill>
                    <a:blip r:embed="rId79" cstate="print"/>
                    <a:srcRect/>
                    <a:stretch>
                      <a:fillRect/>
                    </a:stretch>
                  </pic:blipFill>
                  <pic:spPr>
                    <a:xfrm>
                      <a:off x="0" y="0"/>
                      <a:ext cx="155575" cy="163830"/>
                    </a:xfrm>
                    <a:prstGeom prst="rect">
                      <a:avLst/>
                    </a:prstGeom>
                    <a:noFill/>
                    <a:ln w="9525">
                      <a:noFill/>
                      <a:miter lim="800000"/>
                      <a:headEnd/>
                      <a:tailEnd/>
                    </a:ln>
                  </pic:spPr>
                </pic:pic>
              </a:graphicData>
            </a:graphic>
          </wp:inline>
        </w:drawing>
      </w:r>
      <w:r>
        <w:rPr>
          <w:rFonts w:ascii="Times New Roman" w:hAnsi="Times New Roman"/>
          <w:szCs w:val="24"/>
        </w:rPr>
        <w:t>——</w:t>
      </w:r>
      <w:r>
        <w:rPr>
          <w:rFonts w:hint="eastAsia" w:ascii="宋体" w:hAnsi="宋体" w:cs="宋体"/>
          <w:color w:val="000000"/>
          <w:kern w:val="0"/>
        </w:rPr>
        <w:t>墙体材料的抗剪断系数。</w:t>
      </w:r>
    </w:p>
    <w:p>
      <w:pPr>
        <w:rPr>
          <w:rFonts w:ascii="Times New Roman" w:hAnsi="Times New Roman"/>
        </w:rPr>
      </w:pPr>
      <w:r>
        <w:rPr>
          <w:rFonts w:ascii="Times New Roman" w:hAnsi="Times New Roman"/>
        </w:rPr>
        <w:br w:type="page"/>
      </w:r>
    </w:p>
    <w:p>
      <w:pPr>
        <w:pStyle w:val="2"/>
        <w:bidi w:val="0"/>
      </w:pPr>
      <w:r>
        <w:rPr>
          <w:rFonts w:hint="eastAsia" w:ascii="Times New Roman" w:hAnsi="Times New Roman"/>
        </w:rPr>
        <w:t>3</w:t>
      </w:r>
      <w:r>
        <w:rPr>
          <w:rFonts w:hint="eastAsia"/>
        </w:rPr>
        <w:t xml:space="preserve">  基本规定</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szCs w:val="28"/>
        </w:rPr>
      </w:pPr>
      <w:r>
        <w:rPr>
          <w:rFonts w:hint="eastAsia" w:ascii="Times New Roman" w:hAnsi="Times New Roman"/>
          <w:b/>
          <w:szCs w:val="28"/>
        </w:rPr>
        <w:t>3.0.1</w:t>
      </w:r>
      <w:r>
        <w:rPr>
          <w:rFonts w:hint="eastAsia" w:ascii="Times New Roman" w:hAnsi="Times New Roman"/>
          <w:szCs w:val="28"/>
        </w:rPr>
        <w:t xml:space="preserve"> 基坑支护设计应规定其设计</w:t>
      </w:r>
      <w:r>
        <w:rPr>
          <w:rFonts w:hint="eastAsia" w:ascii="Times New Roman" w:hAnsi="Times New Roman"/>
          <w:szCs w:val="28"/>
          <w:lang w:val="en-US" w:eastAsia="zh-CN"/>
        </w:rPr>
        <w:t>工作年</w:t>
      </w:r>
      <w:r>
        <w:rPr>
          <w:rFonts w:hint="eastAsia" w:ascii="Times New Roman" w:hAnsi="Times New Roman"/>
          <w:szCs w:val="28"/>
        </w:rPr>
        <w:t>限。基坑支护的设计</w:t>
      </w:r>
      <w:r>
        <w:rPr>
          <w:rFonts w:hint="eastAsia" w:ascii="Times New Roman" w:hAnsi="Times New Roman"/>
          <w:szCs w:val="28"/>
          <w:lang w:val="en-US" w:eastAsia="zh-CN"/>
        </w:rPr>
        <w:t>工作年</w:t>
      </w:r>
      <w:r>
        <w:rPr>
          <w:rFonts w:hint="eastAsia" w:ascii="Times New Roman" w:hAnsi="Times New Roman"/>
          <w:szCs w:val="28"/>
        </w:rPr>
        <w:t>限不应小于一年。</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b w:val="0"/>
          <w:bCs/>
          <w:szCs w:val="28"/>
        </w:rPr>
      </w:pPr>
      <w:bookmarkStart w:id="100" w:name="_Toc18084"/>
      <w:bookmarkStart w:id="101" w:name="_Toc26633"/>
      <w:r>
        <w:rPr>
          <w:rFonts w:hint="eastAsia" w:ascii="Times New Roman" w:hAnsi="Times New Roman"/>
          <w:b/>
          <w:bCs w:val="0"/>
          <w:szCs w:val="28"/>
        </w:rPr>
        <w:t xml:space="preserve">3.0.2 </w:t>
      </w:r>
      <w:r>
        <w:rPr>
          <w:rFonts w:hint="eastAsia" w:ascii="Times New Roman" w:hAnsi="Times New Roman"/>
          <w:b w:val="0"/>
          <w:bCs/>
          <w:szCs w:val="28"/>
        </w:rPr>
        <w:t>基坑支护应满足下列功能要求：</w:t>
      </w:r>
      <w:bookmarkEnd w:id="100"/>
      <w:bookmarkEnd w:id="101"/>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bookmarkStart w:id="102" w:name="_Toc7918"/>
      <w:bookmarkStart w:id="103" w:name="_Toc30503"/>
      <w:r>
        <w:rPr>
          <w:rFonts w:hint="eastAsia"/>
          <w:b w:val="0"/>
          <w:bCs w:val="0"/>
        </w:rPr>
        <w:t>1 保证支护结构体系的强度和变形满足要求；</w:t>
      </w:r>
      <w:bookmarkEnd w:id="102"/>
      <w:bookmarkEnd w:id="103"/>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r>
        <w:rPr>
          <w:rFonts w:hint="eastAsia"/>
          <w:b w:val="0"/>
          <w:bCs w:val="0"/>
        </w:rPr>
        <w:t>2 保证基坑周边建（构）筑物、地下管线、道路</w:t>
      </w:r>
      <w:r>
        <w:rPr>
          <w:rFonts w:hint="eastAsia"/>
          <w:b w:val="0"/>
          <w:bCs w:val="0"/>
          <w:lang w:eastAsia="zh-CN"/>
        </w:rPr>
        <w:t>、</w:t>
      </w:r>
      <w:r>
        <w:rPr>
          <w:rFonts w:hint="eastAsia"/>
          <w:b w:val="0"/>
          <w:bCs w:val="0"/>
          <w:lang w:val="en-US" w:eastAsia="zh-CN"/>
        </w:rPr>
        <w:t>城市轨道交通等市政设施</w:t>
      </w:r>
      <w:r>
        <w:rPr>
          <w:rFonts w:hint="eastAsia"/>
          <w:b w:val="0"/>
          <w:bCs w:val="0"/>
        </w:rPr>
        <w:t>的安全和正常使用；</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bookmarkStart w:id="104" w:name="_Toc6111"/>
      <w:bookmarkStart w:id="105" w:name="_Toc15166"/>
      <w:r>
        <w:rPr>
          <w:rFonts w:hint="eastAsia"/>
          <w:b w:val="0"/>
          <w:bCs w:val="0"/>
        </w:rPr>
        <w:t>3 保证主体地下结构的施工空间</w:t>
      </w:r>
      <w:r>
        <w:rPr>
          <w:rFonts w:hint="eastAsia"/>
          <w:b w:val="0"/>
          <w:bCs w:val="0"/>
          <w:lang w:val="en-US" w:eastAsia="zh-CN"/>
        </w:rPr>
        <w:t>和安全</w:t>
      </w:r>
      <w:r>
        <w:rPr>
          <w:rFonts w:hint="eastAsia"/>
          <w:b w:val="0"/>
          <w:bCs w:val="0"/>
        </w:rPr>
        <w:t>。</w:t>
      </w:r>
      <w:bookmarkEnd w:id="104"/>
      <w:bookmarkEnd w:id="105"/>
    </w:p>
    <w:p>
      <w:pPr>
        <w:widowControl w:val="0"/>
        <w:spacing w:line="480" w:lineRule="exact"/>
        <w:rPr>
          <w:rFonts w:ascii="Times New Roman" w:hAnsi="Times New Roman"/>
          <w:szCs w:val="28"/>
        </w:rPr>
      </w:pPr>
      <w:bookmarkStart w:id="106" w:name="_Toc25101"/>
      <w:bookmarkStart w:id="107" w:name="_Toc16282"/>
      <w:r>
        <w:rPr>
          <w:rFonts w:hint="eastAsia" w:ascii="Times New Roman" w:hAnsi="Times New Roman"/>
          <w:b/>
          <w:szCs w:val="28"/>
        </w:rPr>
        <w:t xml:space="preserve">3.0.3 </w:t>
      </w:r>
      <w:r>
        <w:rPr>
          <w:rFonts w:hint="eastAsia" w:ascii="Times New Roman" w:hAnsi="Times New Roman"/>
          <w:szCs w:val="28"/>
        </w:rPr>
        <w:t>根据环境条件、工程地质和水文地质条件，将场地类型分为</w:t>
      </w:r>
      <w:r>
        <w:rPr>
          <w:rFonts w:ascii="Times New Roman" w:hAnsi="Times New Roman"/>
          <w:szCs w:val="28"/>
        </w:rPr>
        <w:t>I</w:t>
      </w:r>
      <w:r>
        <w:rPr>
          <w:rFonts w:hint="eastAsia" w:ascii="Times New Roman" w:hAnsi="Times New Roman"/>
          <w:szCs w:val="28"/>
        </w:rPr>
        <w:t xml:space="preserve"> （复杂）、</w:t>
      </w:r>
      <w:r>
        <w:rPr>
          <w:rFonts w:ascii="Times New Roman" w:hAnsi="Times New Roman"/>
          <w:szCs w:val="28"/>
        </w:rPr>
        <w:t>II</w:t>
      </w:r>
      <w:r>
        <w:rPr>
          <w:rFonts w:hint="eastAsia" w:ascii="Times New Roman" w:hAnsi="Times New Roman"/>
          <w:szCs w:val="28"/>
        </w:rPr>
        <w:t xml:space="preserve"> （较复杂）、</w:t>
      </w:r>
      <w:r>
        <w:rPr>
          <w:rFonts w:ascii="Times New Roman" w:hAnsi="Times New Roman"/>
          <w:szCs w:val="28"/>
        </w:rPr>
        <w:t>III</w:t>
      </w:r>
      <w:r>
        <w:rPr>
          <w:rFonts w:hint="eastAsia" w:ascii="Times New Roman" w:hAnsi="Times New Roman"/>
          <w:szCs w:val="28"/>
        </w:rPr>
        <w:t xml:space="preserve"> （简单）三类：</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bookmarkStart w:id="108" w:name="_Toc1814"/>
      <w:bookmarkStart w:id="109" w:name="_Toc6419"/>
      <w:r>
        <w:rPr>
          <w:rFonts w:hint="eastAsia"/>
          <w:b w:val="0"/>
          <w:bCs w:val="0"/>
        </w:rPr>
        <w:t>1  存在下列情况之一时为I类：</w:t>
      </w:r>
      <w:bookmarkEnd w:id="108"/>
      <w:bookmarkEnd w:id="109"/>
    </w:p>
    <w:p>
      <w:pPr>
        <w:widowControl w:val="0"/>
        <w:spacing w:line="480" w:lineRule="exact"/>
        <w:ind w:firstLine="600" w:firstLineChars="250"/>
        <w:rPr>
          <w:rFonts w:ascii="Times New Roman" w:hAnsi="Times New Roman"/>
          <w:szCs w:val="28"/>
        </w:rPr>
      </w:pPr>
      <w:r>
        <w:rPr>
          <w:rFonts w:hint="eastAsia" w:ascii="Times New Roman" w:hAnsi="Times New Roman"/>
          <w:szCs w:val="28"/>
        </w:rPr>
        <w:t xml:space="preserve">1) 基坑侧壁受水浸湿可能性大，且坑壁土多为填土层，Ⅲ级以上自重湿陷性黄土，新近堆积黄土； </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2) 基坑工程降水深度大于6m，降水对周边环境有较大影响；</w:t>
      </w:r>
    </w:p>
    <w:p>
      <w:pPr>
        <w:widowControl w:val="0"/>
        <w:spacing w:line="480" w:lineRule="exact"/>
        <w:ind w:firstLine="600" w:firstLineChars="250"/>
        <w:rPr>
          <w:rFonts w:hint="eastAsia" w:ascii="Times New Roman" w:hAnsi="Times New Roman"/>
          <w:szCs w:val="28"/>
        </w:rPr>
      </w:pPr>
      <w:r>
        <w:rPr>
          <w:rFonts w:hint="eastAsia" w:ascii="Times New Roman" w:hAnsi="Times New Roman"/>
          <w:szCs w:val="28"/>
        </w:rPr>
        <w:t>3) 基坑影响范围内为高灵敏土、严重液化土</w:t>
      </w:r>
      <w:r>
        <w:rPr>
          <w:rFonts w:hint="eastAsia" w:ascii="Times New Roman" w:hAnsi="Times New Roman"/>
          <w:szCs w:val="28"/>
          <w:lang w:eastAsia="zh-CN"/>
        </w:rPr>
        <w:t>、膨胀潜势为强的膨胀岩土、</w:t>
      </w:r>
      <w:r>
        <w:rPr>
          <w:rFonts w:hint="eastAsia" w:ascii="Times New Roman" w:hAnsi="Times New Roman"/>
          <w:szCs w:val="28"/>
          <w:lang w:val="en-US" w:eastAsia="zh-CN"/>
        </w:rPr>
        <w:t>III级强溶陷或强盐胀性盐渍土</w:t>
      </w:r>
      <w:r>
        <w:rPr>
          <w:rFonts w:hint="eastAsia" w:ascii="Times New Roman" w:hAnsi="Times New Roman"/>
          <w:szCs w:val="28"/>
          <w:lang w:eastAsia="zh-CN"/>
        </w:rPr>
        <w:t>；</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4) 基坑影响范围内既有建（构）筑物对变形反应敏感；</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5) 土岩组合边坡基岩倾向与基坑放坡方向一致，且基岩倾角大于15°。</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bookmarkStart w:id="110" w:name="_Toc21986"/>
      <w:bookmarkStart w:id="111" w:name="_Toc15634"/>
      <w:r>
        <w:rPr>
          <w:rFonts w:hint="eastAsia"/>
          <w:b w:val="0"/>
          <w:bCs w:val="0"/>
        </w:rPr>
        <w:t>2  存在下列情况之一时为II类：</w:t>
      </w:r>
      <w:bookmarkEnd w:id="110"/>
      <w:bookmarkEnd w:id="111"/>
    </w:p>
    <w:p>
      <w:pPr>
        <w:widowControl w:val="0"/>
        <w:spacing w:line="480" w:lineRule="exact"/>
        <w:ind w:firstLine="600" w:firstLineChars="250"/>
        <w:rPr>
          <w:rFonts w:ascii="Times New Roman" w:hAnsi="Times New Roman"/>
          <w:szCs w:val="28"/>
        </w:rPr>
      </w:pPr>
      <w:r>
        <w:rPr>
          <w:rFonts w:hint="eastAsia" w:ascii="Times New Roman" w:hAnsi="Times New Roman"/>
          <w:szCs w:val="28"/>
        </w:rPr>
        <w:t>1) 基坑侧壁受水浸湿可能性较大；</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2) 降水对周边环境有一定影响；</w:t>
      </w:r>
    </w:p>
    <w:p>
      <w:pPr>
        <w:widowControl w:val="0"/>
        <w:spacing w:line="480" w:lineRule="exact"/>
        <w:ind w:firstLine="600" w:firstLineChars="250"/>
        <w:rPr>
          <w:rFonts w:hint="eastAsia" w:ascii="Times New Roman" w:hAnsi="Times New Roman" w:eastAsia="宋体"/>
          <w:color w:val="auto"/>
          <w:szCs w:val="28"/>
          <w:lang w:eastAsia="zh-CN"/>
        </w:rPr>
      </w:pPr>
      <w:r>
        <w:rPr>
          <w:rFonts w:hint="eastAsia" w:ascii="Times New Roman" w:hAnsi="Times New Roman"/>
          <w:color w:val="auto"/>
          <w:szCs w:val="28"/>
        </w:rPr>
        <w:t>3) 坑壁土为</w:t>
      </w:r>
      <w:r>
        <w:rPr>
          <w:rFonts w:ascii="Times New Roman" w:hAnsi="Times New Roman"/>
          <w:color w:val="auto"/>
          <w:szCs w:val="28"/>
        </w:rPr>
        <w:t>II</w:t>
      </w:r>
      <w:r>
        <w:rPr>
          <w:rFonts w:hint="eastAsia" w:ascii="Times New Roman" w:hAnsi="Times New Roman"/>
          <w:color w:val="auto"/>
          <w:szCs w:val="28"/>
        </w:rPr>
        <w:t>级自重湿陷性黄土</w:t>
      </w:r>
      <w:r>
        <w:rPr>
          <w:rFonts w:hint="eastAsia" w:ascii="Times New Roman" w:hAnsi="Times New Roman"/>
          <w:color w:val="auto"/>
          <w:szCs w:val="28"/>
          <w:lang w:val="en-US" w:eastAsia="zh-CN"/>
        </w:rPr>
        <w:t>、</w:t>
      </w:r>
      <w:r>
        <w:rPr>
          <w:rFonts w:hint="eastAsia" w:ascii="Times New Roman" w:hAnsi="Times New Roman"/>
          <w:color w:val="auto"/>
          <w:szCs w:val="28"/>
        </w:rPr>
        <w:t>中等液化土</w:t>
      </w:r>
      <w:r>
        <w:rPr>
          <w:rFonts w:hint="eastAsia" w:ascii="Times New Roman" w:hAnsi="Times New Roman"/>
          <w:color w:val="auto"/>
          <w:szCs w:val="28"/>
          <w:lang w:eastAsia="zh-CN"/>
        </w:rPr>
        <w:t>、膨胀潜势为中等的膨胀岩土、</w:t>
      </w:r>
      <w:r>
        <w:rPr>
          <w:rFonts w:hint="eastAsia" w:ascii="Times New Roman" w:hAnsi="Times New Roman"/>
          <w:color w:val="auto"/>
          <w:szCs w:val="28"/>
          <w:lang w:val="en-US" w:eastAsia="zh-CN"/>
        </w:rPr>
        <w:t>II级中溶陷或中盐胀性盐渍土</w:t>
      </w:r>
      <w:r>
        <w:rPr>
          <w:rFonts w:hint="eastAsia" w:ascii="Times New Roman" w:hAnsi="Times New Roman"/>
          <w:color w:val="auto"/>
          <w:szCs w:val="28"/>
          <w:lang w:eastAsia="zh-CN"/>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eastAsia="宋体"/>
          <w:b w:val="0"/>
          <w:bCs w:val="0"/>
          <w:lang w:eastAsia="zh-CN"/>
        </w:rPr>
      </w:pPr>
      <w:bookmarkStart w:id="112" w:name="_Toc8820"/>
      <w:bookmarkStart w:id="113" w:name="_Toc22325"/>
      <w:r>
        <w:rPr>
          <w:rFonts w:hint="eastAsia"/>
          <w:b w:val="0"/>
          <w:bCs w:val="0"/>
        </w:rPr>
        <w:t>3  存在下列条件之一的为III类</w:t>
      </w:r>
      <w:bookmarkEnd w:id="112"/>
      <w:bookmarkEnd w:id="113"/>
      <w:r>
        <w:rPr>
          <w:rFonts w:hint="eastAsia" w:eastAsia="宋体"/>
          <w:b w:val="0"/>
          <w:bCs w:val="0"/>
          <w:lang w:eastAsia="zh-CN"/>
        </w:rPr>
        <w:t>：</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1) 基坑侧壁受水浸湿可能性较小；</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2) 自然水位在坑底之下；</w:t>
      </w:r>
    </w:p>
    <w:p>
      <w:pPr>
        <w:widowControl w:val="0"/>
        <w:spacing w:line="480" w:lineRule="exact"/>
        <w:ind w:firstLine="600" w:firstLineChars="250"/>
        <w:rPr>
          <w:rFonts w:ascii="Times New Roman" w:hAnsi="Times New Roman"/>
          <w:szCs w:val="28"/>
        </w:rPr>
      </w:pPr>
      <w:r>
        <w:rPr>
          <w:rFonts w:hint="eastAsia" w:ascii="Times New Roman" w:hAnsi="Times New Roman"/>
          <w:szCs w:val="28"/>
        </w:rPr>
        <w:t>3) 土岩组合边坡基岩倾向与基坑放坡方向相反。</w:t>
      </w:r>
    </w:p>
    <w:p>
      <w:pPr>
        <w:widowControl w:val="0"/>
        <w:spacing w:line="480" w:lineRule="exact"/>
        <w:rPr>
          <w:rFonts w:hint="eastAsia" w:ascii="Times New Roman" w:hAnsi="Times New Roman"/>
          <w:b w:val="0"/>
          <w:bCs/>
          <w:szCs w:val="28"/>
        </w:rPr>
      </w:pPr>
      <w:r>
        <w:rPr>
          <w:rFonts w:hint="eastAsia" w:ascii="Times New Roman" w:hAnsi="Times New Roman"/>
          <w:b/>
          <w:szCs w:val="28"/>
        </w:rPr>
        <w:t xml:space="preserve">3.0.4 </w:t>
      </w:r>
      <w:r>
        <w:rPr>
          <w:rFonts w:hint="eastAsia" w:ascii="Times New Roman" w:hAnsi="Times New Roman"/>
          <w:b w:val="0"/>
          <w:bCs/>
          <w:szCs w:val="28"/>
        </w:rPr>
        <w:t>基坑工程按表3.0.4划分为三个安全等级。</w:t>
      </w:r>
      <w:bookmarkEnd w:id="106"/>
      <w:bookmarkEnd w:id="107"/>
    </w:p>
    <w:p>
      <w:pPr>
        <w:widowControl w:val="0"/>
        <w:spacing w:line="480" w:lineRule="exact"/>
        <w:jc w:val="center"/>
        <w:rPr>
          <w:rFonts w:ascii="Times New Roman" w:hAnsi="Times New Roman"/>
          <w:b/>
          <w:sz w:val="22"/>
          <w:szCs w:val="28"/>
        </w:rPr>
      </w:pPr>
      <w:r>
        <w:rPr>
          <w:rFonts w:hint="eastAsia" w:ascii="Times New Roman" w:hAnsi="Times New Roman"/>
          <w:b/>
          <w:sz w:val="22"/>
          <w:szCs w:val="28"/>
        </w:rPr>
        <w:t>表3.0.4   基坑工程安全等级划分</w:t>
      </w:r>
    </w:p>
    <w:tbl>
      <w:tblPr>
        <w:tblStyle w:val="32"/>
        <w:tblW w:w="0" w:type="auto"/>
        <w:tblInd w:w="5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873"/>
        <w:gridCol w:w="873"/>
        <w:gridCol w:w="874"/>
        <w:gridCol w:w="873"/>
        <w:gridCol w:w="873"/>
        <w:gridCol w:w="874"/>
        <w:gridCol w:w="873"/>
        <w:gridCol w:w="87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1160" w:type="dxa"/>
            <w:vMerge w:val="restart"/>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开挖深度</w:t>
            </w:r>
            <w:r>
              <w:rPr>
                <w:rFonts w:hint="eastAsia" w:ascii="Times New Roman" w:hAnsi="Times New Roman"/>
                <w:i/>
                <w:iCs/>
                <w:sz w:val="21"/>
                <w:szCs w:val="21"/>
              </w:rPr>
              <w:t>h</w:t>
            </w:r>
            <w:r>
              <w:rPr>
                <w:rFonts w:hint="eastAsia" w:ascii="Times New Roman" w:hAnsi="Times New Roman"/>
                <w:sz w:val="21"/>
                <w:szCs w:val="21"/>
              </w:rPr>
              <w:t>（m）</w:t>
            </w:r>
          </w:p>
        </w:tc>
        <w:tc>
          <w:tcPr>
            <w:tcW w:w="7862" w:type="dxa"/>
            <w:gridSpan w:val="9"/>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环境条件与工程地质、水文地质条件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60" w:type="dxa"/>
            <w:vMerge w:val="continue"/>
            <w:vAlign w:val="center"/>
          </w:tcPr>
          <w:p>
            <w:pPr>
              <w:widowControl w:val="0"/>
              <w:spacing w:line="340" w:lineRule="exact"/>
              <w:jc w:val="center"/>
              <w:rPr>
                <w:rFonts w:ascii="Times New Roman" w:hAnsi="Times New Roman"/>
                <w:sz w:val="21"/>
                <w:szCs w:val="21"/>
              </w:rPr>
            </w:pPr>
          </w:p>
        </w:tc>
        <w:tc>
          <w:tcPr>
            <w:tcW w:w="2620" w:type="dxa"/>
            <w:gridSpan w:val="3"/>
            <w:vAlign w:val="center"/>
          </w:tcPr>
          <w:p>
            <w:pPr>
              <w:widowControl w:val="0"/>
              <w:spacing w:line="340" w:lineRule="exact"/>
              <w:jc w:val="center"/>
              <w:rPr>
                <w:rFonts w:ascii="Times New Roman" w:hAnsi="Times New Roman"/>
                <w:sz w:val="21"/>
                <w:szCs w:val="21"/>
              </w:rPr>
            </w:pPr>
            <w:r>
              <w:rPr>
                <w:rFonts w:hint="eastAsia" w:ascii="Times New Roman" w:hAnsi="Times New Roman"/>
                <w:i/>
                <w:iCs/>
                <w:sz w:val="21"/>
                <w:szCs w:val="21"/>
              </w:rPr>
              <w:t>α</w:t>
            </w:r>
            <w:r>
              <w:rPr>
                <w:rFonts w:hint="eastAsia" w:ascii="Times New Roman" w:hAnsi="Times New Roman"/>
                <w:sz w:val="21"/>
                <w:szCs w:val="21"/>
              </w:rPr>
              <w:t>&lt;1.0</w:t>
            </w:r>
          </w:p>
        </w:tc>
        <w:tc>
          <w:tcPr>
            <w:tcW w:w="2620" w:type="dxa"/>
            <w:gridSpan w:val="3"/>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1.0≤</w:t>
            </w:r>
            <w:r>
              <w:rPr>
                <w:rFonts w:hint="eastAsia" w:ascii="Times New Roman" w:hAnsi="Times New Roman"/>
                <w:i/>
                <w:iCs/>
                <w:sz w:val="21"/>
                <w:szCs w:val="21"/>
              </w:rPr>
              <w:t>α</w:t>
            </w:r>
            <w:r>
              <w:rPr>
                <w:rFonts w:hint="eastAsia" w:ascii="Times New Roman" w:hAnsi="Times New Roman"/>
                <w:sz w:val="21"/>
                <w:szCs w:val="21"/>
              </w:rPr>
              <w:t>≤2.0</w:t>
            </w:r>
          </w:p>
        </w:tc>
        <w:tc>
          <w:tcPr>
            <w:tcW w:w="2622" w:type="dxa"/>
            <w:gridSpan w:val="3"/>
            <w:vAlign w:val="center"/>
          </w:tcPr>
          <w:p>
            <w:pPr>
              <w:widowControl w:val="0"/>
              <w:spacing w:line="340" w:lineRule="exact"/>
              <w:jc w:val="center"/>
              <w:rPr>
                <w:rFonts w:ascii="Times New Roman" w:hAnsi="Times New Roman"/>
                <w:sz w:val="21"/>
                <w:szCs w:val="21"/>
              </w:rPr>
            </w:pPr>
            <w:r>
              <w:rPr>
                <w:rFonts w:hint="eastAsia" w:ascii="Times New Roman" w:hAnsi="Times New Roman"/>
                <w:i/>
                <w:iCs/>
                <w:sz w:val="21"/>
                <w:szCs w:val="21"/>
              </w:rPr>
              <w:t>α</w:t>
            </w:r>
            <w:r>
              <w:rPr>
                <w:rFonts w:hint="eastAsia" w:ascii="Times New Roman" w:hAnsi="Times New Roman"/>
                <w:sz w:val="21"/>
                <w:szCs w:val="21"/>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60" w:type="dxa"/>
            <w:vMerge w:val="continue"/>
            <w:vAlign w:val="center"/>
          </w:tcPr>
          <w:p>
            <w:pPr>
              <w:widowControl w:val="0"/>
              <w:spacing w:line="340" w:lineRule="exact"/>
              <w:jc w:val="center"/>
              <w:rPr>
                <w:rFonts w:ascii="Times New Roman" w:hAnsi="Times New Roman"/>
                <w:sz w:val="21"/>
                <w:szCs w:val="21"/>
              </w:rPr>
            </w:pPr>
          </w:p>
        </w:tc>
        <w:tc>
          <w:tcPr>
            <w:tcW w:w="873"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w:t>
            </w:r>
          </w:p>
        </w:tc>
        <w:tc>
          <w:tcPr>
            <w:tcW w:w="873"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II</w:t>
            </w:r>
          </w:p>
        </w:tc>
        <w:tc>
          <w:tcPr>
            <w:tcW w:w="874"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III</w:t>
            </w:r>
          </w:p>
        </w:tc>
        <w:tc>
          <w:tcPr>
            <w:tcW w:w="873"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w:t>
            </w:r>
          </w:p>
        </w:tc>
        <w:tc>
          <w:tcPr>
            <w:tcW w:w="873"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II</w:t>
            </w:r>
          </w:p>
        </w:tc>
        <w:tc>
          <w:tcPr>
            <w:tcW w:w="874"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III</w:t>
            </w:r>
          </w:p>
        </w:tc>
        <w:tc>
          <w:tcPr>
            <w:tcW w:w="873"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w:t>
            </w:r>
          </w:p>
        </w:tc>
        <w:tc>
          <w:tcPr>
            <w:tcW w:w="874"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II</w:t>
            </w:r>
          </w:p>
        </w:tc>
        <w:tc>
          <w:tcPr>
            <w:tcW w:w="875" w:type="dxa"/>
            <w:vAlign w:val="center"/>
          </w:tcPr>
          <w:p>
            <w:pPr>
              <w:widowControl w:val="0"/>
              <w:spacing w:line="340" w:lineRule="exact"/>
              <w:jc w:val="center"/>
              <w:rPr>
                <w:rFonts w:ascii="Times New Roman" w:hAnsi="Times New Roman"/>
                <w:sz w:val="21"/>
                <w:szCs w:val="21"/>
              </w:rPr>
            </w:pPr>
            <w:r>
              <w:rPr>
                <w:rFonts w:ascii="Times New Roman" w:hAnsi="Times New Roman"/>
                <w:sz w:val="21"/>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1160" w:type="dxa"/>
            <w:vAlign w:val="center"/>
          </w:tcPr>
          <w:p>
            <w:pPr>
              <w:widowControl w:val="0"/>
              <w:spacing w:line="340" w:lineRule="exact"/>
              <w:jc w:val="center"/>
              <w:rPr>
                <w:rFonts w:ascii="Times New Roman" w:hAnsi="Times New Roman"/>
                <w:sz w:val="21"/>
                <w:szCs w:val="21"/>
              </w:rPr>
            </w:pPr>
            <w:r>
              <w:rPr>
                <w:rFonts w:hint="eastAsia" w:ascii="Times New Roman" w:hAnsi="Times New Roman"/>
                <w:i/>
                <w:iCs/>
                <w:sz w:val="21"/>
                <w:szCs w:val="21"/>
              </w:rPr>
              <w:t>h</w:t>
            </w:r>
            <w:r>
              <w:rPr>
                <w:rFonts w:hint="eastAsia" w:ascii="Times New Roman" w:hAnsi="Times New Roman"/>
                <w:sz w:val="21"/>
                <w:szCs w:val="21"/>
              </w:rPr>
              <w:t>&gt;15</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5"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1160"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7&lt;</w:t>
            </w:r>
            <w:r>
              <w:rPr>
                <w:rFonts w:hint="eastAsia" w:ascii="Times New Roman" w:hAnsi="Times New Roman"/>
                <w:i/>
                <w:iCs/>
                <w:sz w:val="21"/>
                <w:szCs w:val="21"/>
              </w:rPr>
              <w:t>h</w:t>
            </w:r>
            <w:r>
              <w:rPr>
                <w:rFonts w:hint="eastAsia" w:ascii="Times New Roman" w:hAnsi="Times New Roman"/>
                <w:sz w:val="21"/>
                <w:szCs w:val="21"/>
              </w:rPr>
              <w:t>≤15</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c>
          <w:tcPr>
            <w:tcW w:w="875"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60" w:type="dxa"/>
            <w:vAlign w:val="center"/>
          </w:tcPr>
          <w:p>
            <w:pPr>
              <w:widowControl w:val="0"/>
              <w:spacing w:line="340" w:lineRule="exact"/>
              <w:jc w:val="center"/>
              <w:rPr>
                <w:rFonts w:ascii="Times New Roman" w:hAnsi="Times New Roman"/>
                <w:sz w:val="21"/>
                <w:szCs w:val="21"/>
              </w:rPr>
            </w:pPr>
            <w:r>
              <w:rPr>
                <w:rFonts w:hint="eastAsia" w:ascii="Times New Roman" w:hAnsi="Times New Roman"/>
                <w:i/>
                <w:iCs/>
                <w:sz w:val="21"/>
                <w:szCs w:val="21"/>
              </w:rPr>
              <w:t>h</w:t>
            </w:r>
            <w:r>
              <w:rPr>
                <w:rFonts w:hint="eastAsia" w:ascii="Times New Roman" w:hAnsi="Times New Roman"/>
                <w:sz w:val="21"/>
                <w:szCs w:val="21"/>
              </w:rPr>
              <w:t>≤7</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一级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c>
          <w:tcPr>
            <w:tcW w:w="873"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二级</w:t>
            </w:r>
          </w:p>
        </w:tc>
        <w:tc>
          <w:tcPr>
            <w:tcW w:w="874"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三级</w:t>
            </w:r>
          </w:p>
        </w:tc>
        <w:tc>
          <w:tcPr>
            <w:tcW w:w="875" w:type="dxa"/>
            <w:vAlign w:val="center"/>
          </w:tcPr>
          <w:p>
            <w:pPr>
              <w:widowControl w:val="0"/>
              <w:spacing w:line="340" w:lineRule="exact"/>
              <w:jc w:val="center"/>
              <w:rPr>
                <w:rFonts w:ascii="Times New Roman" w:hAnsi="Times New Roman"/>
                <w:sz w:val="21"/>
                <w:szCs w:val="21"/>
              </w:rPr>
            </w:pPr>
            <w:r>
              <w:rPr>
                <w:rFonts w:hint="eastAsia" w:ascii="Times New Roman" w:hAnsi="Times New Roman"/>
                <w:sz w:val="21"/>
                <w:szCs w:val="21"/>
              </w:rPr>
              <w:t>三级</w:t>
            </w:r>
          </w:p>
        </w:tc>
      </w:tr>
    </w:tbl>
    <w:p>
      <w:pPr>
        <w:widowControl w:val="0"/>
        <w:ind w:firstLine="420" w:firstLineChars="200"/>
        <w:rPr>
          <w:rFonts w:ascii="Times New Roman" w:hAnsi="Times New Roman"/>
          <w:sz w:val="21"/>
          <w:szCs w:val="21"/>
        </w:rPr>
      </w:pPr>
      <w:r>
        <w:rPr>
          <w:rFonts w:hint="eastAsia" w:ascii="Times New Roman" w:hAnsi="Times New Roman"/>
          <w:sz w:val="21"/>
          <w:szCs w:val="21"/>
        </w:rPr>
        <w:t xml:space="preserve">注：1  </w:t>
      </w:r>
      <w:r>
        <w:rPr>
          <w:rFonts w:hint="eastAsia" w:ascii="Times New Roman" w:hAnsi="Times New Roman"/>
          <w:i/>
          <w:iCs/>
          <w:sz w:val="21"/>
          <w:szCs w:val="21"/>
        </w:rPr>
        <w:t>h</w:t>
      </w:r>
      <w:r>
        <w:rPr>
          <w:rFonts w:ascii="Times New Roman" w:hAnsi="Times New Roman"/>
          <w:szCs w:val="24"/>
        </w:rPr>
        <w:t>——</w:t>
      </w:r>
      <w:r>
        <w:rPr>
          <w:rFonts w:hint="eastAsia" w:ascii="Times New Roman" w:hAnsi="Times New Roman"/>
          <w:sz w:val="21"/>
          <w:szCs w:val="21"/>
        </w:rPr>
        <w:t>基坑开挖深度（m）；</w:t>
      </w:r>
    </w:p>
    <w:p>
      <w:pPr>
        <w:widowControl w:val="0"/>
        <w:ind w:firstLine="840" w:firstLineChars="400"/>
        <w:rPr>
          <w:rFonts w:ascii="Times New Roman" w:hAnsi="Times New Roman"/>
          <w:sz w:val="21"/>
          <w:szCs w:val="21"/>
        </w:rPr>
      </w:pPr>
      <w:r>
        <w:rPr>
          <w:rFonts w:hint="eastAsia" w:ascii="Times New Roman" w:hAnsi="Times New Roman"/>
          <w:sz w:val="21"/>
          <w:szCs w:val="21"/>
        </w:rPr>
        <w:t xml:space="preserve">2 </w:t>
      </w:r>
      <w:r>
        <w:rPr>
          <w:rFonts w:ascii="Times New Roman" w:hAnsi="Times New Roman"/>
          <w:position w:val="-6"/>
          <w:sz w:val="21"/>
          <w:szCs w:val="21"/>
        </w:rPr>
        <w:drawing>
          <wp:inline distT="0" distB="0" distL="0" distR="0">
            <wp:extent cx="155575" cy="137795"/>
            <wp:effectExtent l="0" t="0" r="0" b="0"/>
            <wp:docPr id="341" name="图片 3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true" noChangeArrowheads="true"/>
                    </pic:cNvPicPr>
                  </pic:nvPicPr>
                  <pic:blipFill>
                    <a:blip r:embed="rId80" cstate="print">
                      <a:extLst>
                        <a:ext uri="{28A0092B-C50C-407E-A947-70E740481C1C}">
                          <a14:useLocalDpi xmlns:a14="http://schemas.microsoft.com/office/drawing/2010/main" val="false"/>
                        </a:ext>
                      </a:extLst>
                    </a:blip>
                    <a:srcRect/>
                    <a:stretch>
                      <a:fillRect/>
                    </a:stretch>
                  </pic:blipFill>
                  <pic:spPr>
                    <a:xfrm>
                      <a:off x="0" y="0"/>
                      <a:ext cx="155575" cy="13779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 w:val="21"/>
          <w:szCs w:val="21"/>
        </w:rPr>
        <w:t>相对距离比（</w:t>
      </w:r>
      <w:r>
        <w:rPr>
          <w:rFonts w:ascii="Times New Roman" w:hAnsi="Times New Roman"/>
          <w:position w:val="-6"/>
          <w:sz w:val="21"/>
          <w:szCs w:val="21"/>
        </w:rPr>
        <w:drawing>
          <wp:inline distT="0" distB="0" distL="0" distR="0">
            <wp:extent cx="155575" cy="137795"/>
            <wp:effectExtent l="0" t="0" r="0" b="0"/>
            <wp:docPr id="340" name="图片 3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true" noChangeArrowheads="true"/>
                    </pic:cNvPicPr>
                  </pic:nvPicPr>
                  <pic:blipFill>
                    <a:blip r:embed="rId81" cstate="print">
                      <a:extLst>
                        <a:ext uri="{28A0092B-C50C-407E-A947-70E740481C1C}">
                          <a14:useLocalDpi xmlns:a14="http://schemas.microsoft.com/office/drawing/2010/main" val="false"/>
                        </a:ext>
                      </a:extLst>
                    </a:blip>
                    <a:srcRect/>
                    <a:stretch>
                      <a:fillRect/>
                    </a:stretch>
                  </pic:blipFill>
                  <pic:spPr>
                    <a:xfrm>
                      <a:off x="0" y="0"/>
                      <a:ext cx="155575" cy="137795"/>
                    </a:xfrm>
                    <a:prstGeom prst="rect">
                      <a:avLst/>
                    </a:prstGeom>
                    <a:noFill/>
                    <a:ln>
                      <a:noFill/>
                    </a:ln>
                  </pic:spPr>
                </pic:pic>
              </a:graphicData>
            </a:graphic>
          </wp:inline>
        </w:drawing>
      </w:r>
      <w:r>
        <w:rPr>
          <w:rFonts w:hint="eastAsia" w:ascii="Times New Roman" w:hAnsi="Times New Roman"/>
          <w:sz w:val="21"/>
          <w:szCs w:val="21"/>
        </w:rPr>
        <w:t>=</w:t>
      </w:r>
      <w:r>
        <w:rPr>
          <w:rFonts w:hint="eastAsia" w:ascii="Times New Roman" w:hAnsi="Times New Roman"/>
          <w:i/>
          <w:iCs/>
          <w:sz w:val="21"/>
          <w:szCs w:val="21"/>
        </w:rPr>
        <w:t>x</w:t>
      </w:r>
      <w:r>
        <w:rPr>
          <w:rFonts w:hint="eastAsia" w:ascii="Times New Roman" w:hAnsi="Times New Roman"/>
          <w:sz w:val="21"/>
          <w:szCs w:val="21"/>
        </w:rPr>
        <w:t>/</w:t>
      </w:r>
      <w:r>
        <w:rPr>
          <w:rFonts w:hint="eastAsia" w:ascii="Times New Roman" w:hAnsi="Times New Roman"/>
          <w:i/>
          <w:iCs/>
          <w:sz w:val="21"/>
          <w:szCs w:val="21"/>
        </w:rPr>
        <w:t>h</w:t>
      </w:r>
      <w:r>
        <w:rPr>
          <w:rFonts w:hint="eastAsia" w:ascii="Times New Roman" w:hAnsi="Times New Roman"/>
          <w:sz w:val="21"/>
          <w:szCs w:val="21"/>
        </w:rPr>
        <w:t>′），为邻近建筑物基础外边沿距基坑侧的水平距离与基础底面距基坑底垂直距离的比值（见图3.0.4</w:t>
      </w:r>
      <w:r>
        <w:rPr>
          <w:rFonts w:ascii="Times New Roman" w:hAnsi="Times New Roman"/>
          <w:sz w:val="21"/>
          <w:szCs w:val="21"/>
        </w:rPr>
        <w:t>）</w:t>
      </w:r>
      <w:r>
        <w:rPr>
          <w:rFonts w:hint="eastAsia" w:ascii="Times New Roman" w:hAnsi="Times New Roman"/>
          <w:sz w:val="21"/>
          <w:szCs w:val="21"/>
        </w:rPr>
        <w:t>；</w:t>
      </w:r>
    </w:p>
    <w:p>
      <w:pPr>
        <w:keepNext w:val="0"/>
        <w:keepLines w:val="0"/>
        <w:pageBreakBefore w:val="0"/>
        <w:widowControl/>
        <w:kinsoku/>
        <w:wordWrap/>
        <w:overflowPunct/>
        <w:topLinePunct w:val="0"/>
        <w:autoSpaceDE/>
        <w:autoSpaceDN/>
        <w:bidi w:val="0"/>
        <w:adjustRightInd/>
        <w:snapToGrid/>
        <w:spacing w:line="480" w:lineRule="exact"/>
        <w:ind w:firstLine="840" w:firstLineChars="400"/>
        <w:textAlignment w:val="auto"/>
        <w:rPr>
          <w:b w:val="0"/>
          <w:bCs w:val="0"/>
        </w:rPr>
      </w:pPr>
      <w:bookmarkStart w:id="114" w:name="_Toc714"/>
      <w:bookmarkStart w:id="115" w:name="_Toc18033"/>
      <w:r>
        <w:rPr>
          <w:rFonts w:hint="eastAsia" w:ascii="Times New Roman" w:hAnsi="Times New Roman"/>
          <w:sz w:val="21"/>
          <w:szCs w:val="21"/>
        </w:rPr>
        <w:t>3  基坑开挖深度≥20m时，设计前应进行专题咨询论证。</w:t>
      </w:r>
      <w:bookmarkEnd w:id="114"/>
      <w:bookmarkEnd w:id="115"/>
    </w:p>
    <w:p>
      <w:pPr>
        <w:widowControl w:val="0"/>
        <w:spacing w:line="480" w:lineRule="exact"/>
        <w:rPr>
          <w:rFonts w:ascii="Times New Roman" w:hAnsi="Times New Roman"/>
          <w:b/>
          <w:szCs w:val="28"/>
        </w:rPr>
      </w:pPr>
      <w:r>
        <w:rPr>
          <w:rFonts w:ascii="Times New Roman" w:hAnsi="Times New Roman"/>
          <w:sz w:val="21"/>
          <w:szCs w:val="21"/>
        </w:rPr>
        <mc:AlternateContent>
          <mc:Choice Requires="wpg">
            <w:drawing>
              <wp:anchor distT="0" distB="0" distL="114300" distR="114300" simplePos="0" relativeHeight="251661312" behindDoc="1" locked="0" layoutInCell="1" allowOverlap="1">
                <wp:simplePos x="0" y="0"/>
                <wp:positionH relativeFrom="column">
                  <wp:posOffset>514350</wp:posOffset>
                </wp:positionH>
                <wp:positionV relativeFrom="paragraph">
                  <wp:posOffset>40640</wp:posOffset>
                </wp:positionV>
                <wp:extent cx="5204460" cy="3220085"/>
                <wp:effectExtent l="0" t="0" r="0" b="3810"/>
                <wp:wrapTight wrapText="bothSides">
                  <wp:wrapPolygon>
                    <wp:start x="-40" y="0"/>
                    <wp:lineTo x="-40" y="18836"/>
                    <wp:lineTo x="21600" y="18836"/>
                    <wp:lineTo x="21600" y="0"/>
                    <wp:lineTo x="-40" y="0"/>
                  </wp:wrapPolygon>
                </wp:wrapTight>
                <wp:docPr id="342" name="组合 342"/>
                <wp:cNvGraphicFramePr/>
                <a:graphic xmlns:a="http://schemas.openxmlformats.org/drawingml/2006/main">
                  <a:graphicData uri="http://schemas.microsoft.com/office/word/2010/wordprocessingGroup">
                    <wpg:wgp>
                      <wpg:cNvGrpSpPr/>
                      <wpg:grpSpPr>
                        <a:xfrm>
                          <a:off x="0" y="0"/>
                          <a:ext cx="5204460" cy="3220085"/>
                          <a:chOff x="0" y="0"/>
                          <a:chExt cx="8280" cy="4926"/>
                        </a:xfrm>
                      </wpg:grpSpPr>
                      <pic:pic xmlns:pic="http://schemas.openxmlformats.org/drawingml/2006/picture">
                        <pic:nvPicPr>
                          <pic:cNvPr id="343" name="Picture 66" descr="Drawing2-Model"/>
                          <pic:cNvPicPr>
                            <a:picLocks noChangeAspect="true" noChangeArrowheads="true"/>
                          </pic:cNvPicPr>
                        </pic:nvPicPr>
                        <pic:blipFill>
                          <a:blip r:embed="rId82" cstate="print">
                            <a:extLst>
                              <a:ext uri="{28A0092B-C50C-407E-A947-70E740481C1C}">
                                <a14:useLocalDpi xmlns:a14="http://schemas.microsoft.com/office/drawing/2010/main" val="false"/>
                              </a:ext>
                            </a:extLst>
                          </a:blip>
                          <a:srcRect t="27000" b="26009"/>
                          <a:stretch>
                            <a:fillRect/>
                          </a:stretch>
                        </pic:blipFill>
                        <pic:spPr>
                          <a:xfrm>
                            <a:off x="0" y="0"/>
                            <a:ext cx="8280" cy="4315"/>
                          </a:xfrm>
                          <a:prstGeom prst="rect">
                            <a:avLst/>
                          </a:prstGeom>
                          <a:noFill/>
                          <a:ln>
                            <a:noFill/>
                          </a:ln>
                        </pic:spPr>
                      </pic:pic>
                      <wps:wsp>
                        <wps:cNvPr id="344" name="Text Box 67"/>
                        <wps:cNvSpPr txBox="true">
                          <a:spLocks noChangeArrowheads="true"/>
                        </wps:cNvSpPr>
                        <wps:spPr bwMode="auto">
                          <a:xfrm>
                            <a:off x="930" y="4398"/>
                            <a:ext cx="6722" cy="528"/>
                          </a:xfrm>
                          <a:prstGeom prst="rect">
                            <a:avLst/>
                          </a:prstGeom>
                          <a:noFill/>
                          <a:ln>
                            <a:noFill/>
                          </a:ln>
                        </wps:spPr>
                        <wps:txbx>
                          <w:txbxContent>
                            <w:p>
                              <w:pPr>
                                <w:spacing w:before="156" w:beforeLines="50"/>
                                <w:jc w:val="center"/>
                                <w:rPr>
                                  <w:rFonts w:ascii="宋体" w:hAnsi="宋体"/>
                                  <w:sz w:val="21"/>
                                  <w:szCs w:val="21"/>
                                </w:rPr>
                              </w:pPr>
                              <w:r>
                                <w:rPr>
                                  <w:rFonts w:hint="eastAsia" w:ascii="宋体" w:hAnsi="宋体"/>
                                  <w:sz w:val="21"/>
                                  <w:szCs w:val="21"/>
                                </w:rPr>
                                <w:t>图</w:t>
                              </w:r>
                              <w:r>
                                <w:rPr>
                                  <w:rFonts w:hint="eastAsia" w:ascii="Times New Roman" w:hAnsi="Times New Roman"/>
                                  <w:sz w:val="21"/>
                                  <w:szCs w:val="21"/>
                                </w:rPr>
                                <w:t>3</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.4 相邻建筑物基础(管线)与基坑相对关系示意</w:t>
                              </w:r>
                            </w:p>
                            <w:p>
                              <w:pPr>
                                <w:jc w:val="center"/>
                                <w:rPr>
                                  <w:rFonts w:ascii="宋体" w:hAnsi="宋体"/>
                                  <w:szCs w:val="24"/>
                                </w:rPr>
                              </w:pPr>
                            </w:p>
                          </w:txbxContent>
                        </wps:txbx>
                        <wps:bodyPr rot="0" vert="horz" wrap="square" lIns="0" tIns="0" rIns="0" bIns="0" anchor="t" anchorCtr="false" upright="true">
                          <a:noAutofit/>
                        </wps:bodyPr>
                      </wps:wsp>
                      <wps:wsp>
                        <wps:cNvPr id="345" name="Text Box 68"/>
                        <wps:cNvSpPr txBox="true">
                          <a:spLocks noChangeArrowheads="true"/>
                        </wps:cNvSpPr>
                        <wps:spPr bwMode="auto">
                          <a:xfrm>
                            <a:off x="2590" y="1759"/>
                            <a:ext cx="1977" cy="552"/>
                          </a:xfrm>
                          <a:prstGeom prst="rect">
                            <a:avLst/>
                          </a:prstGeom>
                          <a:noFill/>
                          <a:ln>
                            <a:noFill/>
                          </a:ln>
                        </wps:spPr>
                        <wps:txbx>
                          <w:txbxContent>
                            <w:p>
                              <w:pPr>
                                <w:spacing w:line="240" w:lineRule="exact"/>
                                <w:jc w:val="center"/>
                                <w:rPr>
                                  <w:rFonts w:ascii="仿宋" w:hAnsi="仿宋" w:eastAsia="仿宋"/>
                                  <w:sz w:val="20"/>
                                  <w:szCs w:val="20"/>
                                </w:rPr>
                              </w:pPr>
                              <w:r>
                                <w:rPr>
                                  <w:rFonts w:hint="eastAsia" w:ascii="仿宋" w:hAnsi="仿宋" w:eastAsia="仿宋"/>
                                  <w:sz w:val="20"/>
                                  <w:szCs w:val="20"/>
                                </w:rPr>
                                <w:t>基础(管线)外边缘距基坑侧壁的水平距离</w:t>
                              </w:r>
                            </w:p>
                          </w:txbxContent>
                        </wps:txbx>
                        <wps:bodyPr rot="0" vert="horz" wrap="square" lIns="0" tIns="0" rIns="0" bIns="0" anchor="t" anchorCtr="false" upright="true">
                          <a:noAutofit/>
                        </wps:bodyPr>
                      </wps:wsp>
                      <wps:wsp>
                        <wps:cNvPr id="346" name="Text Box 69"/>
                        <wps:cNvSpPr txBox="true">
                          <a:spLocks noChangeArrowheads="true"/>
                        </wps:cNvSpPr>
                        <wps:spPr bwMode="auto">
                          <a:xfrm>
                            <a:off x="240" y="2179"/>
                            <a:ext cx="1647" cy="552"/>
                          </a:xfrm>
                          <a:prstGeom prst="rect">
                            <a:avLst/>
                          </a:prstGeom>
                          <a:noFill/>
                          <a:ln>
                            <a:noFill/>
                          </a:ln>
                        </wps:spPr>
                        <wps:txbx>
                          <w:txbxContent>
                            <w:p>
                              <w:pPr>
                                <w:spacing w:line="240" w:lineRule="exact"/>
                                <w:rPr>
                                  <w:rFonts w:ascii="仿宋" w:hAnsi="仿宋" w:eastAsia="仿宋"/>
                                  <w:sz w:val="20"/>
                                  <w:szCs w:val="20"/>
                                </w:rPr>
                              </w:pPr>
                              <w:r>
                                <w:rPr>
                                  <w:rFonts w:hint="eastAsia" w:ascii="仿宋" w:hAnsi="仿宋" w:eastAsia="仿宋"/>
                                  <w:sz w:val="20"/>
                                  <w:szCs w:val="20"/>
                                </w:rPr>
                                <w:t>基础(管线)底面距坑底面的垂直距离</w:t>
                              </w:r>
                            </w:p>
                          </w:txbxContent>
                        </wps:txbx>
                        <wps:bodyPr rot="0" vert="horz" wrap="square" lIns="0" tIns="0" rIns="0" bIns="0" anchor="t" anchorCtr="false" upright="true">
                          <a:noAutofit/>
                        </wps:bodyPr>
                      </wps:wsp>
                      <wps:wsp>
                        <wps:cNvPr id="347" name="Text Box 70"/>
                        <wps:cNvSpPr txBox="true">
                          <a:spLocks noChangeArrowheads="true"/>
                        </wps:cNvSpPr>
                        <wps:spPr bwMode="auto">
                          <a:xfrm>
                            <a:off x="2246" y="758"/>
                            <a:ext cx="2336" cy="276"/>
                          </a:xfrm>
                          <a:prstGeom prst="rect">
                            <a:avLst/>
                          </a:prstGeom>
                          <a:noFill/>
                          <a:ln>
                            <a:noFill/>
                          </a:ln>
                        </wps:spPr>
                        <wps:txbx>
                          <w:txbxContent>
                            <w:p>
                              <w:pPr>
                                <w:spacing w:line="240" w:lineRule="exact"/>
                                <w:jc w:val="center"/>
                                <w:rPr>
                                  <w:rFonts w:ascii="仿宋" w:hAnsi="仿宋" w:eastAsia="仿宋"/>
                                  <w:sz w:val="20"/>
                                  <w:szCs w:val="20"/>
                                </w:rPr>
                              </w:pPr>
                              <w:r>
                                <w:rPr>
                                  <w:rFonts w:hint="eastAsia" w:ascii="仿宋" w:hAnsi="仿宋" w:eastAsia="仿宋"/>
                                  <w:sz w:val="20"/>
                                  <w:szCs w:val="20"/>
                                </w:rPr>
                                <w:t>既有建筑物基础(管线)</w:t>
                              </w:r>
                            </w:p>
                          </w:txbxContent>
                        </wps:txbx>
                        <wps:bodyPr rot="0" vert="horz" wrap="square" lIns="0" tIns="0" rIns="0" bIns="0" anchor="t" anchorCtr="false" upright="true">
                          <a:noAutofit/>
                        </wps:bodyPr>
                      </wps:wsp>
                    </wpg:wgp>
                  </a:graphicData>
                </a:graphic>
              </wp:anchor>
            </w:drawing>
          </mc:Choice>
          <mc:Fallback>
            <w:pict>
              <v:group id="_x0000_s1026" o:spid="_x0000_s1026" o:spt="203" style="position:absolute;left:0pt;margin-left:40.5pt;margin-top:3.2pt;height:253.55pt;width:409.8pt;mso-wrap-distance-left:9pt;mso-wrap-distance-right:9pt;z-index:-251655168;mso-width-relative:page;mso-height-relative:page;" coordsize="8280,4926" wrapcoords="-40 0 -40 18836 21600 18836 21600 0 -40 0" o:gfxdata="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">
                <o:lock v:ext="edit" aspectratio="f"/>
                <v:shape id="Picture 66" o:spid="_x0000_s1026" o:spt="75" alt="Drawing2-Model" type="#_x0000_t75" style="position:absolute;left:0;top:0;height:4315;width:8280;" filled="f" o:preferrelative="t" stroked="f" coordsize="21600,21600" o:gfxdata="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OhIqvAAAANwAAAAPAAAAAAAAAAEAIAAAADgAAABkcnMvZG93bnJldi54&#10;bWxQSwECFAAUAAAACACHTuJAMy8FnjsAAAA5AAAAEAAAAAAAAAABACAAAAAhAQAAZHJzL3NoYXBl&#10;eG1sLnhtbFBLBQYAAAAABgAGAFsBAADLAwAAAAA=&#10;">
                  <v:fill on="f" focussize="0,0"/>
                  <v:stroke on="f"/>
                  <v:imagedata r:id="rId82" croptop="17695f" cropbottom="17045f" o:title=""/>
                  <o:lock v:ext="edit" aspectratio="t"/>
                </v:shape>
                <v:shape id="Text Box 67" o:spid="_x0000_s1026" o:spt="202" type="#_x0000_t202" style="position:absolute;left:930;top:4398;height:528;width:6722;" filled="f" stroked="f" coordsize="21600,21600" o:gfxdata="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FYdA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before="156" w:beforeLines="50"/>
                          <w:jc w:val="center"/>
                          <w:rPr>
                            <w:rFonts w:ascii="宋体" w:hAnsi="宋体"/>
                            <w:sz w:val="21"/>
                            <w:szCs w:val="21"/>
                          </w:rPr>
                        </w:pPr>
                        <w:r>
                          <w:rPr>
                            <w:rFonts w:hint="eastAsia" w:ascii="宋体" w:hAnsi="宋体"/>
                            <w:sz w:val="21"/>
                            <w:szCs w:val="21"/>
                          </w:rPr>
                          <w:t>图</w:t>
                        </w:r>
                        <w:r>
                          <w:rPr>
                            <w:rFonts w:hint="eastAsia" w:ascii="Times New Roman" w:hAnsi="Times New Roman"/>
                            <w:sz w:val="21"/>
                            <w:szCs w:val="21"/>
                          </w:rPr>
                          <w:t>3</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.4 相邻建筑物基础(管线)与基坑相对关系示意</w:t>
                        </w:r>
                      </w:p>
                      <w:p>
                        <w:pPr>
                          <w:jc w:val="center"/>
                          <w:rPr>
                            <w:rFonts w:ascii="宋体" w:hAnsi="宋体"/>
                            <w:szCs w:val="24"/>
                          </w:rPr>
                        </w:pPr>
                      </w:p>
                    </w:txbxContent>
                  </v:textbox>
                </v:shape>
                <v:shape id="Text Box 68" o:spid="_x0000_s1026" o:spt="202" type="#_x0000_t202" style="position:absolute;left:2590;top:1759;height:552;width:1977;" filled="f" stroked="f" coordsize="21600,21600" o:gfxdata="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WSLb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40" w:lineRule="exact"/>
                          <w:jc w:val="center"/>
                          <w:rPr>
                            <w:rFonts w:ascii="仿宋" w:hAnsi="仿宋" w:eastAsia="仿宋"/>
                            <w:sz w:val="20"/>
                            <w:szCs w:val="20"/>
                          </w:rPr>
                        </w:pPr>
                        <w:r>
                          <w:rPr>
                            <w:rFonts w:hint="eastAsia" w:ascii="仿宋" w:hAnsi="仿宋" w:eastAsia="仿宋"/>
                            <w:sz w:val="20"/>
                            <w:szCs w:val="20"/>
                          </w:rPr>
                          <w:t>基础(管线)外边缘距基坑侧壁的水平距离</w:t>
                        </w:r>
                      </w:p>
                    </w:txbxContent>
                  </v:textbox>
                </v:shape>
                <v:shape id="Text Box 69" o:spid="_x0000_s1026" o:spt="202" type="#_x0000_t202" style="position:absolute;left:240;top:2179;height:552;width:1647;" filled="f" stroked="f" coordsize="21600,21600" o:gfxdata="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8i7ys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40" w:lineRule="exact"/>
                          <w:rPr>
                            <w:rFonts w:ascii="仿宋" w:hAnsi="仿宋" w:eastAsia="仿宋"/>
                            <w:sz w:val="20"/>
                            <w:szCs w:val="20"/>
                          </w:rPr>
                        </w:pPr>
                        <w:r>
                          <w:rPr>
                            <w:rFonts w:hint="eastAsia" w:ascii="仿宋" w:hAnsi="仿宋" w:eastAsia="仿宋"/>
                            <w:sz w:val="20"/>
                            <w:szCs w:val="20"/>
                          </w:rPr>
                          <w:t>基础(管线)底面距坑底面的垂直距离</w:t>
                        </w:r>
                      </w:p>
                    </w:txbxContent>
                  </v:textbox>
                </v:shape>
                <v:shape id="Text Box 70" o:spid="_x0000_s1026" o:spt="202" type="#_x0000_t202" style="position:absolute;left:2246;top:758;height:276;width:2336;" filled="f" stroked="f" coordsize="21600,21600" o:gfxdata="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&#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xxk3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40" w:lineRule="exact"/>
                          <w:jc w:val="center"/>
                          <w:rPr>
                            <w:rFonts w:ascii="仿宋" w:hAnsi="仿宋" w:eastAsia="仿宋"/>
                            <w:sz w:val="20"/>
                            <w:szCs w:val="20"/>
                          </w:rPr>
                        </w:pPr>
                        <w:r>
                          <w:rPr>
                            <w:rFonts w:hint="eastAsia" w:ascii="仿宋" w:hAnsi="仿宋" w:eastAsia="仿宋"/>
                            <w:sz w:val="20"/>
                            <w:szCs w:val="20"/>
                          </w:rPr>
                          <w:t>既有建筑物基础(管线)</w:t>
                        </w:r>
                      </w:p>
                    </w:txbxContent>
                  </v:textbox>
                </v:shape>
                <w10:wrap type="tight"/>
              </v:group>
            </w:pict>
          </mc:Fallback>
        </mc:AlternateContent>
      </w: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bidi w:val="0"/>
      </w:pPr>
      <w:bookmarkStart w:id="116" w:name="_Toc1164"/>
      <w:bookmarkStart w:id="117" w:name="_Toc21416"/>
      <w:r>
        <w:rPr>
          <w:rFonts w:ascii="Times New Roman" w:hAnsi="Times New Roman"/>
          <w:b/>
          <w:szCs w:val="28"/>
        </w:rPr>
        <w:t>3.0.</w:t>
      </w:r>
      <w:r>
        <w:rPr>
          <w:rFonts w:hint="eastAsia" w:ascii="Times New Roman" w:hAnsi="Times New Roman"/>
          <w:b/>
          <w:szCs w:val="28"/>
        </w:rPr>
        <w:t>5</w:t>
      </w:r>
      <w:r>
        <w:rPr>
          <w:rFonts w:hint="eastAsia"/>
        </w:rPr>
        <w:t xml:space="preserve"> 同一基坑依周边条件不同，可取不同的安全等级。</w:t>
      </w:r>
      <w:bookmarkEnd w:id="116"/>
      <w:bookmarkEnd w:id="117"/>
    </w:p>
    <w:p>
      <w:pPr>
        <w:widowControl w:val="0"/>
        <w:spacing w:line="480" w:lineRule="exact"/>
        <w:rPr>
          <w:rFonts w:ascii="Times New Roman" w:hAnsi="Times New Roman"/>
          <w:szCs w:val="28"/>
        </w:rPr>
      </w:pPr>
      <w:r>
        <w:rPr>
          <w:rFonts w:ascii="Times New Roman" w:hAnsi="Times New Roman"/>
          <w:b/>
          <w:szCs w:val="28"/>
        </w:rPr>
        <w:t>3</w:t>
      </w:r>
      <w:r>
        <w:rPr>
          <w:rFonts w:hint="eastAsia" w:ascii="Times New Roman" w:hAnsi="Times New Roman"/>
          <w:b/>
          <w:szCs w:val="28"/>
        </w:rPr>
        <w:t>.</w:t>
      </w:r>
      <w:r>
        <w:rPr>
          <w:rFonts w:ascii="Times New Roman" w:hAnsi="Times New Roman"/>
          <w:b/>
          <w:szCs w:val="28"/>
        </w:rPr>
        <w:t>0</w:t>
      </w:r>
      <w:r>
        <w:rPr>
          <w:rFonts w:hint="eastAsia" w:ascii="Times New Roman" w:hAnsi="Times New Roman"/>
          <w:b/>
          <w:szCs w:val="28"/>
        </w:rPr>
        <w:t xml:space="preserve">.6 </w:t>
      </w:r>
      <w:r>
        <w:rPr>
          <w:rFonts w:hint="eastAsia" w:ascii="Times New Roman" w:hAnsi="Times New Roman"/>
          <w:szCs w:val="28"/>
        </w:rPr>
        <w:t>基坑工程支护结构设计时，对安全等级为一级、二级、三级时，其侧壁支护结构的重要性系数分别不小于</w:t>
      </w:r>
      <w:r>
        <w:rPr>
          <w:rFonts w:ascii="Times New Roman" w:hAnsi="Times New Roman"/>
          <w:szCs w:val="28"/>
        </w:rPr>
        <w:t>1.1</w:t>
      </w:r>
      <w:r>
        <w:rPr>
          <w:rFonts w:hint="eastAsia" w:ascii="Times New Roman" w:hAnsi="Times New Roman"/>
          <w:szCs w:val="28"/>
        </w:rPr>
        <w:t>、1.0、0.9。</w:t>
      </w:r>
    </w:p>
    <w:p>
      <w:pPr>
        <w:widowControl w:val="0"/>
        <w:spacing w:line="480" w:lineRule="exact"/>
        <w:rPr>
          <w:rFonts w:ascii="Times New Roman" w:hAnsi="Times New Roman"/>
          <w:szCs w:val="28"/>
        </w:rPr>
      </w:pPr>
      <w:r>
        <w:rPr>
          <w:rFonts w:ascii="Times New Roman" w:hAnsi="Times New Roman"/>
          <w:b/>
          <w:szCs w:val="28"/>
        </w:rPr>
        <w:t>3</w:t>
      </w:r>
      <w:r>
        <w:rPr>
          <w:rFonts w:hint="eastAsia" w:ascii="Times New Roman" w:hAnsi="Times New Roman"/>
          <w:b/>
          <w:szCs w:val="28"/>
        </w:rPr>
        <w:t>.</w:t>
      </w:r>
      <w:r>
        <w:rPr>
          <w:rFonts w:ascii="Times New Roman" w:hAnsi="Times New Roman"/>
          <w:b/>
          <w:szCs w:val="28"/>
        </w:rPr>
        <w:t>0</w:t>
      </w:r>
      <w:r>
        <w:rPr>
          <w:rFonts w:hint="eastAsia" w:ascii="Times New Roman" w:hAnsi="Times New Roman"/>
          <w:b/>
          <w:szCs w:val="28"/>
        </w:rPr>
        <w:t>.7</w:t>
      </w:r>
      <w:r>
        <w:rPr>
          <w:rFonts w:hint="eastAsia" w:ascii="Times New Roman" w:hAnsi="Times New Roman"/>
          <w:szCs w:val="28"/>
        </w:rPr>
        <w:t>支护结构、基坑周边建筑物和地面沉降、地下水控制的计算和验算应采用下列设计表达式：</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bookmarkStart w:id="118" w:name="_Toc4797"/>
      <w:bookmarkStart w:id="119" w:name="_Toc23111"/>
      <w:r>
        <w:rPr>
          <w:rFonts w:hint="eastAsia"/>
          <w:b w:val="0"/>
          <w:bCs w:val="0"/>
        </w:rPr>
        <w:t>1 承载能力极限状态</w:t>
      </w:r>
      <w:bookmarkEnd w:id="118"/>
      <w:bookmarkEnd w:id="119"/>
    </w:p>
    <w:p>
      <w:pPr>
        <w:widowControl w:val="0"/>
        <w:spacing w:line="480" w:lineRule="exact"/>
        <w:ind w:firstLine="600" w:firstLineChars="250"/>
        <w:rPr>
          <w:rFonts w:ascii="Times New Roman" w:hAnsi="Times New Roman"/>
          <w:szCs w:val="28"/>
        </w:rPr>
      </w:pPr>
      <w:r>
        <w:rPr>
          <w:rFonts w:hint="eastAsia" w:ascii="Times New Roman" w:hAnsi="Times New Roman"/>
          <w:szCs w:val="28"/>
        </w:rPr>
        <w:t>1）支护结构构件或连接因超过材料强度或过度变形的承载能力极限状态设计，应符合下式要求：</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hint="eastAsia" w:ascii="Times New Roman" w:hAnsi="Times New Roman"/>
                <w:i/>
                <w:szCs w:val="28"/>
              </w:rPr>
              <w:t>γ</w:t>
            </w:r>
            <w:r>
              <w:rPr>
                <w:rFonts w:hint="eastAsia" w:ascii="Times New Roman" w:hAnsi="Times New Roman"/>
                <w:szCs w:val="28"/>
                <w:vertAlign w:val="subscript"/>
              </w:rPr>
              <w:t>0</w:t>
            </w:r>
            <w:r>
              <w:rPr>
                <w:rFonts w:hint="eastAsia" w:ascii="Times New Roman" w:hAnsi="Times New Roman"/>
                <w:i/>
                <w:szCs w:val="28"/>
              </w:rPr>
              <w:t>S</w:t>
            </w:r>
            <w:r>
              <w:rPr>
                <w:rFonts w:hint="eastAsia" w:ascii="Times New Roman" w:hAnsi="Times New Roman"/>
                <w:szCs w:val="28"/>
                <w:vertAlign w:val="subscript"/>
              </w:rPr>
              <w:t>d</w:t>
            </w:r>
            <w:r>
              <w:rPr>
                <w:rFonts w:hint="eastAsia" w:ascii="Times New Roman" w:hAnsi="Times New Roman"/>
                <w:szCs w:val="28"/>
              </w:rPr>
              <w:t xml:space="preserve"> ≤</w:t>
            </w:r>
            <w:r>
              <w:rPr>
                <w:rFonts w:hint="eastAsia" w:ascii="Times New Roman" w:hAnsi="Times New Roman"/>
                <w:i/>
                <w:szCs w:val="28"/>
              </w:rPr>
              <w:t>R</w:t>
            </w:r>
            <w:r>
              <w:rPr>
                <w:rFonts w:hint="eastAsia" w:ascii="Times New Roman" w:hAnsi="Times New Roman"/>
                <w:szCs w:val="28"/>
                <w:vertAlign w:val="subscript"/>
              </w:rPr>
              <w:t>d</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（3.0.7-1）</w:t>
            </w:r>
          </w:p>
        </w:tc>
      </w:tr>
    </w:tbl>
    <w:p>
      <w:pPr>
        <w:widowControl w:val="0"/>
        <w:spacing w:line="480" w:lineRule="exact"/>
        <w:rPr>
          <w:rFonts w:ascii="Times New Roman" w:hAnsi="Times New Roman"/>
          <w:szCs w:val="28"/>
        </w:rPr>
      </w:pPr>
      <w:r>
        <w:rPr>
          <w:rFonts w:hint="eastAsia" w:ascii="Times New Roman" w:hAnsi="Times New Roman"/>
          <w:szCs w:val="28"/>
        </w:rPr>
        <w:t>式中：</w:t>
      </w:r>
      <w:r>
        <w:rPr>
          <w:rFonts w:hint="eastAsia" w:ascii="Times New Roman" w:hAnsi="Times New Roman"/>
          <w:i/>
          <w:szCs w:val="28"/>
        </w:rPr>
        <w:t>γ</w:t>
      </w:r>
      <w:r>
        <w:rPr>
          <w:rFonts w:hint="eastAsia" w:ascii="Times New Roman" w:hAnsi="Times New Roman"/>
          <w:szCs w:val="28"/>
          <w:vertAlign w:val="subscript"/>
        </w:rPr>
        <w:t>0</w:t>
      </w:r>
      <w:r>
        <w:rPr>
          <w:rFonts w:ascii="Times New Roman" w:hAnsi="Times New Roman"/>
          <w:szCs w:val="24"/>
        </w:rPr>
        <w:t>——</w:t>
      </w:r>
      <w:r>
        <w:rPr>
          <w:rFonts w:hint="eastAsia" w:ascii="Times New Roman" w:hAnsi="Times New Roman"/>
          <w:szCs w:val="28"/>
        </w:rPr>
        <w:t>支护结构重要性系数，应按本</w:t>
      </w:r>
      <w:r>
        <w:rPr>
          <w:rFonts w:hint="eastAsia" w:ascii="Times New Roman" w:hAnsi="Times New Roman"/>
          <w:szCs w:val="28"/>
          <w:lang w:eastAsia="zh-CN"/>
        </w:rPr>
        <w:t>标准</w:t>
      </w:r>
      <w:r>
        <w:rPr>
          <w:rFonts w:hint="eastAsia" w:ascii="Times New Roman" w:hAnsi="Times New Roman"/>
          <w:szCs w:val="28"/>
        </w:rPr>
        <w:t>第3.0.6条的规定采用；</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S</w:t>
      </w:r>
      <w:r>
        <w:rPr>
          <w:rFonts w:hint="eastAsia" w:ascii="Times New Roman" w:hAnsi="Times New Roman"/>
          <w:szCs w:val="28"/>
          <w:vertAlign w:val="subscript"/>
        </w:rPr>
        <w:t>d</w:t>
      </w:r>
      <w:r>
        <w:rPr>
          <w:rFonts w:ascii="Times New Roman" w:hAnsi="Times New Roman"/>
          <w:szCs w:val="24"/>
        </w:rPr>
        <w:t>——</w:t>
      </w:r>
      <w:r>
        <w:rPr>
          <w:rFonts w:hint="eastAsia" w:ascii="Times New Roman" w:hAnsi="Times New Roman"/>
          <w:szCs w:val="28"/>
        </w:rPr>
        <w:t>作用基本组合的效应（轴力、弯矩等）设计值；</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R</w:t>
      </w:r>
      <w:r>
        <w:rPr>
          <w:rFonts w:hint="eastAsia" w:ascii="Times New Roman" w:hAnsi="Times New Roman"/>
          <w:szCs w:val="28"/>
          <w:vertAlign w:val="subscript"/>
        </w:rPr>
        <w:t>d</w:t>
      </w:r>
      <w:r>
        <w:rPr>
          <w:rFonts w:ascii="Times New Roman" w:hAnsi="Times New Roman"/>
          <w:szCs w:val="24"/>
        </w:rPr>
        <w:t>——</w:t>
      </w:r>
      <w:r>
        <w:rPr>
          <w:rFonts w:hint="eastAsia" w:ascii="Times New Roman" w:hAnsi="Times New Roman"/>
          <w:szCs w:val="28"/>
        </w:rPr>
        <w:t>结构构件的抗力设计值。</w:t>
      </w:r>
    </w:p>
    <w:p>
      <w:pPr>
        <w:widowControl w:val="0"/>
        <w:spacing w:line="480" w:lineRule="exact"/>
        <w:ind w:firstLine="480" w:firstLineChars="200"/>
        <w:rPr>
          <w:rFonts w:ascii="Times New Roman" w:hAnsi="Times New Roman"/>
          <w:szCs w:val="28"/>
        </w:rPr>
      </w:pPr>
      <w:r>
        <w:rPr>
          <w:rFonts w:hint="eastAsia" w:ascii="Times New Roman" w:hAnsi="Times New Roman"/>
          <w:szCs w:val="28"/>
        </w:rPr>
        <w:t>对临时性支护结构，作用基本组合的效应设计值应按下式确定：</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hint="eastAsia" w:ascii="Times New Roman" w:hAnsi="Times New Roman"/>
                <w:i/>
                <w:szCs w:val="28"/>
              </w:rPr>
              <w:t>S</w:t>
            </w:r>
            <w:r>
              <w:rPr>
                <w:rFonts w:hint="eastAsia" w:ascii="Times New Roman" w:hAnsi="Times New Roman"/>
                <w:szCs w:val="28"/>
                <w:vertAlign w:val="subscript"/>
              </w:rPr>
              <w:t>d</w:t>
            </w:r>
            <w:r>
              <w:rPr>
                <w:rFonts w:hint="eastAsia" w:ascii="Times New Roman" w:hAnsi="Times New Roman"/>
                <w:szCs w:val="28"/>
              </w:rPr>
              <w:t xml:space="preserve"> = </w:t>
            </w:r>
            <w:r>
              <w:rPr>
                <w:rFonts w:hint="eastAsia" w:ascii="Times New Roman" w:hAnsi="Times New Roman"/>
                <w:i/>
                <w:szCs w:val="28"/>
              </w:rPr>
              <w:t>γ</w:t>
            </w:r>
            <w:r>
              <w:rPr>
                <w:rFonts w:hint="eastAsia" w:ascii="Times New Roman" w:hAnsi="Times New Roman"/>
                <w:szCs w:val="28"/>
                <w:vertAlign w:val="subscript"/>
              </w:rPr>
              <w:t>F</w:t>
            </w:r>
            <w:r>
              <w:rPr>
                <w:rFonts w:hint="eastAsia" w:ascii="Times New Roman" w:hAnsi="Times New Roman"/>
                <w:szCs w:val="28"/>
              </w:rPr>
              <w:t xml:space="preserve"> </w:t>
            </w:r>
            <w:r>
              <w:rPr>
                <w:rFonts w:hint="eastAsia" w:ascii="Times New Roman" w:hAnsi="Times New Roman"/>
                <w:i/>
                <w:szCs w:val="28"/>
              </w:rPr>
              <w:t>S</w:t>
            </w:r>
            <w:r>
              <w:rPr>
                <w:rFonts w:hint="eastAsia" w:ascii="Times New Roman" w:hAnsi="Times New Roman"/>
                <w:szCs w:val="28"/>
                <w:vertAlign w:val="subscript"/>
              </w:rPr>
              <w:t>k</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（3.0.7-2）</w:t>
            </w:r>
          </w:p>
        </w:tc>
      </w:tr>
    </w:tbl>
    <w:p>
      <w:pPr>
        <w:widowControl w:val="0"/>
        <w:spacing w:line="480" w:lineRule="exact"/>
        <w:rPr>
          <w:rFonts w:ascii="Times New Roman" w:hAnsi="Times New Roman"/>
          <w:szCs w:val="28"/>
        </w:rPr>
      </w:pPr>
      <w:r>
        <w:rPr>
          <w:rFonts w:hint="eastAsia" w:ascii="Times New Roman" w:hAnsi="Times New Roman"/>
          <w:szCs w:val="28"/>
        </w:rPr>
        <w:t>式中：</w:t>
      </w:r>
      <w:r>
        <w:rPr>
          <w:rFonts w:hint="eastAsia" w:ascii="Times New Roman" w:hAnsi="Times New Roman"/>
          <w:i/>
          <w:szCs w:val="28"/>
        </w:rPr>
        <w:t>γ</w:t>
      </w:r>
      <w:r>
        <w:rPr>
          <w:rFonts w:hint="eastAsia" w:ascii="Times New Roman" w:hAnsi="Times New Roman"/>
          <w:szCs w:val="28"/>
          <w:vertAlign w:val="subscript"/>
        </w:rPr>
        <w:t>F</w:t>
      </w:r>
      <w:r>
        <w:rPr>
          <w:rFonts w:ascii="Times New Roman" w:hAnsi="Times New Roman"/>
          <w:szCs w:val="24"/>
        </w:rPr>
        <w:t>——</w:t>
      </w:r>
      <w:r>
        <w:rPr>
          <w:rFonts w:hint="eastAsia" w:ascii="Times New Roman" w:hAnsi="Times New Roman"/>
          <w:szCs w:val="28"/>
        </w:rPr>
        <w:t>作用基本组合的综合分项系数，不应小于1.25；</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S</w:t>
      </w:r>
      <w:r>
        <w:rPr>
          <w:rFonts w:hint="eastAsia" w:ascii="Times New Roman" w:hAnsi="Times New Roman"/>
          <w:szCs w:val="28"/>
          <w:vertAlign w:val="subscript"/>
        </w:rPr>
        <w:t>k</w:t>
      </w:r>
      <w:r>
        <w:rPr>
          <w:rFonts w:ascii="Times New Roman" w:hAnsi="Times New Roman"/>
          <w:szCs w:val="24"/>
        </w:rPr>
        <w:t>——</w:t>
      </w:r>
      <w:r>
        <w:rPr>
          <w:rFonts w:hint="eastAsia" w:ascii="Times New Roman" w:hAnsi="Times New Roman"/>
          <w:szCs w:val="28"/>
        </w:rPr>
        <w:t>作用标准组合的效应。</w:t>
      </w:r>
    </w:p>
    <w:p>
      <w:pPr>
        <w:widowControl w:val="0"/>
        <w:spacing w:line="480" w:lineRule="exact"/>
        <w:ind w:left="960" w:leftChars="250" w:hanging="360" w:hangingChars="150"/>
        <w:rPr>
          <w:rFonts w:ascii="Times New Roman" w:hAnsi="Times New Roman"/>
          <w:szCs w:val="28"/>
        </w:rPr>
      </w:pPr>
      <w:r>
        <w:rPr>
          <w:rFonts w:hint="eastAsia" w:ascii="Times New Roman" w:hAnsi="Times New Roman"/>
          <w:szCs w:val="28"/>
        </w:rPr>
        <w:t>2）整体滑动、坑底隆起、挡土构件嵌固段推移、锚杆与土钉拔动、支护结构倾覆与滑移等稳定性计算和验算，均应符合下式要求：</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ascii="Times New Roman" w:hAnsi="Times New Roman"/>
                <w:i/>
                <w:szCs w:val="28"/>
              </w:rPr>
              <w:t>R</w:t>
            </w:r>
            <w:r>
              <w:rPr>
                <w:rFonts w:hint="eastAsia" w:ascii="Times New Roman" w:hAnsi="Times New Roman"/>
                <w:szCs w:val="28"/>
                <w:vertAlign w:val="subscript"/>
              </w:rPr>
              <w:t>k</w:t>
            </w:r>
            <w:r>
              <w:rPr>
                <w:rFonts w:hint="eastAsia" w:ascii="Times New Roman" w:hAnsi="Times New Roman"/>
                <w:szCs w:val="28"/>
              </w:rPr>
              <w:t>/</w:t>
            </w:r>
            <w:r>
              <w:rPr>
                <w:rFonts w:hint="eastAsia" w:ascii="Times New Roman" w:hAnsi="Times New Roman"/>
                <w:i/>
                <w:szCs w:val="28"/>
              </w:rPr>
              <w:t>S</w:t>
            </w:r>
            <w:r>
              <w:rPr>
                <w:rFonts w:hint="eastAsia" w:ascii="Times New Roman" w:hAnsi="Times New Roman"/>
                <w:szCs w:val="28"/>
                <w:vertAlign w:val="subscript"/>
              </w:rPr>
              <w:t>k</w:t>
            </w:r>
            <w:r>
              <w:rPr>
                <w:rFonts w:hint="eastAsia" w:ascii="Times New Roman" w:hAnsi="Times New Roman"/>
                <w:szCs w:val="28"/>
              </w:rPr>
              <w:t>≥</w:t>
            </w:r>
            <w:r>
              <w:rPr>
                <w:rFonts w:hint="eastAsia" w:ascii="Times New Roman" w:hAnsi="Times New Roman"/>
                <w:i/>
                <w:szCs w:val="28"/>
              </w:rPr>
              <w:t>K</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（3.0.7-3）</w:t>
            </w:r>
          </w:p>
        </w:tc>
      </w:tr>
    </w:tbl>
    <w:p>
      <w:pPr>
        <w:widowControl w:val="0"/>
        <w:spacing w:line="480" w:lineRule="exact"/>
        <w:ind w:left="1519" w:leftChars="33" w:hanging="1440" w:hangingChars="600"/>
        <w:rPr>
          <w:rFonts w:ascii="Times New Roman" w:hAnsi="Times New Roman"/>
          <w:szCs w:val="28"/>
        </w:rPr>
      </w:pPr>
      <w:r>
        <w:rPr>
          <w:rFonts w:hint="eastAsia" w:ascii="Times New Roman" w:hAnsi="Times New Roman"/>
          <w:szCs w:val="28"/>
        </w:rPr>
        <w:t>式中：</w:t>
      </w:r>
      <w:r>
        <w:rPr>
          <w:rFonts w:hint="eastAsia" w:ascii="Times New Roman" w:hAnsi="Times New Roman"/>
          <w:i/>
          <w:szCs w:val="28"/>
        </w:rPr>
        <w:t>R</w:t>
      </w:r>
      <w:r>
        <w:rPr>
          <w:rFonts w:hint="eastAsia" w:ascii="Times New Roman" w:hAnsi="Times New Roman"/>
          <w:szCs w:val="28"/>
          <w:vertAlign w:val="subscript"/>
        </w:rPr>
        <w:t>k</w:t>
      </w:r>
      <w:r>
        <w:rPr>
          <w:rFonts w:ascii="Times New Roman" w:hAnsi="Times New Roman"/>
          <w:szCs w:val="24"/>
        </w:rPr>
        <w:t>——</w:t>
      </w:r>
      <w:r>
        <w:rPr>
          <w:rFonts w:hint="eastAsia" w:ascii="Times New Roman" w:hAnsi="Times New Roman"/>
          <w:szCs w:val="28"/>
        </w:rPr>
        <w:t>抗滑力、抗滑力矩、抗倾覆力矩、锚杆和土钉的极限抗拔承载力等土的抗力标准值；</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S</w:t>
      </w:r>
      <w:r>
        <w:rPr>
          <w:rFonts w:hint="eastAsia" w:ascii="Times New Roman" w:hAnsi="Times New Roman"/>
          <w:szCs w:val="28"/>
          <w:vertAlign w:val="subscript"/>
        </w:rPr>
        <w:t>k</w:t>
      </w:r>
      <w:r>
        <w:rPr>
          <w:rFonts w:ascii="Times New Roman" w:hAnsi="Times New Roman"/>
          <w:szCs w:val="24"/>
        </w:rPr>
        <w:t>——</w:t>
      </w:r>
      <w:r>
        <w:rPr>
          <w:rFonts w:hint="eastAsia" w:ascii="Times New Roman" w:hAnsi="Times New Roman"/>
          <w:szCs w:val="28"/>
        </w:rPr>
        <w:t>滑动力、滑动力矩、倾覆力矩、锚杆和土钉的拉力等作用标准值的效应；</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K</w:t>
      </w:r>
      <w:r>
        <w:rPr>
          <w:rFonts w:ascii="Times New Roman" w:hAnsi="Times New Roman"/>
          <w:szCs w:val="24"/>
        </w:rPr>
        <w:t>——</w:t>
      </w:r>
      <w:r>
        <w:rPr>
          <w:rFonts w:hint="eastAsia" w:ascii="Times New Roman" w:hAnsi="Times New Roman"/>
          <w:szCs w:val="28"/>
        </w:rPr>
        <w:t>稳定性安全系数，各类稳定性安全系数应按本</w:t>
      </w:r>
      <w:r>
        <w:rPr>
          <w:rFonts w:hint="eastAsia" w:ascii="Times New Roman" w:hAnsi="Times New Roman"/>
          <w:szCs w:val="28"/>
          <w:lang w:eastAsia="zh-CN"/>
        </w:rPr>
        <w:t>标准</w:t>
      </w:r>
      <w:r>
        <w:rPr>
          <w:rFonts w:hint="eastAsia" w:ascii="Times New Roman" w:hAnsi="Times New Roman"/>
          <w:szCs w:val="28"/>
        </w:rPr>
        <w:t>各章的规定取值。</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b w:val="0"/>
          <w:bCs w:val="0"/>
        </w:rPr>
      </w:pPr>
      <w:bookmarkStart w:id="120" w:name="_Toc8099"/>
      <w:bookmarkStart w:id="121" w:name="_Toc20769"/>
      <w:r>
        <w:rPr>
          <w:rFonts w:hint="eastAsia"/>
          <w:b w:val="0"/>
          <w:bCs w:val="0"/>
        </w:rPr>
        <w:t>2 正常使用极限状态</w:t>
      </w:r>
      <w:bookmarkEnd w:id="120"/>
      <w:bookmarkEnd w:id="121"/>
    </w:p>
    <w:p>
      <w:pPr>
        <w:widowControl w:val="0"/>
        <w:spacing w:line="480" w:lineRule="exact"/>
        <w:ind w:firstLine="480" w:firstLineChars="200"/>
        <w:rPr>
          <w:rFonts w:ascii="Times New Roman" w:hAnsi="Times New Roman"/>
          <w:szCs w:val="28"/>
        </w:rPr>
      </w:pPr>
      <w:r>
        <w:rPr>
          <w:rFonts w:hint="eastAsia" w:ascii="Times New Roman" w:hAnsi="Times New Roman"/>
          <w:szCs w:val="28"/>
        </w:rPr>
        <w:t>由支护结构的位移、基坑周边建筑物和地面的沉降等控制的正常使用极限状态设计，应符合下式要求：</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hint="eastAsia" w:ascii="Times New Roman" w:hAnsi="Times New Roman"/>
                <w:i/>
                <w:szCs w:val="28"/>
              </w:rPr>
              <w:t>S</w:t>
            </w:r>
            <w:r>
              <w:rPr>
                <w:rFonts w:hint="eastAsia" w:ascii="Times New Roman" w:hAnsi="Times New Roman"/>
                <w:szCs w:val="28"/>
                <w:vertAlign w:val="subscript"/>
              </w:rPr>
              <w:t>d</w:t>
            </w:r>
            <w:r>
              <w:rPr>
                <w:rFonts w:hint="eastAsia" w:ascii="Times New Roman" w:hAnsi="Times New Roman"/>
                <w:szCs w:val="28"/>
              </w:rPr>
              <w:t xml:space="preserve"> ≤ </w:t>
            </w:r>
            <w:r>
              <w:rPr>
                <w:rFonts w:hint="eastAsia" w:ascii="Times New Roman" w:hAnsi="Times New Roman"/>
                <w:i/>
                <w:szCs w:val="28"/>
              </w:rPr>
              <w:t>C</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（3.0.7-4）</w:t>
            </w:r>
          </w:p>
        </w:tc>
      </w:tr>
    </w:tbl>
    <w:p>
      <w:pPr>
        <w:widowControl w:val="0"/>
        <w:spacing w:line="480" w:lineRule="exact"/>
        <w:rPr>
          <w:rFonts w:ascii="Times New Roman" w:hAnsi="Times New Roman"/>
          <w:szCs w:val="28"/>
        </w:rPr>
      </w:pPr>
      <w:r>
        <w:rPr>
          <w:rFonts w:hint="eastAsia" w:ascii="Times New Roman" w:hAnsi="Times New Roman"/>
          <w:szCs w:val="28"/>
        </w:rPr>
        <w:t>式中：</w:t>
      </w:r>
      <w:r>
        <w:rPr>
          <w:rFonts w:hint="eastAsia" w:ascii="Times New Roman" w:hAnsi="Times New Roman"/>
          <w:i/>
          <w:szCs w:val="28"/>
        </w:rPr>
        <w:t>S</w:t>
      </w:r>
      <w:r>
        <w:rPr>
          <w:rFonts w:hint="eastAsia" w:ascii="Times New Roman" w:hAnsi="Times New Roman"/>
          <w:szCs w:val="28"/>
          <w:vertAlign w:val="subscript"/>
        </w:rPr>
        <w:t>d</w:t>
      </w:r>
      <w:r>
        <w:rPr>
          <w:rFonts w:ascii="Times New Roman" w:hAnsi="Times New Roman"/>
          <w:szCs w:val="24"/>
        </w:rPr>
        <w:t>——</w:t>
      </w:r>
      <w:r>
        <w:rPr>
          <w:rFonts w:hint="eastAsia" w:ascii="Times New Roman" w:hAnsi="Times New Roman"/>
          <w:szCs w:val="28"/>
        </w:rPr>
        <w:t>作用标准组合的效应（位移、沉降等）设计值；</w:t>
      </w:r>
    </w:p>
    <w:p>
      <w:pPr>
        <w:widowControl w:val="0"/>
        <w:spacing w:line="480" w:lineRule="exact"/>
        <w:ind w:firstLine="720" w:firstLineChars="300"/>
        <w:rPr>
          <w:rFonts w:ascii="Times New Roman" w:hAnsi="Times New Roman"/>
          <w:szCs w:val="28"/>
        </w:rPr>
      </w:pPr>
      <w:r>
        <w:rPr>
          <w:rFonts w:hint="eastAsia" w:ascii="Times New Roman" w:hAnsi="Times New Roman"/>
          <w:i/>
          <w:szCs w:val="28"/>
        </w:rPr>
        <w:t>C</w:t>
      </w:r>
      <w:r>
        <w:rPr>
          <w:rFonts w:ascii="Times New Roman" w:hAnsi="Times New Roman"/>
          <w:szCs w:val="24"/>
        </w:rPr>
        <w:t>——</w:t>
      </w:r>
      <w:r>
        <w:rPr>
          <w:rFonts w:hint="eastAsia" w:ascii="Times New Roman" w:hAnsi="Times New Roman"/>
          <w:szCs w:val="28"/>
        </w:rPr>
        <w:t>支护结构的位移、基坑周边建筑物和地面的沉降的限值。</w:t>
      </w:r>
    </w:p>
    <w:p>
      <w:pPr>
        <w:widowControl w:val="0"/>
        <w:spacing w:line="480" w:lineRule="exact"/>
        <w:rPr>
          <w:rFonts w:ascii="Times New Roman" w:hAnsi="Times New Roman"/>
          <w:szCs w:val="28"/>
        </w:rPr>
      </w:pPr>
      <w:r>
        <w:rPr>
          <w:rFonts w:ascii="Times New Roman" w:hAnsi="Times New Roman"/>
          <w:b/>
          <w:szCs w:val="28"/>
        </w:rPr>
        <w:t>3</w:t>
      </w:r>
      <w:r>
        <w:rPr>
          <w:rFonts w:hint="eastAsia" w:ascii="Times New Roman" w:hAnsi="Times New Roman"/>
          <w:b/>
          <w:szCs w:val="28"/>
        </w:rPr>
        <w:t>.</w:t>
      </w:r>
      <w:r>
        <w:rPr>
          <w:rFonts w:ascii="Times New Roman" w:hAnsi="Times New Roman"/>
          <w:b/>
          <w:szCs w:val="28"/>
        </w:rPr>
        <w:t>0</w:t>
      </w:r>
      <w:r>
        <w:rPr>
          <w:rFonts w:hint="eastAsia" w:ascii="Times New Roman" w:hAnsi="Times New Roman"/>
          <w:b/>
          <w:szCs w:val="28"/>
        </w:rPr>
        <w:t>.8</w:t>
      </w:r>
      <w:r>
        <w:rPr>
          <w:rFonts w:hint="eastAsia" w:ascii="Times New Roman" w:hAnsi="Times New Roman"/>
          <w:szCs w:val="28"/>
        </w:rPr>
        <w:t xml:space="preserve"> 支护结构重要性系数与作用基本组合的效应设计值的乘积（</w:t>
      </w:r>
      <w:r>
        <w:rPr>
          <w:rFonts w:hint="eastAsia" w:ascii="Times New Roman" w:hAnsi="Times New Roman"/>
          <w:i/>
          <w:szCs w:val="28"/>
        </w:rPr>
        <w:t>γ</w:t>
      </w:r>
      <w:r>
        <w:rPr>
          <w:rFonts w:hint="eastAsia" w:ascii="Times New Roman" w:hAnsi="Times New Roman"/>
          <w:szCs w:val="28"/>
          <w:vertAlign w:val="subscript"/>
        </w:rPr>
        <w:t>0</w:t>
      </w:r>
      <w:r>
        <w:rPr>
          <w:rFonts w:hint="eastAsia" w:ascii="Times New Roman" w:hAnsi="Times New Roman"/>
          <w:i/>
          <w:szCs w:val="28"/>
        </w:rPr>
        <w:t>S</w:t>
      </w:r>
      <w:r>
        <w:rPr>
          <w:rFonts w:hint="eastAsia" w:ascii="Times New Roman" w:hAnsi="Times New Roman"/>
          <w:szCs w:val="28"/>
          <w:vertAlign w:val="subscript"/>
        </w:rPr>
        <w:t>d</w:t>
      </w:r>
      <w:r>
        <w:rPr>
          <w:rFonts w:hint="eastAsia" w:ascii="Times New Roman" w:hAnsi="Times New Roman"/>
          <w:szCs w:val="28"/>
        </w:rPr>
        <w:t>）可采用下列内力设计值表示：</w:t>
      </w:r>
    </w:p>
    <w:p>
      <w:pPr>
        <w:widowControl w:val="0"/>
        <w:spacing w:line="480" w:lineRule="exact"/>
        <w:ind w:firstLine="480" w:firstLineChars="200"/>
        <w:rPr>
          <w:rFonts w:ascii="Times New Roman" w:hAnsi="Times New Roman"/>
          <w:szCs w:val="28"/>
        </w:rPr>
      </w:pPr>
      <w:r>
        <w:rPr>
          <w:rFonts w:hint="eastAsia" w:ascii="Times New Roman" w:hAnsi="Times New Roman"/>
          <w:szCs w:val="28"/>
        </w:rPr>
        <w:t>弯矩设计值</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hint="eastAsia" w:ascii="Times New Roman" w:hAnsi="Times New Roman"/>
                <w:i/>
                <w:szCs w:val="28"/>
              </w:rPr>
              <w:t>M</w:t>
            </w:r>
            <w:r>
              <w:rPr>
                <w:rFonts w:hint="eastAsia" w:ascii="Times New Roman" w:hAnsi="Times New Roman"/>
                <w:szCs w:val="28"/>
              </w:rPr>
              <w:t xml:space="preserve"> =</w:t>
            </w:r>
            <w:r>
              <w:rPr>
                <w:rFonts w:hint="eastAsia" w:ascii="Times New Roman" w:hAnsi="Times New Roman"/>
                <w:i/>
                <w:szCs w:val="28"/>
              </w:rPr>
              <w:t>γ</w:t>
            </w:r>
            <w:r>
              <w:rPr>
                <w:rFonts w:hint="eastAsia" w:ascii="Times New Roman" w:hAnsi="Times New Roman"/>
                <w:szCs w:val="28"/>
                <w:vertAlign w:val="subscript"/>
              </w:rPr>
              <w:t>0</w:t>
            </w:r>
            <w:r>
              <w:rPr>
                <w:rFonts w:hint="eastAsia" w:ascii="Times New Roman" w:hAnsi="Times New Roman"/>
                <w:i/>
                <w:szCs w:val="28"/>
              </w:rPr>
              <w:t>γ</w:t>
            </w:r>
            <w:r>
              <w:rPr>
                <w:rFonts w:hint="eastAsia" w:ascii="Times New Roman" w:hAnsi="Times New Roman"/>
                <w:szCs w:val="28"/>
                <w:vertAlign w:val="subscript"/>
              </w:rPr>
              <w:t>F</w:t>
            </w:r>
            <w:r>
              <w:rPr>
                <w:rFonts w:hint="eastAsia" w:ascii="Times New Roman" w:hAnsi="Times New Roman"/>
                <w:i/>
                <w:szCs w:val="28"/>
              </w:rPr>
              <w:t xml:space="preserve"> M</w:t>
            </w:r>
            <w:r>
              <w:rPr>
                <w:rFonts w:hint="eastAsia" w:ascii="Times New Roman" w:hAnsi="Times New Roman"/>
                <w:szCs w:val="28"/>
                <w:vertAlign w:val="subscript"/>
              </w:rPr>
              <w:t xml:space="preserve"> k</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（3.0.8-1）</w:t>
            </w:r>
          </w:p>
        </w:tc>
      </w:tr>
    </w:tbl>
    <w:p>
      <w:pPr>
        <w:widowControl w:val="0"/>
        <w:spacing w:line="480" w:lineRule="exact"/>
        <w:ind w:firstLine="480" w:firstLineChars="200"/>
        <w:rPr>
          <w:rFonts w:ascii="Times New Roman" w:hAnsi="Times New Roman"/>
          <w:szCs w:val="28"/>
        </w:rPr>
      </w:pPr>
      <w:r>
        <w:rPr>
          <w:rFonts w:hint="eastAsia" w:ascii="Times New Roman" w:hAnsi="Times New Roman"/>
          <w:szCs w:val="28"/>
        </w:rPr>
        <w:t>剪力设计值</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hint="eastAsia" w:ascii="Times New Roman" w:hAnsi="Times New Roman"/>
                <w:i/>
                <w:szCs w:val="28"/>
              </w:rPr>
              <w:t>V</w:t>
            </w:r>
            <w:r>
              <w:rPr>
                <w:rFonts w:hint="eastAsia" w:ascii="Times New Roman" w:hAnsi="Times New Roman"/>
                <w:szCs w:val="28"/>
              </w:rPr>
              <w:t xml:space="preserve"> =</w:t>
            </w:r>
            <w:r>
              <w:rPr>
                <w:rFonts w:hint="eastAsia" w:ascii="Times New Roman" w:hAnsi="Times New Roman"/>
                <w:i/>
                <w:szCs w:val="28"/>
              </w:rPr>
              <w:t>γ</w:t>
            </w:r>
            <w:r>
              <w:rPr>
                <w:rFonts w:hint="eastAsia" w:ascii="Times New Roman" w:hAnsi="Times New Roman"/>
                <w:szCs w:val="28"/>
                <w:vertAlign w:val="subscript"/>
              </w:rPr>
              <w:t>0</w:t>
            </w:r>
            <w:r>
              <w:rPr>
                <w:rFonts w:hint="eastAsia" w:ascii="Times New Roman" w:hAnsi="Times New Roman"/>
                <w:i/>
                <w:szCs w:val="28"/>
              </w:rPr>
              <w:t>γ</w:t>
            </w:r>
            <w:r>
              <w:rPr>
                <w:rFonts w:hint="eastAsia" w:ascii="Times New Roman" w:hAnsi="Times New Roman"/>
                <w:szCs w:val="28"/>
                <w:vertAlign w:val="subscript"/>
              </w:rPr>
              <w:t>F</w:t>
            </w:r>
            <w:r>
              <w:rPr>
                <w:rFonts w:hint="eastAsia" w:ascii="Times New Roman" w:hAnsi="Times New Roman"/>
                <w:szCs w:val="28"/>
              </w:rPr>
              <w:t xml:space="preserve"> </w:t>
            </w:r>
            <w:r>
              <w:rPr>
                <w:rFonts w:hint="eastAsia" w:ascii="Times New Roman" w:hAnsi="Times New Roman"/>
                <w:i/>
                <w:szCs w:val="28"/>
              </w:rPr>
              <w:t>V</w:t>
            </w:r>
            <w:r>
              <w:rPr>
                <w:rFonts w:hint="eastAsia" w:ascii="Times New Roman" w:hAnsi="Times New Roman"/>
                <w:szCs w:val="28"/>
              </w:rPr>
              <w:t xml:space="preserve"> </w:t>
            </w:r>
            <w:r>
              <w:rPr>
                <w:rFonts w:hint="eastAsia" w:ascii="Times New Roman" w:hAnsi="Times New Roman"/>
                <w:szCs w:val="28"/>
                <w:vertAlign w:val="subscript"/>
              </w:rPr>
              <w:t>k</w:t>
            </w:r>
            <w:r>
              <w:rPr>
                <w:rFonts w:hint="eastAsia" w:ascii="Times New Roman" w:hAnsi="Times New Roman"/>
                <w:szCs w:val="28"/>
              </w:rPr>
              <w:t xml:space="preserve">  </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（3.0.8-2）</w:t>
            </w:r>
          </w:p>
        </w:tc>
      </w:tr>
    </w:tbl>
    <w:p>
      <w:pPr>
        <w:widowControl w:val="0"/>
        <w:spacing w:line="480" w:lineRule="exact"/>
        <w:ind w:firstLine="480" w:firstLineChars="200"/>
        <w:rPr>
          <w:rFonts w:ascii="Times New Roman" w:hAnsi="Times New Roman"/>
          <w:szCs w:val="28"/>
        </w:rPr>
      </w:pPr>
      <w:r>
        <w:rPr>
          <w:rFonts w:hint="eastAsia" w:ascii="Times New Roman" w:hAnsi="Times New Roman"/>
          <w:szCs w:val="28"/>
        </w:rPr>
        <w:t>轴向力设计值</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szCs w:val="28"/>
              </w:rPr>
            </w:pPr>
            <w:r>
              <w:rPr>
                <w:rFonts w:hint="eastAsia" w:ascii="Times New Roman" w:hAnsi="Times New Roman"/>
                <w:i/>
                <w:szCs w:val="28"/>
              </w:rPr>
              <w:t>N</w:t>
            </w:r>
            <w:r>
              <w:rPr>
                <w:rFonts w:hint="eastAsia" w:ascii="Times New Roman" w:hAnsi="Times New Roman"/>
                <w:szCs w:val="28"/>
              </w:rPr>
              <w:t xml:space="preserve"> =</w:t>
            </w:r>
            <w:r>
              <w:rPr>
                <w:rFonts w:hint="eastAsia" w:ascii="Times New Roman" w:hAnsi="Times New Roman"/>
                <w:i/>
                <w:szCs w:val="28"/>
              </w:rPr>
              <w:t>γ</w:t>
            </w:r>
            <w:r>
              <w:rPr>
                <w:rFonts w:hint="eastAsia" w:ascii="Times New Roman" w:hAnsi="Times New Roman"/>
                <w:szCs w:val="28"/>
                <w:vertAlign w:val="subscript"/>
              </w:rPr>
              <w:t>0</w:t>
            </w:r>
            <w:r>
              <w:rPr>
                <w:rFonts w:hint="eastAsia" w:ascii="Times New Roman" w:hAnsi="Times New Roman"/>
                <w:i/>
                <w:szCs w:val="28"/>
              </w:rPr>
              <w:t>γ</w:t>
            </w:r>
            <w:r>
              <w:rPr>
                <w:rFonts w:hint="eastAsia" w:ascii="Times New Roman" w:hAnsi="Times New Roman"/>
                <w:szCs w:val="28"/>
                <w:vertAlign w:val="subscript"/>
              </w:rPr>
              <w:t>F</w:t>
            </w:r>
            <w:r>
              <w:rPr>
                <w:rFonts w:hint="eastAsia" w:ascii="Times New Roman" w:hAnsi="Times New Roman"/>
                <w:szCs w:val="28"/>
              </w:rPr>
              <w:t xml:space="preserve"> </w:t>
            </w:r>
            <w:r>
              <w:rPr>
                <w:rFonts w:hint="eastAsia" w:ascii="Times New Roman" w:hAnsi="Times New Roman"/>
                <w:i/>
                <w:szCs w:val="28"/>
              </w:rPr>
              <w:t>N</w:t>
            </w:r>
            <w:r>
              <w:rPr>
                <w:rFonts w:hint="eastAsia" w:ascii="Times New Roman" w:hAnsi="Times New Roman"/>
                <w:szCs w:val="28"/>
                <w:vertAlign w:val="subscript"/>
              </w:rPr>
              <w:t xml:space="preserve"> k</w:t>
            </w:r>
          </w:p>
        </w:tc>
        <w:tc>
          <w:tcPr>
            <w:tcW w:w="4927" w:type="dxa"/>
          </w:tcPr>
          <w:p>
            <w:pPr>
              <w:widowControl w:val="0"/>
              <w:spacing w:line="480" w:lineRule="exact"/>
              <w:jc w:val="right"/>
              <w:rPr>
                <w:rFonts w:ascii="Times New Roman" w:hAnsi="Times New Roman"/>
                <w:szCs w:val="28"/>
              </w:rPr>
            </w:pPr>
            <w:r>
              <w:rPr>
                <w:rFonts w:hint="eastAsia" w:ascii="Times New Roman" w:hAnsi="Times New Roman"/>
                <w:szCs w:val="28"/>
              </w:rPr>
              <w:t>（3.0.8-3）</w:t>
            </w:r>
          </w:p>
        </w:tc>
      </w:tr>
    </w:tbl>
    <w:p>
      <w:pPr>
        <w:widowControl w:val="0"/>
        <w:spacing w:line="480" w:lineRule="exact"/>
        <w:rPr>
          <w:rFonts w:ascii="Times New Roman" w:hAnsi="Times New Roman"/>
          <w:szCs w:val="28"/>
        </w:rPr>
      </w:pPr>
      <w:r>
        <w:rPr>
          <w:rFonts w:hint="eastAsia" w:ascii="Times New Roman" w:hAnsi="Times New Roman"/>
          <w:szCs w:val="28"/>
        </w:rPr>
        <w:t xml:space="preserve">式中：  </w:t>
      </w:r>
      <w:r>
        <w:rPr>
          <w:rFonts w:hint="eastAsia" w:ascii="Times New Roman" w:hAnsi="Times New Roman"/>
          <w:i/>
          <w:szCs w:val="28"/>
        </w:rPr>
        <w:t>M</w:t>
      </w:r>
      <w:r>
        <w:rPr>
          <w:rFonts w:ascii="Times New Roman" w:hAnsi="Times New Roman"/>
          <w:szCs w:val="24"/>
        </w:rPr>
        <w:t>——</w:t>
      </w:r>
      <w:r>
        <w:rPr>
          <w:rFonts w:hint="eastAsia" w:ascii="Times New Roman" w:hAnsi="Times New Roman"/>
          <w:szCs w:val="28"/>
        </w:rPr>
        <w:t>弯矩设计值 (kN</w:t>
      </w:r>
      <w:r>
        <w:rPr>
          <w:rFonts w:ascii="Times New Roman" w:hAnsi="Times New Roman"/>
          <w:szCs w:val="28"/>
        </w:rPr>
        <w:t>·</w:t>
      </w:r>
      <w:r>
        <w:rPr>
          <w:rFonts w:hint="eastAsia" w:ascii="Times New Roman" w:hAnsi="Times New Roman"/>
          <w:szCs w:val="28"/>
        </w:rPr>
        <w:t>m)；</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M</w:t>
      </w:r>
      <w:r>
        <w:rPr>
          <w:rFonts w:hint="eastAsia" w:ascii="Times New Roman" w:hAnsi="Times New Roman"/>
          <w:szCs w:val="28"/>
          <w:vertAlign w:val="subscript"/>
        </w:rPr>
        <w:t>k</w:t>
      </w:r>
      <w:r>
        <w:rPr>
          <w:rFonts w:ascii="Times New Roman" w:hAnsi="Times New Roman"/>
          <w:szCs w:val="24"/>
        </w:rPr>
        <w:t>——</w:t>
      </w:r>
      <w:r>
        <w:rPr>
          <w:rFonts w:hint="eastAsia" w:ascii="Times New Roman" w:hAnsi="Times New Roman"/>
          <w:szCs w:val="28"/>
        </w:rPr>
        <w:t>按作用标准组合计算的弯矩值(kN</w:t>
      </w:r>
      <w:r>
        <w:rPr>
          <w:rFonts w:ascii="Times New Roman" w:hAnsi="Times New Roman"/>
          <w:szCs w:val="28"/>
        </w:rPr>
        <w:t>·</w:t>
      </w:r>
      <w:r>
        <w:rPr>
          <w:rFonts w:hint="eastAsia" w:ascii="Times New Roman" w:hAnsi="Times New Roman"/>
          <w:szCs w:val="28"/>
        </w:rPr>
        <w:t>m)；</w:t>
      </w:r>
    </w:p>
    <w:p>
      <w:pPr>
        <w:widowControl w:val="0"/>
        <w:spacing w:line="480" w:lineRule="exact"/>
        <w:ind w:firstLine="960" w:firstLineChars="400"/>
        <w:rPr>
          <w:rFonts w:ascii="Times New Roman" w:hAnsi="Times New Roman"/>
          <w:szCs w:val="28"/>
        </w:rPr>
      </w:pPr>
      <w:r>
        <w:rPr>
          <w:rFonts w:hint="eastAsia" w:ascii="Times New Roman" w:hAnsi="Times New Roman"/>
          <w:i/>
          <w:szCs w:val="28"/>
        </w:rPr>
        <w:t>V</w:t>
      </w:r>
      <w:r>
        <w:rPr>
          <w:rFonts w:ascii="Times New Roman" w:hAnsi="Times New Roman"/>
          <w:szCs w:val="24"/>
        </w:rPr>
        <w:t>——</w:t>
      </w:r>
      <w:r>
        <w:rPr>
          <w:rFonts w:hint="eastAsia" w:ascii="Times New Roman" w:hAnsi="Times New Roman"/>
          <w:szCs w:val="28"/>
        </w:rPr>
        <w:t>剪力设计值(kN)；</w:t>
      </w:r>
    </w:p>
    <w:p>
      <w:pPr>
        <w:widowControl w:val="0"/>
        <w:spacing w:line="480" w:lineRule="exact"/>
        <w:ind w:firstLine="840" w:firstLineChars="350"/>
        <w:rPr>
          <w:rFonts w:ascii="Times New Roman" w:hAnsi="Times New Roman"/>
          <w:szCs w:val="28"/>
        </w:rPr>
      </w:pPr>
      <w:r>
        <w:rPr>
          <w:rFonts w:hint="eastAsia" w:ascii="Times New Roman" w:hAnsi="Times New Roman"/>
          <w:i/>
          <w:szCs w:val="28"/>
        </w:rPr>
        <w:t>V</w:t>
      </w:r>
      <w:r>
        <w:rPr>
          <w:rFonts w:hint="eastAsia" w:ascii="Times New Roman" w:hAnsi="Times New Roman"/>
          <w:szCs w:val="28"/>
          <w:vertAlign w:val="subscript"/>
        </w:rPr>
        <w:t>k</w:t>
      </w:r>
      <w:r>
        <w:rPr>
          <w:rFonts w:ascii="Times New Roman" w:hAnsi="Times New Roman"/>
          <w:szCs w:val="24"/>
        </w:rPr>
        <w:t>——</w:t>
      </w:r>
      <w:r>
        <w:rPr>
          <w:rFonts w:hint="eastAsia" w:ascii="Times New Roman" w:hAnsi="Times New Roman"/>
          <w:szCs w:val="28"/>
        </w:rPr>
        <w:t>按作用标准组合计算的剪力值(kN)；</w:t>
      </w:r>
    </w:p>
    <w:p>
      <w:pPr>
        <w:widowControl w:val="0"/>
        <w:spacing w:line="480" w:lineRule="exact"/>
        <w:ind w:firstLine="960" w:firstLineChars="400"/>
        <w:rPr>
          <w:rFonts w:ascii="Times New Roman" w:hAnsi="Times New Roman"/>
          <w:szCs w:val="28"/>
        </w:rPr>
      </w:pPr>
      <w:r>
        <w:rPr>
          <w:rFonts w:hint="eastAsia" w:ascii="Times New Roman" w:hAnsi="Times New Roman"/>
          <w:i/>
          <w:szCs w:val="28"/>
        </w:rPr>
        <w:t>N</w:t>
      </w:r>
      <w:r>
        <w:rPr>
          <w:rFonts w:ascii="Times New Roman" w:hAnsi="Times New Roman"/>
          <w:szCs w:val="24"/>
        </w:rPr>
        <w:t>——</w:t>
      </w:r>
      <w:r>
        <w:rPr>
          <w:rFonts w:hint="eastAsia" w:ascii="Times New Roman" w:hAnsi="Times New Roman"/>
          <w:szCs w:val="28"/>
        </w:rPr>
        <w:t>轴向拉力设计值或轴向压力设计值(kN)；</w:t>
      </w:r>
    </w:p>
    <w:p>
      <w:pPr>
        <w:widowControl w:val="0"/>
        <w:spacing w:line="480" w:lineRule="exact"/>
        <w:ind w:firstLine="840" w:firstLineChars="350"/>
        <w:rPr>
          <w:rFonts w:hint="eastAsia" w:ascii="Times New Roman" w:hAnsi="Times New Roman"/>
          <w:szCs w:val="28"/>
        </w:rPr>
      </w:pPr>
      <w:r>
        <w:rPr>
          <w:rFonts w:hint="eastAsia" w:ascii="Times New Roman" w:hAnsi="Times New Roman"/>
          <w:i/>
          <w:szCs w:val="28"/>
        </w:rPr>
        <w:t>N</w:t>
      </w:r>
      <w:r>
        <w:rPr>
          <w:rFonts w:hint="eastAsia" w:ascii="Times New Roman" w:hAnsi="Times New Roman"/>
          <w:szCs w:val="28"/>
          <w:vertAlign w:val="subscript"/>
        </w:rPr>
        <w:t>k</w:t>
      </w:r>
      <w:r>
        <w:rPr>
          <w:rFonts w:ascii="Times New Roman" w:hAnsi="Times New Roman"/>
          <w:szCs w:val="24"/>
        </w:rPr>
        <w:t>——</w:t>
      </w:r>
      <w:r>
        <w:rPr>
          <w:rFonts w:hint="eastAsia" w:ascii="Times New Roman" w:hAnsi="Times New Roman"/>
          <w:szCs w:val="28"/>
        </w:rPr>
        <w:t>按作用标准组合计算的轴向拉力或轴向压力值(kN)。</w:t>
      </w:r>
      <w:bookmarkStart w:id="122" w:name="_Toc15599"/>
      <w:bookmarkStart w:id="123" w:name="_Toc19425"/>
    </w:p>
    <w:p>
      <w:pPr>
        <w:widowControl w:val="0"/>
        <w:spacing w:line="480" w:lineRule="exact"/>
        <w:rPr>
          <w:b/>
          <w:bCs/>
        </w:rPr>
      </w:pPr>
      <w:r>
        <w:rPr>
          <w:rFonts w:hint="eastAsia"/>
          <w:b/>
          <w:bCs/>
        </w:rPr>
        <w:t xml:space="preserve">3.0.9 </w:t>
      </w:r>
      <w:r>
        <w:rPr>
          <w:rFonts w:hint="eastAsia"/>
          <w:b w:val="0"/>
          <w:bCs w:val="0"/>
        </w:rPr>
        <w:t>基坑工程设计前应取得下列资料：</w:t>
      </w:r>
      <w:bookmarkEnd w:id="122"/>
      <w:bookmarkEnd w:id="123"/>
    </w:p>
    <w:p>
      <w:pPr>
        <w:widowControl w:val="0"/>
        <w:spacing w:line="480" w:lineRule="exact"/>
        <w:ind w:firstLine="480" w:firstLineChars="200"/>
        <w:rPr>
          <w:rFonts w:ascii="Times New Roman" w:hAnsi="Times New Roman"/>
          <w:szCs w:val="28"/>
        </w:rPr>
      </w:pPr>
      <w:r>
        <w:rPr>
          <w:rFonts w:ascii="Times New Roman" w:hAnsi="Times New Roman"/>
          <w:szCs w:val="28"/>
        </w:rPr>
        <w:t>1</w:t>
      </w:r>
      <w:r>
        <w:rPr>
          <w:rFonts w:hint="eastAsia" w:ascii="Times New Roman" w:hAnsi="Times New Roman"/>
          <w:szCs w:val="28"/>
        </w:rPr>
        <w:t xml:space="preserve"> 用地和建筑红线图、场区地形图及地下工程结构施工图（含桩位图）；</w:t>
      </w:r>
    </w:p>
    <w:p>
      <w:pPr>
        <w:widowControl w:val="0"/>
        <w:spacing w:line="480" w:lineRule="exact"/>
        <w:ind w:firstLine="480" w:firstLineChars="200"/>
        <w:rPr>
          <w:rFonts w:ascii="Times New Roman" w:hAnsi="Times New Roman"/>
          <w:szCs w:val="28"/>
        </w:rPr>
      </w:pPr>
      <w:r>
        <w:rPr>
          <w:rFonts w:ascii="Times New Roman" w:hAnsi="Times New Roman"/>
          <w:szCs w:val="28"/>
        </w:rPr>
        <w:t>2</w:t>
      </w:r>
      <w:r>
        <w:rPr>
          <w:rFonts w:hint="eastAsia" w:ascii="Times New Roman" w:hAnsi="Times New Roman"/>
          <w:szCs w:val="28"/>
        </w:rPr>
        <w:t xml:space="preserve"> 满足基坑设计的岩土工程勘察报告；</w:t>
      </w:r>
    </w:p>
    <w:p>
      <w:pPr>
        <w:widowControl w:val="0"/>
        <w:spacing w:line="480" w:lineRule="exact"/>
        <w:ind w:firstLine="480" w:firstLineChars="200"/>
        <w:rPr>
          <w:rFonts w:ascii="Times New Roman" w:hAnsi="Times New Roman"/>
          <w:szCs w:val="28"/>
        </w:rPr>
      </w:pPr>
      <w:r>
        <w:rPr>
          <w:rFonts w:ascii="Times New Roman" w:hAnsi="Times New Roman"/>
          <w:szCs w:val="28"/>
        </w:rPr>
        <w:t>3</w:t>
      </w:r>
      <w:r>
        <w:rPr>
          <w:rFonts w:hint="eastAsia" w:ascii="Times New Roman" w:hAnsi="Times New Roman"/>
          <w:szCs w:val="28"/>
        </w:rPr>
        <w:t xml:space="preserve"> 基坑周边既有建（构）筑物资料；</w:t>
      </w:r>
    </w:p>
    <w:p>
      <w:pPr>
        <w:widowControl w:val="0"/>
        <w:spacing w:line="480" w:lineRule="exact"/>
        <w:ind w:firstLine="480" w:firstLineChars="200"/>
        <w:rPr>
          <w:rFonts w:ascii="Times New Roman" w:hAnsi="Times New Roman"/>
          <w:szCs w:val="28"/>
        </w:rPr>
      </w:pPr>
      <w:r>
        <w:rPr>
          <w:rFonts w:ascii="Times New Roman" w:hAnsi="Times New Roman"/>
          <w:szCs w:val="28"/>
        </w:rPr>
        <w:t>4</w:t>
      </w:r>
      <w:r>
        <w:rPr>
          <w:rFonts w:hint="eastAsia" w:ascii="Times New Roman" w:hAnsi="Times New Roman"/>
          <w:szCs w:val="28"/>
        </w:rPr>
        <w:t xml:space="preserve"> 基坑周边可能的地面堆载及动荷载。</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b w:val="0"/>
          <w:bCs w:val="0"/>
        </w:rPr>
      </w:pPr>
      <w:bookmarkStart w:id="124" w:name="_Toc10086"/>
      <w:bookmarkStart w:id="125" w:name="_Toc29120"/>
      <w:r>
        <w:rPr>
          <w:rFonts w:hint="eastAsia"/>
          <w:b/>
          <w:bCs/>
        </w:rPr>
        <w:t xml:space="preserve">3.0.10 </w:t>
      </w:r>
      <w:r>
        <w:rPr>
          <w:rFonts w:hint="eastAsia"/>
          <w:b w:val="0"/>
          <w:bCs w:val="0"/>
        </w:rPr>
        <w:t>基坑工程岩土勘察资料应包含下列内容：</w:t>
      </w:r>
      <w:bookmarkEnd w:id="124"/>
      <w:bookmarkEnd w:id="125"/>
    </w:p>
    <w:p>
      <w:pPr>
        <w:widowControl w:val="0"/>
        <w:spacing w:line="480" w:lineRule="exact"/>
        <w:ind w:firstLine="480" w:firstLineChars="200"/>
        <w:rPr>
          <w:rFonts w:ascii="Times New Roman" w:hAnsi="Times New Roman"/>
          <w:szCs w:val="28"/>
        </w:rPr>
      </w:pPr>
      <w:r>
        <w:rPr>
          <w:rFonts w:ascii="Times New Roman" w:hAnsi="Times New Roman"/>
          <w:szCs w:val="28"/>
        </w:rPr>
        <w:t>1</w:t>
      </w:r>
      <w:r>
        <w:rPr>
          <w:rFonts w:hint="eastAsia" w:ascii="Times New Roman" w:hAnsi="Times New Roman"/>
          <w:szCs w:val="28"/>
        </w:rPr>
        <w:t xml:space="preserve"> 土层划分及描述；</w:t>
      </w:r>
    </w:p>
    <w:p>
      <w:pPr>
        <w:widowControl w:val="0"/>
        <w:spacing w:line="480" w:lineRule="exact"/>
        <w:ind w:firstLine="480" w:firstLineChars="200"/>
        <w:rPr>
          <w:rFonts w:ascii="Times New Roman" w:hAnsi="Times New Roman"/>
          <w:szCs w:val="28"/>
        </w:rPr>
      </w:pPr>
      <w:r>
        <w:rPr>
          <w:rFonts w:ascii="Times New Roman" w:hAnsi="Times New Roman"/>
          <w:szCs w:val="28"/>
        </w:rPr>
        <w:t>2</w:t>
      </w:r>
      <w:r>
        <w:rPr>
          <w:rFonts w:hint="eastAsia" w:ascii="Times New Roman" w:hAnsi="Times New Roman"/>
          <w:szCs w:val="28"/>
        </w:rPr>
        <w:t xml:space="preserve"> 地下水的类型、地下水位高程及变化幅度；</w:t>
      </w:r>
    </w:p>
    <w:p>
      <w:pPr>
        <w:widowControl w:val="0"/>
        <w:spacing w:line="480" w:lineRule="exact"/>
        <w:ind w:firstLine="480" w:firstLineChars="200"/>
        <w:rPr>
          <w:rFonts w:ascii="Times New Roman" w:hAnsi="Times New Roman"/>
          <w:szCs w:val="28"/>
        </w:rPr>
      </w:pPr>
      <w:r>
        <w:rPr>
          <w:rFonts w:ascii="Times New Roman" w:hAnsi="Times New Roman"/>
          <w:szCs w:val="28"/>
        </w:rPr>
        <w:t>3</w:t>
      </w:r>
      <w:r>
        <w:rPr>
          <w:rFonts w:hint="eastAsia" w:ascii="Times New Roman" w:hAnsi="Times New Roman"/>
          <w:szCs w:val="28"/>
        </w:rPr>
        <w:t xml:space="preserve"> 各含水层的水力联系、补给、径流条件及土层的渗透系数；</w:t>
      </w:r>
    </w:p>
    <w:p>
      <w:pPr>
        <w:widowControl w:val="0"/>
        <w:spacing w:line="480" w:lineRule="exact"/>
        <w:ind w:firstLine="480" w:firstLineChars="200"/>
        <w:rPr>
          <w:rFonts w:ascii="Times New Roman" w:hAnsi="Times New Roman"/>
          <w:szCs w:val="28"/>
        </w:rPr>
      </w:pPr>
      <w:r>
        <w:rPr>
          <w:rFonts w:ascii="Times New Roman" w:hAnsi="Times New Roman"/>
          <w:szCs w:val="28"/>
        </w:rPr>
        <w:t>4</w:t>
      </w:r>
      <w:r>
        <w:rPr>
          <w:rFonts w:hint="eastAsia" w:ascii="Times New Roman" w:hAnsi="Times New Roman"/>
          <w:szCs w:val="28"/>
        </w:rPr>
        <w:t xml:space="preserve"> 各土层的抗剪强度指标的建议值；</w:t>
      </w:r>
    </w:p>
    <w:p>
      <w:pPr>
        <w:widowControl w:val="0"/>
        <w:spacing w:line="480" w:lineRule="exact"/>
        <w:ind w:firstLine="480" w:firstLineChars="200"/>
        <w:rPr>
          <w:rFonts w:ascii="Times New Roman" w:hAnsi="Times New Roman"/>
          <w:szCs w:val="28"/>
        </w:rPr>
      </w:pPr>
      <w:r>
        <w:rPr>
          <w:rFonts w:ascii="Times New Roman" w:hAnsi="Times New Roman"/>
          <w:szCs w:val="28"/>
        </w:rPr>
        <w:t>5</w:t>
      </w:r>
      <w:r>
        <w:rPr>
          <w:rFonts w:hint="eastAsia" w:ascii="Times New Roman" w:hAnsi="Times New Roman"/>
          <w:szCs w:val="28"/>
        </w:rPr>
        <w:t xml:space="preserve"> 土工试验成果汇总表；</w:t>
      </w:r>
    </w:p>
    <w:p>
      <w:pPr>
        <w:widowControl w:val="0"/>
        <w:spacing w:line="480" w:lineRule="exact"/>
        <w:ind w:firstLine="480" w:firstLineChars="200"/>
        <w:rPr>
          <w:rFonts w:ascii="Times New Roman" w:hAnsi="Times New Roman"/>
          <w:szCs w:val="28"/>
        </w:rPr>
      </w:pPr>
      <w:r>
        <w:rPr>
          <w:rFonts w:ascii="Times New Roman" w:hAnsi="Times New Roman"/>
          <w:szCs w:val="28"/>
        </w:rPr>
        <w:t>6</w:t>
      </w:r>
      <w:r>
        <w:rPr>
          <w:rFonts w:hint="eastAsia" w:ascii="Times New Roman" w:hAnsi="Times New Roman"/>
          <w:szCs w:val="28"/>
        </w:rPr>
        <w:t xml:space="preserve"> 各土层的湿陷指标、触变性指标、承载力指标；</w:t>
      </w:r>
    </w:p>
    <w:p>
      <w:pPr>
        <w:widowControl w:val="0"/>
        <w:spacing w:line="480" w:lineRule="exact"/>
        <w:ind w:firstLine="480" w:firstLineChars="200"/>
        <w:rPr>
          <w:rFonts w:ascii="Times New Roman" w:hAnsi="Times New Roman"/>
          <w:szCs w:val="28"/>
        </w:rPr>
      </w:pPr>
      <w:r>
        <w:rPr>
          <w:rFonts w:ascii="Times New Roman" w:hAnsi="Times New Roman"/>
          <w:szCs w:val="28"/>
        </w:rPr>
        <w:t>7</w:t>
      </w:r>
      <w:r>
        <w:rPr>
          <w:rFonts w:hint="eastAsia" w:ascii="Times New Roman" w:hAnsi="Times New Roman"/>
          <w:szCs w:val="28"/>
        </w:rPr>
        <w:t xml:space="preserve"> 支护及降水方案的建议。</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eastAsia="宋体"/>
          <w:b w:val="0"/>
          <w:bCs w:val="0"/>
          <w:color w:val="auto"/>
          <w:highlight w:val="none"/>
          <w:lang w:eastAsia="zh-CN"/>
        </w:rPr>
      </w:pPr>
      <w:bookmarkStart w:id="126" w:name="_Toc25374"/>
      <w:bookmarkStart w:id="127" w:name="_Toc25981"/>
      <w:r>
        <w:rPr>
          <w:rFonts w:hint="eastAsia"/>
          <w:b/>
          <w:bCs/>
          <w:color w:val="auto"/>
          <w:highlight w:val="none"/>
        </w:rPr>
        <w:t xml:space="preserve">3.0.11 </w:t>
      </w:r>
      <w:r>
        <w:rPr>
          <w:rFonts w:hint="eastAsia"/>
          <w:b w:val="0"/>
          <w:bCs w:val="0"/>
          <w:color w:val="auto"/>
          <w:highlight w:val="none"/>
        </w:rPr>
        <w:t>基坑工程设计文件应包括下列内容：</w:t>
      </w:r>
      <w:bookmarkEnd w:id="126"/>
      <w:bookmarkEnd w:id="127"/>
    </w:p>
    <w:p>
      <w:pPr>
        <w:widowControl w:val="0"/>
        <w:spacing w:line="480" w:lineRule="exact"/>
        <w:ind w:firstLine="480" w:firstLineChars="200"/>
        <w:rPr>
          <w:rFonts w:ascii="Times New Roman" w:hAnsi="Times New Roman"/>
          <w:szCs w:val="28"/>
        </w:rPr>
      </w:pPr>
      <w:r>
        <w:rPr>
          <w:rFonts w:ascii="Times New Roman" w:hAnsi="Times New Roman"/>
          <w:szCs w:val="28"/>
        </w:rPr>
        <w:t>1</w:t>
      </w:r>
      <w:r>
        <w:rPr>
          <w:rFonts w:hint="eastAsia" w:ascii="Times New Roman" w:hAnsi="Times New Roman"/>
          <w:szCs w:val="28"/>
        </w:rPr>
        <w:t xml:space="preserve"> 基坑设计总说明</w:t>
      </w:r>
      <w:r>
        <w:rPr>
          <w:rFonts w:hint="eastAsia" w:ascii="Times New Roman" w:hAnsi="Times New Roman"/>
          <w:szCs w:val="28"/>
          <w:lang w:eastAsia="zh-CN"/>
        </w:rPr>
        <w:t>：</w:t>
      </w:r>
      <w:r>
        <w:rPr>
          <w:rFonts w:hint="eastAsia" w:ascii="Times New Roman" w:hAnsi="Times New Roman"/>
          <w:szCs w:val="28"/>
          <w:lang w:val="en-US" w:eastAsia="zh-CN"/>
        </w:rPr>
        <w:t>工程概况（工程地址、周边环境条件、结构设计概况、基坑尺寸等）、设计依据、工程地质及水文地质条件、基坑安全等级、支护结构形式（对基坑及周边环境的控制）、地下水控制设计、对周边环境影响的控制措施、材料及主要设计参数、基坑开挖与回填要求、支护结构施工要求、基坑工程检测、监测与维护要求、验收检验要求条件、其他</w:t>
      </w:r>
      <w:r>
        <w:rPr>
          <w:rFonts w:hint="eastAsia" w:ascii="Times New Roman" w:hAnsi="Times New Roman"/>
          <w:szCs w:val="28"/>
        </w:rPr>
        <w:t>；</w:t>
      </w:r>
    </w:p>
    <w:p>
      <w:pPr>
        <w:widowControl w:val="0"/>
        <w:spacing w:line="480" w:lineRule="exact"/>
        <w:ind w:firstLine="480" w:firstLineChars="200"/>
        <w:rPr>
          <w:rFonts w:ascii="Times New Roman" w:hAnsi="Times New Roman"/>
          <w:szCs w:val="28"/>
        </w:rPr>
      </w:pPr>
      <w:r>
        <w:rPr>
          <w:rFonts w:hint="eastAsia" w:ascii="Times New Roman" w:hAnsi="Times New Roman"/>
          <w:szCs w:val="28"/>
        </w:rPr>
        <w:t>2 基坑设计总平面图；</w:t>
      </w:r>
    </w:p>
    <w:p>
      <w:pPr>
        <w:widowControl w:val="0"/>
        <w:spacing w:line="480" w:lineRule="exact"/>
        <w:ind w:firstLine="480" w:firstLineChars="200"/>
        <w:rPr>
          <w:rFonts w:ascii="Times New Roman" w:hAnsi="Times New Roman"/>
          <w:szCs w:val="28"/>
        </w:rPr>
      </w:pPr>
      <w:r>
        <w:rPr>
          <w:rFonts w:hint="eastAsia" w:ascii="Times New Roman" w:hAnsi="Times New Roman"/>
          <w:szCs w:val="28"/>
        </w:rPr>
        <w:t>3 支护结构平面布置图</w:t>
      </w:r>
      <w:r>
        <w:rPr>
          <w:rFonts w:hint="eastAsia" w:ascii="Times New Roman" w:hAnsi="Times New Roman"/>
          <w:szCs w:val="28"/>
          <w:lang w:eastAsia="zh-CN"/>
        </w:rPr>
        <w:t>、</w:t>
      </w:r>
      <w:r>
        <w:rPr>
          <w:rFonts w:hint="eastAsia" w:ascii="Times New Roman" w:hAnsi="Times New Roman"/>
          <w:szCs w:val="28"/>
          <w:lang w:val="en-US" w:eastAsia="zh-CN"/>
        </w:rPr>
        <w:t>剖面图、节点详图</w:t>
      </w:r>
      <w:r>
        <w:rPr>
          <w:rFonts w:hint="eastAsia" w:ascii="Times New Roman" w:hAnsi="Times New Roman"/>
          <w:szCs w:val="28"/>
        </w:rPr>
        <w:t>；</w:t>
      </w:r>
    </w:p>
    <w:p>
      <w:pPr>
        <w:widowControl w:val="0"/>
        <w:spacing w:line="480" w:lineRule="exact"/>
        <w:ind w:firstLine="480" w:firstLineChars="200"/>
        <w:rPr>
          <w:rFonts w:hint="eastAsia" w:ascii="Times New Roman" w:hAnsi="Times New Roman"/>
          <w:szCs w:val="28"/>
          <w:lang w:val="en-US" w:eastAsia="zh-CN"/>
        </w:rPr>
      </w:pPr>
      <w:r>
        <w:rPr>
          <w:rFonts w:hint="eastAsia" w:ascii="Times New Roman" w:hAnsi="Times New Roman"/>
          <w:szCs w:val="28"/>
        </w:rPr>
        <w:t xml:space="preserve">4 </w:t>
      </w:r>
      <w:r>
        <w:rPr>
          <w:rFonts w:hint="eastAsia" w:ascii="Times New Roman" w:hAnsi="Times New Roman"/>
          <w:szCs w:val="28"/>
          <w:lang w:val="en-US" w:eastAsia="zh-CN"/>
        </w:rPr>
        <w:t>地下水控制设计平面图、帷幕及井的结构；</w:t>
      </w:r>
    </w:p>
    <w:p>
      <w:pPr>
        <w:widowControl w:val="0"/>
        <w:spacing w:line="480" w:lineRule="exact"/>
        <w:ind w:firstLine="480" w:firstLineChars="200"/>
        <w:rPr>
          <w:rFonts w:hint="eastAsia" w:ascii="Times New Roman" w:hAnsi="Times New Roman"/>
          <w:szCs w:val="28"/>
          <w:lang w:val="en-US" w:eastAsia="zh-CN"/>
        </w:rPr>
      </w:pPr>
      <w:r>
        <w:rPr>
          <w:rFonts w:hint="eastAsia" w:ascii="Times New Roman" w:hAnsi="Times New Roman"/>
          <w:szCs w:val="28"/>
        </w:rPr>
        <w:t xml:space="preserve">5 </w:t>
      </w:r>
      <w:r>
        <w:rPr>
          <w:rFonts w:hint="eastAsia" w:ascii="Times New Roman" w:hAnsi="Times New Roman"/>
          <w:szCs w:val="28"/>
          <w:lang w:val="en-US" w:eastAsia="zh-CN"/>
        </w:rPr>
        <w:t>设计计算：支护结构体系上的作用和作用组合确定、基坑支护体系的稳定性验算、支护结构的承载力、稳定和变形计算。</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b/>
          <w:bCs/>
        </w:rPr>
      </w:pPr>
      <w:bookmarkStart w:id="128" w:name="_Toc25629"/>
      <w:bookmarkStart w:id="129" w:name="_Toc32191"/>
      <w:r>
        <w:rPr>
          <w:rFonts w:hint="eastAsia"/>
          <w:b/>
          <w:bCs/>
        </w:rPr>
        <w:t xml:space="preserve">3.0.12 </w:t>
      </w:r>
      <w:r>
        <w:rPr>
          <w:rFonts w:hint="eastAsia"/>
          <w:b w:val="0"/>
          <w:bCs w:val="0"/>
        </w:rPr>
        <w:t>基坑支护工程的施工及土方开挖应具备下列条件：</w:t>
      </w:r>
      <w:bookmarkEnd w:id="128"/>
      <w:bookmarkEnd w:id="129"/>
    </w:p>
    <w:p>
      <w:pPr>
        <w:widowControl w:val="0"/>
        <w:spacing w:line="480" w:lineRule="exact"/>
        <w:ind w:firstLine="480" w:firstLineChars="200"/>
        <w:rPr>
          <w:rFonts w:ascii="Times New Roman" w:hAnsi="Times New Roman"/>
          <w:szCs w:val="28"/>
        </w:rPr>
      </w:pPr>
      <w:r>
        <w:rPr>
          <w:rFonts w:ascii="Times New Roman" w:hAnsi="Times New Roman"/>
          <w:szCs w:val="28"/>
        </w:rPr>
        <w:t>1</w:t>
      </w:r>
      <w:r>
        <w:rPr>
          <w:rFonts w:hint="eastAsia" w:ascii="Times New Roman" w:hAnsi="Times New Roman"/>
          <w:szCs w:val="28"/>
        </w:rPr>
        <w:t xml:space="preserve"> 基坑设计施工图；</w:t>
      </w:r>
    </w:p>
    <w:p>
      <w:pPr>
        <w:widowControl w:val="0"/>
        <w:spacing w:line="480" w:lineRule="exact"/>
        <w:ind w:firstLine="480" w:firstLineChars="200"/>
        <w:rPr>
          <w:rFonts w:ascii="Times New Roman" w:hAnsi="Times New Roman"/>
          <w:szCs w:val="28"/>
        </w:rPr>
      </w:pPr>
      <w:r>
        <w:rPr>
          <w:rFonts w:ascii="Times New Roman" w:hAnsi="Times New Roman"/>
          <w:szCs w:val="28"/>
        </w:rPr>
        <w:t>2</w:t>
      </w:r>
      <w:r>
        <w:rPr>
          <w:rFonts w:hint="eastAsia" w:ascii="Times New Roman" w:hAnsi="Times New Roman"/>
          <w:szCs w:val="28"/>
        </w:rPr>
        <w:t xml:space="preserve"> 基坑影响范围内管网管线布置图；</w:t>
      </w:r>
    </w:p>
    <w:p>
      <w:pPr>
        <w:widowControl w:val="0"/>
        <w:spacing w:line="480" w:lineRule="exact"/>
        <w:ind w:firstLine="480" w:firstLineChars="200"/>
        <w:rPr>
          <w:rFonts w:ascii="Times New Roman" w:hAnsi="Times New Roman"/>
          <w:szCs w:val="28"/>
        </w:rPr>
      </w:pPr>
      <w:r>
        <w:rPr>
          <w:rFonts w:ascii="Times New Roman" w:hAnsi="Times New Roman"/>
          <w:szCs w:val="28"/>
        </w:rPr>
        <w:t>3</w:t>
      </w:r>
      <w:r>
        <w:rPr>
          <w:rFonts w:hint="eastAsia" w:ascii="Times New Roman" w:hAnsi="Times New Roman"/>
          <w:szCs w:val="28"/>
        </w:rPr>
        <w:t xml:space="preserve"> 专项施工方案；</w:t>
      </w:r>
    </w:p>
    <w:p>
      <w:pPr>
        <w:widowControl w:val="0"/>
        <w:spacing w:line="480" w:lineRule="exact"/>
        <w:ind w:firstLine="480" w:firstLineChars="200"/>
        <w:rPr>
          <w:rFonts w:ascii="Times New Roman" w:hAnsi="Times New Roman"/>
          <w:szCs w:val="28"/>
        </w:rPr>
      </w:pPr>
      <w:r>
        <w:rPr>
          <w:rFonts w:hint="eastAsia" w:ascii="Times New Roman" w:hAnsi="Times New Roman"/>
          <w:szCs w:val="28"/>
        </w:rPr>
        <w:t>4 周围环境的监测方案及初始值测定；</w:t>
      </w:r>
    </w:p>
    <w:p>
      <w:pPr>
        <w:widowControl w:val="0"/>
        <w:spacing w:line="480" w:lineRule="exact"/>
        <w:ind w:firstLine="480" w:firstLineChars="200"/>
        <w:rPr>
          <w:rFonts w:hint="default" w:ascii="Times New Roman" w:hAnsi="Times New Roman"/>
          <w:szCs w:val="28"/>
          <w:lang w:val="en-US" w:eastAsia="zh-CN"/>
        </w:rPr>
      </w:pPr>
      <w:r>
        <w:rPr>
          <w:rFonts w:hint="eastAsia" w:ascii="Times New Roman" w:hAnsi="Times New Roman"/>
          <w:szCs w:val="28"/>
        </w:rPr>
        <w:t>5 基坑</w:t>
      </w:r>
      <w:r>
        <w:rPr>
          <w:rFonts w:hint="eastAsia" w:ascii="Times New Roman" w:hAnsi="Times New Roman"/>
          <w:szCs w:val="28"/>
          <w:lang w:val="en-US" w:eastAsia="zh-CN"/>
        </w:rPr>
        <w:t>安全等级为一级、二级的工程，基坑支护设计方案专家论证意见；</w:t>
      </w:r>
    </w:p>
    <w:p>
      <w:pPr>
        <w:widowControl w:val="0"/>
        <w:spacing w:line="480" w:lineRule="exact"/>
        <w:ind w:firstLine="480" w:firstLineChars="200"/>
        <w:rPr>
          <w:rFonts w:ascii="Times New Roman" w:hAnsi="Times New Roman"/>
          <w:color w:val="FF0000"/>
          <w:szCs w:val="28"/>
        </w:rPr>
      </w:pPr>
      <w:r>
        <w:rPr>
          <w:rFonts w:hint="eastAsia" w:ascii="Times New Roman" w:hAnsi="Times New Roman"/>
          <w:szCs w:val="28"/>
          <w:lang w:val="en-US" w:eastAsia="zh-CN"/>
        </w:rPr>
        <w:t>6 超过一定规模的危大工程专项施工方案的</w:t>
      </w:r>
      <w:r>
        <w:rPr>
          <w:rFonts w:hint="eastAsia" w:ascii="Times New Roman" w:hAnsi="Times New Roman"/>
          <w:szCs w:val="28"/>
        </w:rPr>
        <w:t>专家论证意见。</w:t>
      </w:r>
    </w:p>
    <w:p>
      <w:pPr>
        <w:pStyle w:val="3"/>
        <w:outlineLvl w:val="9"/>
      </w:pPr>
      <w:r>
        <w:br w:type="page"/>
      </w:r>
    </w:p>
    <w:p>
      <w:pPr>
        <w:keepNext/>
        <w:keepLines/>
        <w:bidi w:val="0"/>
        <w:spacing w:before="340" w:after="330" w:line="578" w:lineRule="auto"/>
        <w:jc w:val="center"/>
        <w:outlineLvl w:val="0"/>
        <w:rPr>
          <w:rFonts w:ascii="宋体" w:hAnsi="宋体" w:eastAsia="黑体" w:cs="Times New Roman"/>
          <w:b/>
          <w:bCs/>
          <w:kern w:val="44"/>
          <w:sz w:val="44"/>
          <w:szCs w:val="44"/>
          <w:lang w:val="en-US" w:eastAsia="zh-CN" w:bidi="ar-SA"/>
        </w:rPr>
      </w:pPr>
      <w:bookmarkStart w:id="130" w:name="_Toc18318"/>
      <w:bookmarkStart w:id="131" w:name="_Toc30958"/>
      <w:r>
        <w:rPr>
          <w:rFonts w:ascii="Times New Roman" w:hAnsi="Times New Roman" w:eastAsia="黑体" w:cs="Times New Roman"/>
          <w:b/>
          <w:bCs/>
          <w:kern w:val="44"/>
          <w:sz w:val="44"/>
          <w:szCs w:val="44"/>
          <w:lang w:val="en-US" w:eastAsia="zh-CN" w:bidi="ar-SA"/>
        </w:rPr>
        <w:t>4</w:t>
      </w:r>
      <w:r>
        <w:rPr>
          <w:rFonts w:hint="eastAsia" w:ascii="宋体" w:hAnsi="宋体" w:eastAsia="黑体" w:cs="Times New Roman"/>
          <w:b/>
          <w:bCs/>
          <w:kern w:val="44"/>
          <w:sz w:val="44"/>
          <w:szCs w:val="44"/>
          <w:lang w:val="en-US" w:eastAsia="zh-CN" w:bidi="ar-SA"/>
        </w:rPr>
        <w:t xml:space="preserve">  </w:t>
      </w:r>
      <w:r>
        <w:rPr>
          <w:rFonts w:hint="eastAsia" w:ascii="Calibri" w:hAnsi="Calibri" w:eastAsia="黑体" w:cs="Times New Roman"/>
          <w:b/>
          <w:bCs/>
          <w:kern w:val="44"/>
          <w:sz w:val="44"/>
          <w:szCs w:val="44"/>
          <w:lang w:val="en-US" w:eastAsia="zh-CN" w:bidi="ar-SA"/>
        </w:rPr>
        <w:t>岩土勘察</w:t>
      </w:r>
      <w:bookmarkEnd w:id="130"/>
      <w:bookmarkEnd w:id="131"/>
    </w:p>
    <w:p>
      <w:pPr>
        <w:pStyle w:val="3"/>
        <w:bidi w:val="0"/>
      </w:pPr>
      <w:bookmarkStart w:id="132" w:name="_Toc382559882"/>
      <w:bookmarkStart w:id="133" w:name="_Toc385581688"/>
      <w:bookmarkStart w:id="134" w:name="_Toc384309834"/>
      <w:bookmarkStart w:id="135" w:name="_Toc382559720"/>
      <w:bookmarkStart w:id="136" w:name="_Toc385579297"/>
      <w:bookmarkStart w:id="137" w:name="_Toc381950997"/>
      <w:bookmarkStart w:id="138" w:name="_Toc384304342"/>
      <w:bookmarkStart w:id="139" w:name="_Toc8198"/>
      <w:bookmarkStart w:id="140" w:name="_Toc381951576"/>
      <w:bookmarkStart w:id="141" w:name="_Toc381951381"/>
      <w:bookmarkStart w:id="142" w:name="_Toc384310055"/>
      <w:bookmarkStart w:id="143" w:name="_Toc385518815"/>
      <w:bookmarkStart w:id="144" w:name="_Toc384300262"/>
      <w:bookmarkStart w:id="145" w:name="_Toc381950741"/>
      <w:bookmarkStart w:id="146" w:name="_Toc385576912"/>
      <w:bookmarkStart w:id="147" w:name="_Toc384300114"/>
      <w:bookmarkStart w:id="148" w:name="_Toc7937"/>
      <w:bookmarkStart w:id="149" w:name="_Toc17403"/>
      <w:bookmarkStart w:id="150" w:name="_Toc13329"/>
      <w:bookmarkStart w:id="151" w:name="_Toc388643540"/>
      <w:bookmarkStart w:id="152" w:name="_Toc24756"/>
      <w:bookmarkStart w:id="153" w:name="_Toc388643423"/>
      <w:r>
        <w:t>4.1  一般规定</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spacing w:line="480" w:lineRule="exact"/>
        <w:rPr>
          <w:rFonts w:ascii="Times New Roman" w:hAnsi="Times New Roman"/>
          <w:szCs w:val="28"/>
        </w:rPr>
      </w:pPr>
      <w:r>
        <w:rPr>
          <w:rFonts w:ascii="Times New Roman" w:hAnsi="Times New Roman"/>
          <w:b/>
          <w:szCs w:val="28"/>
          <w:lang w:bidi="ar"/>
        </w:rPr>
        <w:t>4.1.1</w:t>
      </w:r>
      <w:r>
        <w:rPr>
          <w:rFonts w:ascii="Times New Roman" w:hAnsi="Times New Roman"/>
          <w:szCs w:val="28"/>
          <w:lang w:bidi="ar"/>
        </w:rPr>
        <w:t xml:space="preserve"> </w:t>
      </w:r>
      <w:r>
        <w:rPr>
          <w:rFonts w:hint="eastAsia" w:ascii="Times New Roman" w:hAnsi="Times New Roman" w:cs="宋体"/>
          <w:szCs w:val="28"/>
          <w:lang w:bidi="ar"/>
        </w:rPr>
        <w:t>基坑工程岩土勘察与评价内容，应根据不同勘察阶段的要求及基坑安全等级综合确定。基坑工程岩土勘察应解决的主要问题包括：</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查明与基坑开挖有关的岩土分布特征、地层结构、工程特性及不良地质作用等；并提供满足基坑工程设计、施工所需的岩土参数；</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查明地下水埋藏条件，包括地下水类型、补给来源、水位标高及水位季节性变化幅度和土层的渗透性等，判定评价地下水对基坑的不良影响；</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对岩层中开挖的基坑，应查明岩体的岩性、产状、风化程度，结构面（尤其是软弱面）的类型、力学性质、发育程度、闭合状态、充填与充水情况、各结构面组合关系以及软质岩石开挖暴露后工程性能恶化对基坑稳定性的影响；</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对影响基坑侧壁稳定性的不良地质作用提出防治方案建议，根据岩土条件对基坑支护、地下水控制和基坑开挖施工方案提出建议；</w:t>
      </w:r>
    </w:p>
    <w:p>
      <w:pPr>
        <w:spacing w:line="480" w:lineRule="exact"/>
        <w:ind w:firstLine="480" w:firstLineChars="200"/>
        <w:rPr>
          <w:rFonts w:hint="eastAsia" w:ascii="Times New Roman" w:hAnsi="Times New Roman" w:cs="宋体"/>
          <w:szCs w:val="28"/>
          <w:lang w:eastAsia="zh-CN" w:bidi="ar"/>
        </w:rPr>
      </w:pPr>
      <w:r>
        <w:rPr>
          <w:rFonts w:ascii="Times New Roman" w:hAnsi="Times New Roman"/>
          <w:szCs w:val="28"/>
          <w:lang w:bidi="ar"/>
        </w:rPr>
        <w:t xml:space="preserve">5 </w:t>
      </w:r>
      <w:r>
        <w:rPr>
          <w:rFonts w:hint="eastAsia" w:ascii="Times New Roman" w:hAnsi="Times New Roman" w:cs="宋体"/>
          <w:szCs w:val="28"/>
          <w:lang w:bidi="ar"/>
        </w:rPr>
        <w:t>对饱和粉土和饱和砂土应进行液化评价，对软塑、流塑状态的黏性土应进行灵敏度评价</w:t>
      </w:r>
      <w:r>
        <w:rPr>
          <w:rFonts w:hint="eastAsia" w:ascii="Times New Roman" w:hAnsi="Times New Roman" w:cs="宋体"/>
          <w:szCs w:val="28"/>
          <w:lang w:eastAsia="zh-CN" w:bidi="ar"/>
        </w:rPr>
        <w:t>；</w:t>
      </w:r>
    </w:p>
    <w:p>
      <w:pPr>
        <w:spacing w:line="480" w:lineRule="exact"/>
        <w:ind w:firstLine="480" w:firstLineChars="200"/>
        <w:rPr>
          <w:rFonts w:hint="eastAsia" w:ascii="Times New Roman" w:hAnsi="Times New Roman" w:cs="宋体"/>
          <w:szCs w:val="28"/>
          <w:lang w:eastAsia="zh-CN" w:bidi="ar"/>
        </w:rPr>
      </w:pPr>
      <w:r>
        <w:rPr>
          <w:rFonts w:hint="eastAsia" w:ascii="Times New Roman" w:hAnsi="Times New Roman" w:cs="宋体"/>
          <w:szCs w:val="28"/>
          <w:lang w:val="en-US" w:eastAsia="zh-CN" w:bidi="ar"/>
        </w:rPr>
        <w:t xml:space="preserve">6 </w:t>
      </w:r>
      <w:r>
        <w:rPr>
          <w:rFonts w:hint="eastAsia" w:ascii="Times New Roman" w:hAnsi="Times New Roman" w:cs="宋体"/>
          <w:szCs w:val="28"/>
          <w:lang w:bidi="ar"/>
        </w:rPr>
        <w:t>对湿陷性黄土应按《湿陷性黄土地区建筑规范》</w:t>
      </w:r>
      <w:r>
        <w:rPr>
          <w:rFonts w:ascii="Times New Roman" w:hAnsi="Times New Roman"/>
          <w:szCs w:val="28"/>
          <w:lang w:bidi="ar"/>
        </w:rPr>
        <w:t>GB50025</w:t>
      </w:r>
      <w:r>
        <w:rPr>
          <w:rFonts w:hint="eastAsia" w:ascii="Times New Roman" w:hAnsi="Times New Roman" w:cs="宋体"/>
          <w:szCs w:val="28"/>
          <w:lang w:bidi="ar"/>
        </w:rPr>
        <w:t>评价湿陷类型和湿陷等级</w:t>
      </w:r>
      <w:r>
        <w:rPr>
          <w:rFonts w:hint="eastAsia" w:ascii="Times New Roman" w:hAnsi="Times New Roman" w:cs="宋体"/>
          <w:szCs w:val="28"/>
          <w:lang w:eastAsia="zh-CN" w:bidi="ar"/>
        </w:rPr>
        <w:t>；</w:t>
      </w:r>
    </w:p>
    <w:p>
      <w:pPr>
        <w:spacing w:line="480" w:lineRule="exact"/>
        <w:ind w:firstLine="480" w:firstLineChars="200"/>
        <w:rPr>
          <w:rFonts w:hint="eastAsia" w:ascii="Times New Roman" w:hAnsi="Times New Roman" w:cs="宋体"/>
          <w:szCs w:val="28"/>
          <w:lang w:val="en-US" w:eastAsia="zh-CN" w:bidi="ar"/>
        </w:rPr>
      </w:pPr>
      <w:r>
        <w:rPr>
          <w:rFonts w:hint="eastAsia" w:ascii="Times New Roman" w:hAnsi="Times New Roman" w:cs="宋体"/>
          <w:szCs w:val="28"/>
          <w:lang w:val="en-US" w:eastAsia="zh-CN" w:bidi="ar"/>
        </w:rPr>
        <w:t>7 对膨胀土应测定膨胀力，计算膨胀变形量、收缩变形量和胀缩变形量，确定胀缩等级；</w:t>
      </w:r>
    </w:p>
    <w:p>
      <w:pPr>
        <w:spacing w:line="480" w:lineRule="exact"/>
        <w:ind w:firstLine="480" w:firstLineChars="200"/>
        <w:rPr>
          <w:rFonts w:hint="eastAsia" w:ascii="Times New Roman" w:hAnsi="Times New Roman" w:cs="宋体"/>
          <w:szCs w:val="28"/>
          <w:lang w:val="en-US" w:eastAsia="zh-CN" w:bidi="ar"/>
        </w:rPr>
      </w:pPr>
      <w:r>
        <w:rPr>
          <w:rFonts w:hint="eastAsia" w:ascii="Times New Roman" w:hAnsi="Times New Roman" w:cs="宋体"/>
          <w:szCs w:val="28"/>
          <w:lang w:val="en-US" w:eastAsia="zh-CN" w:bidi="ar"/>
        </w:rPr>
        <w:t>8 对填土应查明堆填或填筑的方式和形成时间，分析填料性质、分布范围，评价填土地基的稳定性和均匀性；</w:t>
      </w:r>
    </w:p>
    <w:p>
      <w:pPr>
        <w:spacing w:line="480" w:lineRule="exact"/>
        <w:ind w:firstLine="480" w:firstLineChars="200"/>
        <w:rPr>
          <w:rFonts w:hint="default" w:ascii="Times New Roman" w:hAnsi="Times New Roman" w:cs="宋体"/>
          <w:szCs w:val="28"/>
          <w:lang w:val="en-US" w:eastAsia="zh-CN" w:bidi="ar"/>
        </w:rPr>
      </w:pPr>
      <w:r>
        <w:rPr>
          <w:rFonts w:hint="eastAsia" w:ascii="Times New Roman" w:hAnsi="Times New Roman" w:cs="宋体"/>
          <w:szCs w:val="28"/>
          <w:lang w:val="en-US" w:eastAsia="zh-CN" w:bidi="ar"/>
        </w:rPr>
        <w:t>9 对盐渍土应测定其易溶盐含量，确定含盐类型，评价溶陷性、盐胀性和腐蚀性；</w:t>
      </w:r>
    </w:p>
    <w:p>
      <w:pPr>
        <w:spacing w:line="480" w:lineRule="exact"/>
        <w:ind w:firstLine="480" w:firstLineChars="200"/>
        <w:rPr>
          <w:rFonts w:hint="default" w:ascii="Times New Roman" w:hAnsi="Times New Roman" w:cs="宋体"/>
          <w:szCs w:val="28"/>
          <w:lang w:val="en-US" w:eastAsia="zh-CN" w:bidi="ar"/>
        </w:rPr>
      </w:pPr>
      <w:r>
        <w:rPr>
          <w:rFonts w:hint="eastAsia" w:ascii="Times New Roman" w:hAnsi="Times New Roman" w:cs="宋体"/>
          <w:szCs w:val="28"/>
          <w:lang w:val="en-US" w:eastAsia="zh-CN" w:bidi="ar"/>
        </w:rPr>
        <w:t>10 对软土应查明成因类型、分布特征，分析固结历史、结构性和灵敏度。</w:t>
      </w:r>
    </w:p>
    <w:p>
      <w:pPr>
        <w:spacing w:line="480" w:lineRule="exact"/>
        <w:rPr>
          <w:rFonts w:ascii="Times New Roman" w:hAnsi="Times New Roman"/>
          <w:szCs w:val="28"/>
        </w:rPr>
      </w:pPr>
      <w:r>
        <w:rPr>
          <w:rFonts w:ascii="Times New Roman" w:hAnsi="Times New Roman"/>
          <w:b/>
          <w:szCs w:val="28"/>
          <w:lang w:bidi="ar"/>
        </w:rPr>
        <w:t>4.1.2</w:t>
      </w:r>
      <w:r>
        <w:rPr>
          <w:rFonts w:ascii="Times New Roman" w:hAnsi="Times New Roman"/>
          <w:szCs w:val="28"/>
          <w:lang w:bidi="ar"/>
        </w:rPr>
        <w:t xml:space="preserve"> </w:t>
      </w:r>
      <w:r>
        <w:rPr>
          <w:rFonts w:hint="eastAsia" w:ascii="Times New Roman" w:hAnsi="Times New Roman" w:cs="宋体"/>
          <w:szCs w:val="28"/>
          <w:lang w:bidi="ar"/>
        </w:rPr>
        <w:t>基坑工程的岩土勘察宜与拟建主体建筑的岩土勘察同步进行，应同时满足主体建筑和基坑工程勘察的要求，在勘察成果报告中应有专门章节对基坑工程进行分析评价。对周边环境条件复杂、开挖深度超过</w:t>
      </w:r>
      <w:r>
        <w:rPr>
          <w:rFonts w:ascii="Times New Roman" w:hAnsi="Times New Roman"/>
          <w:szCs w:val="28"/>
          <w:lang w:bidi="ar"/>
        </w:rPr>
        <w:t>20m</w:t>
      </w:r>
      <w:r>
        <w:rPr>
          <w:rFonts w:hint="eastAsia" w:ascii="Times New Roman" w:hAnsi="Times New Roman" w:cs="宋体"/>
          <w:szCs w:val="28"/>
          <w:lang w:bidi="ar"/>
        </w:rPr>
        <w:t>的一级基坑工程，宜针对基坑工程的设计、施工要求提供专项勘察报告。</w:t>
      </w:r>
    </w:p>
    <w:p>
      <w:pPr>
        <w:spacing w:line="480" w:lineRule="exact"/>
        <w:rPr>
          <w:rFonts w:ascii="Times New Roman" w:hAnsi="Times New Roman"/>
          <w:szCs w:val="28"/>
        </w:rPr>
      </w:pPr>
      <w:r>
        <w:rPr>
          <w:rFonts w:ascii="Times New Roman" w:hAnsi="Times New Roman"/>
          <w:b/>
          <w:szCs w:val="28"/>
          <w:lang w:bidi="ar"/>
        </w:rPr>
        <w:t>4.1.3</w:t>
      </w:r>
      <w:r>
        <w:rPr>
          <w:rFonts w:ascii="Times New Roman" w:hAnsi="Times New Roman"/>
          <w:szCs w:val="28"/>
          <w:lang w:bidi="ar"/>
        </w:rPr>
        <w:t xml:space="preserve"> </w:t>
      </w:r>
      <w:r>
        <w:rPr>
          <w:rFonts w:hint="eastAsia" w:ascii="Times New Roman" w:hAnsi="Times New Roman" w:cs="宋体"/>
          <w:szCs w:val="28"/>
          <w:lang w:bidi="ar"/>
        </w:rPr>
        <w:t>当已有勘察资料不能满足基坑工程设计和施工要求时，应进行专项勘察或补充勘察。</w:t>
      </w:r>
    </w:p>
    <w:p>
      <w:pPr>
        <w:spacing w:line="480" w:lineRule="exact"/>
        <w:rPr>
          <w:rFonts w:ascii="Times New Roman" w:hAnsi="Times New Roman"/>
          <w:szCs w:val="28"/>
        </w:rPr>
      </w:pPr>
      <w:r>
        <w:rPr>
          <w:rFonts w:ascii="Times New Roman" w:hAnsi="Times New Roman"/>
          <w:b/>
          <w:szCs w:val="28"/>
          <w:lang w:bidi="ar"/>
        </w:rPr>
        <w:t>4.1.4</w:t>
      </w:r>
      <w:r>
        <w:rPr>
          <w:rFonts w:ascii="Times New Roman" w:hAnsi="Times New Roman"/>
          <w:szCs w:val="28"/>
          <w:lang w:bidi="ar"/>
        </w:rPr>
        <w:t xml:space="preserve"> </w:t>
      </w:r>
      <w:r>
        <w:rPr>
          <w:rFonts w:hint="eastAsia" w:ascii="Times New Roman" w:hAnsi="Times New Roman" w:cs="宋体"/>
          <w:szCs w:val="28"/>
          <w:lang w:bidi="ar"/>
        </w:rPr>
        <w:t>在进行基坑工程岩土勘察之前应取得以下资料：</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附有坐标、用地和建筑红线及周边既有建（构）筑物的总平面布置图；</w:t>
      </w:r>
    </w:p>
    <w:p>
      <w:pPr>
        <w:spacing w:line="480" w:lineRule="exact"/>
        <w:ind w:firstLine="480" w:firstLineChars="200"/>
        <w:rPr>
          <w:rFonts w:hint="eastAsia" w:ascii="Times New Roman" w:hAnsi="Times New Roman" w:cs="宋体"/>
          <w:szCs w:val="28"/>
          <w:lang w:bidi="ar"/>
        </w:rPr>
      </w:pPr>
      <w:bookmarkStart w:id="154" w:name="_Toc15500"/>
      <w:bookmarkStart w:id="155" w:name="_Toc29749"/>
      <w:r>
        <w:rPr>
          <w:rFonts w:hint="eastAsia" w:ascii="Times New Roman" w:hAnsi="Times New Roman" w:cs="宋体"/>
          <w:szCs w:val="28"/>
          <w:lang w:bidi="ar"/>
        </w:rPr>
        <w:t>2 场地内及周边地下管线、人防工程及其它地下构筑物的分布图；</w:t>
      </w:r>
      <w:bookmarkEnd w:id="154"/>
      <w:bookmarkEnd w:id="155"/>
    </w:p>
    <w:p>
      <w:pPr>
        <w:spacing w:line="480" w:lineRule="exact"/>
        <w:ind w:firstLine="480" w:firstLineChars="200"/>
        <w:rPr>
          <w:rFonts w:ascii="Times New Roman" w:hAnsi="Times New Roman"/>
        </w:rPr>
      </w:pPr>
      <w:r>
        <w:rPr>
          <w:rFonts w:ascii="Times New Roman" w:hAnsi="Times New Roman"/>
          <w:szCs w:val="28"/>
          <w:lang w:bidi="ar"/>
        </w:rPr>
        <w:t xml:space="preserve">3 </w:t>
      </w:r>
      <w:r>
        <w:rPr>
          <w:rFonts w:hint="eastAsia" w:ascii="Times New Roman" w:hAnsi="Times New Roman" w:cs="宋体"/>
          <w:szCs w:val="28"/>
          <w:lang w:bidi="ar"/>
        </w:rPr>
        <w:t>拟建建（构）筑物±</w:t>
      </w:r>
      <w:r>
        <w:rPr>
          <w:rFonts w:ascii="Times New Roman" w:hAnsi="Times New Roman"/>
          <w:szCs w:val="28"/>
          <w:lang w:bidi="ar"/>
        </w:rPr>
        <w:t>0.000</w:t>
      </w:r>
      <w:r>
        <w:rPr>
          <w:rFonts w:hint="eastAsia" w:ascii="Times New Roman" w:hAnsi="Times New Roman" w:cs="宋体"/>
          <w:szCs w:val="28"/>
          <w:lang w:bidi="ar"/>
        </w:rPr>
        <w:t>绝对标高、结构类型、荷载情况、</w:t>
      </w:r>
      <w:r>
        <w:rPr>
          <w:rFonts w:hint="eastAsia" w:ascii="Times New Roman" w:hAnsi="Times New Roman" w:cs="宋体"/>
          <w:szCs w:val="24"/>
          <w:lang w:bidi="ar"/>
        </w:rPr>
        <w:t>基础埋深和地基处理方法及基础形式；</w:t>
      </w:r>
    </w:p>
    <w:p>
      <w:pPr>
        <w:spacing w:line="480" w:lineRule="exact"/>
        <w:ind w:firstLine="480" w:firstLineChars="200"/>
        <w:rPr>
          <w:rFonts w:hint="eastAsia" w:ascii="Times New Roman" w:hAnsi="Times New Roman" w:cs="宋体"/>
          <w:szCs w:val="28"/>
          <w:lang w:bidi="ar"/>
        </w:rPr>
      </w:pPr>
      <w:bookmarkStart w:id="156" w:name="_Toc20883"/>
      <w:bookmarkStart w:id="157" w:name="_Toc32608"/>
      <w:r>
        <w:rPr>
          <w:rFonts w:hint="eastAsia" w:ascii="Times New Roman" w:hAnsi="Times New Roman" w:cs="宋体"/>
          <w:szCs w:val="28"/>
          <w:lang w:bidi="ar"/>
        </w:rPr>
        <w:t>4 拟建场地地面标高、坑底标高和基坑平面尺寸；</w:t>
      </w:r>
      <w:bookmarkEnd w:id="156"/>
      <w:bookmarkEnd w:id="157"/>
    </w:p>
    <w:p>
      <w:pPr>
        <w:spacing w:line="480" w:lineRule="exact"/>
        <w:ind w:firstLine="480" w:firstLineChars="200"/>
        <w:rPr>
          <w:rFonts w:ascii="Times New Roman" w:hAnsi="Times New Roman"/>
          <w:spacing w:val="-8"/>
        </w:rPr>
      </w:pPr>
      <w:r>
        <w:rPr>
          <w:rFonts w:ascii="Times New Roman" w:hAnsi="Times New Roman"/>
          <w:szCs w:val="28"/>
          <w:lang w:bidi="ar"/>
        </w:rPr>
        <w:t xml:space="preserve">5 </w:t>
      </w:r>
      <w:r>
        <w:rPr>
          <w:rFonts w:hint="eastAsia" w:ascii="Times New Roman" w:hAnsi="Times New Roman" w:cs="宋体"/>
          <w:szCs w:val="28"/>
          <w:lang w:bidi="ar"/>
        </w:rPr>
        <w:t>场地及基坑附近地区已有的勘察资料、当地常用的基坑支护形式及地下水控制方法和经</w:t>
      </w:r>
      <w:r>
        <w:rPr>
          <w:rFonts w:hint="eastAsia" w:ascii="Times New Roman" w:hAnsi="Times New Roman" w:cs="宋体"/>
          <w:spacing w:val="-8"/>
          <w:lang w:bidi="ar"/>
        </w:rPr>
        <w:t>验等资料。</w:t>
      </w:r>
    </w:p>
    <w:p>
      <w:pPr>
        <w:spacing w:line="480" w:lineRule="exact"/>
        <w:rPr>
          <w:rFonts w:ascii="Times New Roman" w:hAnsi="Times New Roman"/>
          <w:szCs w:val="28"/>
        </w:rPr>
      </w:pPr>
      <w:r>
        <w:rPr>
          <w:rFonts w:ascii="Times New Roman" w:hAnsi="Times New Roman"/>
          <w:b/>
          <w:szCs w:val="28"/>
          <w:lang w:bidi="ar"/>
        </w:rPr>
        <w:t>4.1.5</w:t>
      </w:r>
      <w:r>
        <w:rPr>
          <w:rFonts w:ascii="Times New Roman" w:hAnsi="Times New Roman"/>
          <w:szCs w:val="28"/>
          <w:lang w:bidi="ar"/>
        </w:rPr>
        <w:t xml:space="preserve"> </w:t>
      </w:r>
      <w:r>
        <w:rPr>
          <w:rFonts w:hint="eastAsia" w:ascii="Times New Roman" w:hAnsi="Times New Roman" w:cs="宋体"/>
          <w:szCs w:val="28"/>
          <w:lang w:bidi="ar"/>
        </w:rPr>
        <w:t>对位于边坡附近的基坑工程，应评价边坡稳定性及边坡对基坑工程的影响，对不稳定边坡或基坑开挖可能造成边坡失稳的基坑工程，应对边坡进行专门勘察，提供边坡治理设计所需岩土参数，并对边坡治理方案提出建议。</w:t>
      </w:r>
    </w:p>
    <w:p>
      <w:pPr>
        <w:spacing w:line="480" w:lineRule="exact"/>
        <w:rPr>
          <w:rFonts w:ascii="Times New Roman" w:hAnsi="Times New Roman"/>
          <w:szCs w:val="28"/>
        </w:rPr>
      </w:pPr>
      <w:r>
        <w:rPr>
          <w:rFonts w:ascii="Times New Roman" w:hAnsi="Times New Roman"/>
          <w:b/>
          <w:szCs w:val="28"/>
          <w:lang w:bidi="ar"/>
        </w:rPr>
        <w:t>4.1.6</w:t>
      </w:r>
      <w:r>
        <w:rPr>
          <w:rFonts w:ascii="Times New Roman" w:hAnsi="Times New Roman"/>
          <w:szCs w:val="28"/>
          <w:lang w:bidi="ar"/>
        </w:rPr>
        <w:t xml:space="preserve"> </w:t>
      </w:r>
      <w:r>
        <w:rPr>
          <w:rFonts w:hint="eastAsia" w:ascii="Times New Roman" w:hAnsi="Times New Roman" w:cs="宋体"/>
          <w:szCs w:val="28"/>
          <w:lang w:bidi="ar"/>
        </w:rPr>
        <w:t>土的分类定名，应符合国家标准《岩土工程勘察规范》</w:t>
      </w:r>
      <w:r>
        <w:rPr>
          <w:rFonts w:ascii="Times New Roman" w:hAnsi="Times New Roman"/>
          <w:szCs w:val="28"/>
          <w:lang w:bidi="ar"/>
        </w:rPr>
        <w:t>GB50021</w:t>
      </w:r>
      <w:r>
        <w:rPr>
          <w:rFonts w:hint="eastAsia" w:ascii="Times New Roman" w:hAnsi="Times New Roman" w:cs="宋体"/>
          <w:szCs w:val="28"/>
          <w:lang w:bidi="ar"/>
        </w:rPr>
        <w:t>及《建筑地基基础设计规范》</w:t>
      </w:r>
      <w:r>
        <w:rPr>
          <w:rFonts w:ascii="Times New Roman" w:hAnsi="Times New Roman"/>
          <w:szCs w:val="28"/>
          <w:lang w:bidi="ar"/>
        </w:rPr>
        <w:t>GB50007</w:t>
      </w:r>
      <w:r>
        <w:rPr>
          <w:rFonts w:hint="eastAsia" w:ascii="Times New Roman" w:hAnsi="Times New Roman" w:cs="宋体"/>
          <w:szCs w:val="28"/>
          <w:lang w:bidi="ar"/>
        </w:rPr>
        <w:t>有关规定，对粉土尚应进一步按表</w:t>
      </w:r>
      <w:r>
        <w:rPr>
          <w:rFonts w:ascii="Times New Roman" w:hAnsi="Times New Roman"/>
          <w:szCs w:val="28"/>
          <w:lang w:bidi="ar"/>
        </w:rPr>
        <w:t>4.1.6</w:t>
      </w:r>
      <w:r>
        <w:rPr>
          <w:rFonts w:hint="eastAsia" w:ascii="Times New Roman" w:hAnsi="Times New Roman" w:cs="宋体"/>
          <w:szCs w:val="28"/>
          <w:lang w:bidi="ar"/>
        </w:rPr>
        <w:t>划分为黏质粉土和砂质粉土。</w:t>
      </w:r>
    </w:p>
    <w:p>
      <w:pPr>
        <w:tabs>
          <w:tab w:val="left" w:pos="4140"/>
        </w:tabs>
        <w:snapToGrid w:val="0"/>
        <w:spacing w:line="480" w:lineRule="exact"/>
        <w:ind w:firstLine="354" w:firstLineChars="147"/>
        <w:jc w:val="center"/>
        <w:rPr>
          <w:rFonts w:ascii="Times New Roman" w:hAnsi="Times New Roman"/>
          <w:b/>
          <w:szCs w:val="21"/>
        </w:rPr>
      </w:pPr>
      <w:r>
        <w:rPr>
          <w:rFonts w:hint="eastAsia" w:ascii="Times New Roman" w:hAnsi="Times New Roman" w:cs="宋体"/>
          <w:b/>
          <w:szCs w:val="21"/>
          <w:lang w:bidi="ar"/>
        </w:rPr>
        <w:t>表</w:t>
      </w:r>
      <w:r>
        <w:rPr>
          <w:rFonts w:ascii="Times New Roman" w:hAnsi="Times New Roman"/>
          <w:b/>
          <w:szCs w:val="21"/>
          <w:lang w:bidi="ar"/>
        </w:rPr>
        <w:t xml:space="preserve">4.1.6   </w:t>
      </w:r>
      <w:r>
        <w:rPr>
          <w:rFonts w:hint="eastAsia" w:ascii="Times New Roman" w:hAnsi="Times New Roman" w:cs="宋体"/>
          <w:b/>
          <w:szCs w:val="21"/>
          <w:lang w:bidi="ar"/>
        </w:rPr>
        <w:t>粉</w:t>
      </w:r>
      <w:r>
        <w:rPr>
          <w:rFonts w:ascii="Times New Roman" w:hAnsi="Times New Roman"/>
          <w:b/>
          <w:szCs w:val="21"/>
          <w:lang w:bidi="ar"/>
        </w:rPr>
        <w:t xml:space="preserve"> </w:t>
      </w:r>
      <w:r>
        <w:rPr>
          <w:rFonts w:hint="eastAsia" w:ascii="Times New Roman" w:hAnsi="Times New Roman" w:cs="宋体"/>
          <w:b/>
          <w:szCs w:val="21"/>
          <w:lang w:bidi="ar"/>
        </w:rPr>
        <w:t>土</w:t>
      </w:r>
      <w:r>
        <w:rPr>
          <w:rFonts w:ascii="Times New Roman" w:hAnsi="Times New Roman"/>
          <w:b/>
          <w:szCs w:val="21"/>
          <w:lang w:bidi="ar"/>
        </w:rPr>
        <w:t xml:space="preserve"> </w:t>
      </w:r>
      <w:r>
        <w:rPr>
          <w:rFonts w:hint="eastAsia" w:ascii="Times New Roman" w:hAnsi="Times New Roman" w:cs="宋体"/>
          <w:b/>
          <w:szCs w:val="21"/>
          <w:lang w:bidi="ar"/>
        </w:rPr>
        <w:t>分</w:t>
      </w:r>
      <w:r>
        <w:rPr>
          <w:rFonts w:ascii="Times New Roman" w:hAnsi="Times New Roman"/>
          <w:b/>
          <w:szCs w:val="21"/>
          <w:lang w:bidi="ar"/>
        </w:rPr>
        <w:t xml:space="preserve"> </w:t>
      </w:r>
      <w:r>
        <w:rPr>
          <w:rFonts w:hint="eastAsia" w:ascii="Times New Roman" w:hAnsi="Times New Roman" w:cs="宋体"/>
          <w:b/>
          <w:szCs w:val="21"/>
          <w:lang w:bidi="ar"/>
        </w:rPr>
        <w:t>类</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6239"/>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hint="eastAsia" w:ascii="Times New Roman" w:hAnsi="Times New Roman" w:cs="宋体"/>
                <w:szCs w:val="21"/>
                <w:lang w:bidi="ar"/>
              </w:rPr>
              <w:t>土的名称</w:t>
            </w:r>
          </w:p>
        </w:tc>
        <w:tc>
          <w:tcPr>
            <w:tcW w:w="623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hint="eastAsia" w:ascii="Times New Roman" w:hAnsi="Times New Roman" w:cs="宋体"/>
                <w:szCs w:val="21"/>
                <w:lang w:bidi="ar"/>
              </w:rPr>
              <w:t>颗</w:t>
            </w:r>
            <w:r>
              <w:rPr>
                <w:rFonts w:ascii="Times New Roman" w:hAnsi="Times New Roman"/>
                <w:szCs w:val="21"/>
                <w:lang w:bidi="ar"/>
              </w:rPr>
              <w:t xml:space="preserve"> </w:t>
            </w:r>
            <w:r>
              <w:rPr>
                <w:rFonts w:hint="eastAsia" w:ascii="Times New Roman" w:hAnsi="Times New Roman" w:cs="宋体"/>
                <w:szCs w:val="21"/>
                <w:lang w:bidi="ar"/>
              </w:rPr>
              <w:t>粒</w:t>
            </w:r>
            <w:r>
              <w:rPr>
                <w:rFonts w:ascii="Times New Roman" w:hAnsi="Times New Roman"/>
                <w:szCs w:val="21"/>
                <w:lang w:bidi="ar"/>
              </w:rPr>
              <w:t xml:space="preserve"> </w:t>
            </w:r>
            <w:r>
              <w:rPr>
                <w:rFonts w:hint="eastAsia" w:ascii="Times New Roman" w:hAnsi="Times New Roman" w:cs="宋体"/>
                <w:szCs w:val="21"/>
                <w:lang w:bidi="ar"/>
              </w:rPr>
              <w:t>级</w:t>
            </w:r>
            <w:r>
              <w:rPr>
                <w:rFonts w:ascii="Times New Roman" w:hAnsi="Times New Roman"/>
                <w:szCs w:val="21"/>
                <w:lang w:bidi="ar"/>
              </w:rPr>
              <w:t xml:space="preserve"> </w:t>
            </w:r>
            <w:r>
              <w:rPr>
                <w:rFonts w:hint="eastAsia" w:ascii="Times New Roman" w:hAnsi="Times New Roman" w:cs="宋体"/>
                <w:szCs w:val="21"/>
                <w:lang w:bidi="ar"/>
              </w:rPr>
              <w:t>配</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hint="eastAsia" w:ascii="Times New Roman" w:hAnsi="Times New Roman" w:cs="宋体"/>
                <w:szCs w:val="21"/>
                <w:lang w:bidi="ar"/>
              </w:rPr>
              <w:t>塑性指数</w:t>
            </w:r>
            <w:r>
              <w:rPr>
                <w:rFonts w:ascii="Times New Roman" w:hAnsi="Times New Roman"/>
                <w:szCs w:val="21"/>
                <w:lang w:bidi="ar"/>
              </w:rPr>
              <w:t>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hint="eastAsia" w:ascii="Times New Roman" w:hAnsi="Times New Roman" w:cs="宋体"/>
                <w:szCs w:val="21"/>
                <w:lang w:bidi="ar"/>
              </w:rPr>
              <w:t>黏质粉土</w:t>
            </w:r>
          </w:p>
        </w:tc>
        <w:tc>
          <w:tcPr>
            <w:tcW w:w="623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hint="eastAsia" w:ascii="Times New Roman" w:hAnsi="Times New Roman" w:cs="宋体"/>
                <w:szCs w:val="21"/>
                <w:lang w:bidi="ar"/>
              </w:rPr>
              <w:t>粒径小于</w:t>
            </w:r>
            <w:r>
              <w:rPr>
                <w:rFonts w:ascii="Times New Roman" w:hAnsi="Times New Roman"/>
                <w:szCs w:val="21"/>
                <w:lang w:bidi="ar"/>
              </w:rPr>
              <w:t>0.005mm</w:t>
            </w:r>
            <w:r>
              <w:rPr>
                <w:rFonts w:hint="eastAsia" w:ascii="Times New Roman" w:hAnsi="Times New Roman" w:cs="宋体"/>
                <w:szCs w:val="21"/>
                <w:lang w:bidi="ar"/>
              </w:rPr>
              <w:t>的颗粒质量超过或等于总质量</w:t>
            </w:r>
            <w:r>
              <w:rPr>
                <w:rFonts w:ascii="Times New Roman" w:hAnsi="Times New Roman"/>
                <w:szCs w:val="21"/>
                <w:lang w:bidi="ar"/>
              </w:rPr>
              <w:t>10%</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ascii="Times New Roman" w:hAnsi="Times New Roman"/>
                <w:szCs w:val="21"/>
                <w:lang w:bidi="ar"/>
              </w:rPr>
              <w:t>7</w:t>
            </w:r>
            <w:r>
              <w:rPr>
                <w:rFonts w:hint="eastAsia" w:ascii="Times New Roman" w:hAnsi="Times New Roman" w:cs="宋体"/>
                <w:szCs w:val="21"/>
                <w:lang w:bidi="ar"/>
              </w:rPr>
              <w:t>＜</w:t>
            </w:r>
            <w:r>
              <w:rPr>
                <w:rFonts w:ascii="Times New Roman" w:hAnsi="Times New Roman"/>
                <w:szCs w:val="21"/>
                <w:lang w:bidi="ar"/>
              </w:rPr>
              <w:t>Ip</w:t>
            </w:r>
            <w:r>
              <w:rPr>
                <w:rFonts w:hint="eastAsia" w:ascii="Times New Roman" w:hAnsi="Times New Roman" w:cs="宋体"/>
                <w:szCs w:val="21"/>
                <w:lang w:bidi="ar"/>
              </w:rPr>
              <w:t>≤</w:t>
            </w:r>
            <w:r>
              <w:rPr>
                <w:rFonts w:ascii="Times New Roman" w:hAnsi="Times New Roman"/>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hint="eastAsia" w:ascii="Times New Roman" w:hAnsi="Times New Roman" w:cs="宋体"/>
                <w:szCs w:val="21"/>
                <w:lang w:bidi="ar"/>
              </w:rPr>
              <w:t>砂质粉土</w:t>
            </w:r>
          </w:p>
        </w:tc>
        <w:tc>
          <w:tcPr>
            <w:tcW w:w="623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cs="宋体"/>
                <w:szCs w:val="21"/>
                <w:lang w:bidi="ar"/>
              </w:rPr>
              <w:t>粒径大于</w:t>
            </w:r>
            <w:r>
              <w:rPr>
                <w:rFonts w:ascii="Times New Roman" w:hAnsi="Times New Roman"/>
                <w:szCs w:val="21"/>
                <w:lang w:bidi="ar"/>
              </w:rPr>
              <w:t>0.075mm</w:t>
            </w:r>
            <w:r>
              <w:rPr>
                <w:rFonts w:hint="eastAsia" w:ascii="Times New Roman" w:hAnsi="Times New Roman" w:cs="宋体"/>
                <w:szCs w:val="21"/>
                <w:lang w:bidi="ar"/>
              </w:rPr>
              <w:t>的颗粒质量不超过总质量</w:t>
            </w:r>
            <w:r>
              <w:rPr>
                <w:rFonts w:ascii="Times New Roman" w:hAnsi="Times New Roman"/>
                <w:szCs w:val="21"/>
                <w:lang w:bidi="ar"/>
              </w:rPr>
              <w:t>50%</w:t>
            </w:r>
            <w:r>
              <w:rPr>
                <w:rFonts w:hint="eastAsia" w:ascii="Times New Roman" w:hAnsi="Times New Roman" w:cs="宋体"/>
                <w:szCs w:val="21"/>
                <w:lang w:bidi="ar"/>
              </w:rPr>
              <w:t>，</w:t>
            </w:r>
          </w:p>
          <w:p>
            <w:pPr>
              <w:jc w:val="center"/>
              <w:rPr>
                <w:rFonts w:ascii="Times New Roman" w:hAnsi="Times New Roman"/>
                <w:szCs w:val="21"/>
              </w:rPr>
            </w:pPr>
            <w:r>
              <w:rPr>
                <w:rFonts w:hint="eastAsia" w:ascii="Times New Roman" w:hAnsi="Times New Roman" w:cs="宋体"/>
                <w:szCs w:val="21"/>
                <w:lang w:bidi="ar"/>
              </w:rPr>
              <w:t>粒径小于</w:t>
            </w:r>
            <w:r>
              <w:rPr>
                <w:rFonts w:ascii="Times New Roman" w:hAnsi="Times New Roman"/>
                <w:szCs w:val="21"/>
                <w:lang w:bidi="ar"/>
              </w:rPr>
              <w:t>0.005mm</w:t>
            </w:r>
            <w:r>
              <w:rPr>
                <w:rFonts w:hint="eastAsia" w:ascii="Times New Roman" w:hAnsi="Times New Roman" w:cs="宋体"/>
                <w:szCs w:val="21"/>
                <w:lang w:bidi="ar"/>
              </w:rPr>
              <w:t>的颗粒质量不超过总质量</w:t>
            </w:r>
            <w:r>
              <w:rPr>
                <w:rFonts w:ascii="Times New Roman" w:hAnsi="Times New Roman"/>
                <w:szCs w:val="21"/>
                <w:lang w:bidi="ar"/>
              </w:rPr>
              <w:t>10%</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ind w:left="559" w:leftChars="33" w:hanging="480" w:hangingChars="200"/>
              <w:jc w:val="center"/>
              <w:rPr>
                <w:rFonts w:ascii="Times New Roman" w:hAnsi="Times New Roman"/>
                <w:szCs w:val="21"/>
              </w:rPr>
            </w:pPr>
            <w:r>
              <w:rPr>
                <w:rFonts w:ascii="Times New Roman" w:hAnsi="Times New Roman"/>
                <w:szCs w:val="21"/>
                <w:lang w:bidi="ar"/>
              </w:rPr>
              <w:t>3</w:t>
            </w:r>
            <w:r>
              <w:rPr>
                <w:rFonts w:hint="eastAsia" w:ascii="Times New Roman" w:hAnsi="Times New Roman" w:cs="宋体"/>
                <w:szCs w:val="21"/>
                <w:lang w:bidi="ar"/>
              </w:rPr>
              <w:t>＜</w:t>
            </w:r>
            <w:r>
              <w:rPr>
                <w:rFonts w:ascii="Times New Roman" w:hAnsi="Times New Roman"/>
                <w:szCs w:val="21"/>
                <w:lang w:bidi="ar"/>
              </w:rPr>
              <w:t>Ip</w:t>
            </w:r>
            <w:r>
              <w:rPr>
                <w:rFonts w:hint="eastAsia" w:ascii="Times New Roman" w:hAnsi="Times New Roman" w:cs="宋体"/>
                <w:szCs w:val="21"/>
                <w:lang w:bidi="ar"/>
              </w:rPr>
              <w:t>≤</w:t>
            </w:r>
            <w:r>
              <w:rPr>
                <w:rFonts w:ascii="Times New Roman" w:hAnsi="Times New Roman"/>
                <w:szCs w:val="21"/>
                <w:lang w:bidi="ar"/>
              </w:rPr>
              <w:t>7</w:t>
            </w:r>
          </w:p>
        </w:tc>
      </w:tr>
    </w:tbl>
    <w:p>
      <w:pPr>
        <w:ind w:left="660" w:leftChars="100" w:hanging="420" w:hangingChars="200"/>
        <w:rPr>
          <w:rFonts w:ascii="Times New Roman" w:hAnsi="Times New Roman"/>
          <w:szCs w:val="21"/>
        </w:rPr>
      </w:pPr>
      <w:r>
        <w:rPr>
          <w:rFonts w:hint="eastAsia" w:ascii="Times New Roman" w:hAnsi="Times New Roman" w:cs="宋体"/>
          <w:sz w:val="21"/>
          <w:szCs w:val="21"/>
          <w:lang w:bidi="ar"/>
        </w:rPr>
        <w:t>注：以颗粒级配为主，塑性指数仅作参考。塑性指数由相应于</w:t>
      </w:r>
      <w:r>
        <w:rPr>
          <w:rFonts w:ascii="Times New Roman" w:hAnsi="Times New Roman"/>
          <w:sz w:val="21"/>
          <w:szCs w:val="21"/>
          <w:lang w:bidi="ar"/>
        </w:rPr>
        <w:t>76g</w:t>
      </w:r>
      <w:r>
        <w:rPr>
          <w:rFonts w:hint="eastAsia" w:ascii="Times New Roman" w:hAnsi="Times New Roman" w:cs="宋体"/>
          <w:sz w:val="21"/>
          <w:szCs w:val="21"/>
          <w:lang w:bidi="ar"/>
        </w:rPr>
        <w:t>圆锥仪沉入土中深度为</w:t>
      </w:r>
      <w:r>
        <w:rPr>
          <w:rFonts w:ascii="Times New Roman" w:hAnsi="Times New Roman"/>
          <w:sz w:val="21"/>
          <w:szCs w:val="21"/>
          <w:lang w:bidi="ar"/>
        </w:rPr>
        <w:t>10mm</w:t>
      </w:r>
      <w:r>
        <w:rPr>
          <w:rFonts w:hint="eastAsia" w:ascii="Times New Roman" w:hAnsi="Times New Roman" w:cs="宋体"/>
          <w:sz w:val="21"/>
          <w:szCs w:val="21"/>
          <w:lang w:bidi="ar"/>
        </w:rPr>
        <w:t>时测定的液限计算而得。</w:t>
      </w:r>
    </w:p>
    <w:p>
      <w:pPr>
        <w:pStyle w:val="3"/>
        <w:bidi w:val="0"/>
      </w:pPr>
      <w:bookmarkStart w:id="158" w:name="_Toc385581689"/>
      <w:bookmarkStart w:id="159" w:name="_Toc6155"/>
      <w:bookmarkStart w:id="160" w:name="_Toc382559721"/>
      <w:bookmarkStart w:id="161" w:name="_Toc384300263"/>
      <w:bookmarkStart w:id="162" w:name="_Toc381951382"/>
      <w:bookmarkStart w:id="163" w:name="_Toc26325"/>
      <w:bookmarkStart w:id="164" w:name="_Toc382559883"/>
      <w:bookmarkStart w:id="165" w:name="_Toc381951577"/>
      <w:bookmarkStart w:id="166" w:name="_Toc381950998"/>
      <w:bookmarkStart w:id="167" w:name="_Toc385579298"/>
      <w:bookmarkStart w:id="168" w:name="_Toc25917"/>
      <w:bookmarkStart w:id="169" w:name="_Toc384304343"/>
      <w:bookmarkStart w:id="170" w:name="_Toc381950742"/>
      <w:bookmarkStart w:id="171" w:name="_Toc385576913"/>
      <w:bookmarkStart w:id="172" w:name="_Toc384310056"/>
      <w:bookmarkStart w:id="173" w:name="_Toc384309835"/>
      <w:bookmarkStart w:id="174" w:name="_Toc385518816"/>
      <w:bookmarkStart w:id="175" w:name="_Toc384300115"/>
      <w:r>
        <w:t>4.2  勘探与测试</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spacing w:line="480" w:lineRule="exact"/>
        <w:rPr>
          <w:rFonts w:ascii="Times New Roman" w:hAnsi="Times New Roman"/>
          <w:szCs w:val="28"/>
        </w:rPr>
      </w:pPr>
      <w:r>
        <w:rPr>
          <w:rFonts w:ascii="Times New Roman" w:hAnsi="Times New Roman"/>
          <w:b/>
          <w:szCs w:val="28"/>
          <w:lang w:bidi="ar"/>
        </w:rPr>
        <w:t>4.2.1</w:t>
      </w:r>
      <w:r>
        <w:rPr>
          <w:rFonts w:ascii="Times New Roman" w:hAnsi="Times New Roman"/>
          <w:szCs w:val="28"/>
          <w:lang w:bidi="ar"/>
        </w:rPr>
        <w:t xml:space="preserve"> </w:t>
      </w:r>
      <w:r>
        <w:rPr>
          <w:rFonts w:hint="eastAsia" w:ascii="Times New Roman" w:hAnsi="Times New Roman" w:cs="宋体"/>
          <w:szCs w:val="28"/>
          <w:lang w:bidi="ar"/>
        </w:rPr>
        <w:t>勘探点布置应符合下列要求：</w:t>
      </w:r>
    </w:p>
    <w:p>
      <w:pPr>
        <w:spacing w:line="480" w:lineRule="exact"/>
        <w:ind w:firstLine="482"/>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勘探点布置范围，应根据基坑开挖深度及场地岩土工程条件和设计要求确定，不宜小于基坑周边</w:t>
      </w:r>
      <w:r>
        <w:rPr>
          <w:rFonts w:ascii="Times New Roman" w:hAnsi="Times New Roman"/>
          <w:szCs w:val="28"/>
          <w:lang w:bidi="ar"/>
        </w:rPr>
        <w:t>1</w:t>
      </w:r>
      <w:r>
        <w:rPr>
          <w:rFonts w:hint="eastAsia" w:ascii="Times New Roman" w:hAnsi="Times New Roman" w:cs="宋体"/>
          <w:szCs w:val="28"/>
          <w:lang w:bidi="ar"/>
        </w:rPr>
        <w:t>倍基坑开挖深度范围，当支护结构可能采用土钉、锚杆（索）且条件允许时，基坑外勘探点布置范围不宜小于基坑开挖深度的</w:t>
      </w:r>
      <w:r>
        <w:rPr>
          <w:rFonts w:ascii="Times New Roman" w:hAnsi="Times New Roman"/>
          <w:szCs w:val="28"/>
          <w:lang w:bidi="ar"/>
        </w:rPr>
        <w:t>1.5</w:t>
      </w:r>
      <w:r>
        <w:rPr>
          <w:rFonts w:hint="eastAsia" w:ascii="Times New Roman" w:hAnsi="Times New Roman" w:cs="宋体"/>
          <w:szCs w:val="28"/>
          <w:lang w:bidi="ar"/>
        </w:rPr>
        <w:t>倍～</w:t>
      </w:r>
      <w:r>
        <w:rPr>
          <w:rFonts w:ascii="Times New Roman" w:hAnsi="Times New Roman"/>
          <w:szCs w:val="28"/>
          <w:lang w:bidi="ar"/>
        </w:rPr>
        <w:t>2</w:t>
      </w:r>
      <w:r>
        <w:rPr>
          <w:rFonts w:hint="eastAsia" w:ascii="Times New Roman" w:hAnsi="Times New Roman" w:cs="宋体"/>
          <w:szCs w:val="28"/>
          <w:lang w:bidi="ar"/>
        </w:rPr>
        <w:t>倍；</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对地形或地质条件复杂的基坑，可根据需要适当扩大勘探点布置范围。当基坑外无法布置勘探点时，应通过调查取得相关资料并结合基坑范围内勘察资料进行综合分析；</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勘探点宜沿基坑边线布置，间距宜为</w:t>
      </w:r>
      <w:r>
        <w:rPr>
          <w:rFonts w:ascii="Times New Roman" w:hAnsi="Times New Roman"/>
          <w:szCs w:val="28"/>
          <w:lang w:bidi="ar"/>
        </w:rPr>
        <w:t>15</w:t>
      </w:r>
      <w:r>
        <w:rPr>
          <w:lang w:bidi="ar"/>
        </w:rPr>
        <w:t xml:space="preserve"> </w:t>
      </w:r>
      <w:r>
        <w:rPr>
          <w:rFonts w:ascii="Times New Roman" w:hAnsi="Times New Roman"/>
          <w:szCs w:val="28"/>
          <w:lang w:bidi="ar"/>
        </w:rPr>
        <w:t>m</w:t>
      </w:r>
      <w:r>
        <w:rPr>
          <w:rFonts w:hint="eastAsia" w:ascii="Times New Roman" w:hAnsi="Times New Roman" w:cs="宋体"/>
          <w:szCs w:val="28"/>
          <w:lang w:bidi="ar"/>
        </w:rPr>
        <w:t>～</w:t>
      </w:r>
      <w:r>
        <w:rPr>
          <w:rFonts w:ascii="Times New Roman" w:hAnsi="Times New Roman"/>
          <w:szCs w:val="28"/>
          <w:lang w:bidi="ar"/>
        </w:rPr>
        <w:t>30m</w:t>
      </w:r>
      <w:r>
        <w:rPr>
          <w:rFonts w:hint="eastAsia" w:ascii="Times New Roman" w:hAnsi="Times New Roman" w:cs="宋体"/>
          <w:szCs w:val="28"/>
          <w:lang w:bidi="ar"/>
        </w:rPr>
        <w:t>，每一主要剖面不宜少于</w:t>
      </w:r>
      <w:r>
        <w:rPr>
          <w:rFonts w:ascii="Times New Roman" w:hAnsi="Times New Roman"/>
          <w:szCs w:val="28"/>
          <w:lang w:bidi="ar"/>
        </w:rPr>
        <w:t>3</w:t>
      </w:r>
      <w:r>
        <w:rPr>
          <w:rFonts w:hint="eastAsia" w:ascii="Times New Roman" w:hAnsi="Times New Roman" w:cs="宋体"/>
          <w:szCs w:val="28"/>
          <w:lang w:bidi="ar"/>
        </w:rPr>
        <w:t>个勘探点。在正方形基坑中心部位、基坑支护结构附近及不规则基坑的转角处宜布有勘探点；</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对软塑、流塑状态的黏性土及人工填土分布较厚的区域或可能造成基坑设计、施工困难的地层以及暗沟、暗塘等异常地段，应适当加密勘探点并扩大勘探范围；</w:t>
      </w:r>
    </w:p>
    <w:p>
      <w:pPr>
        <w:spacing w:line="480" w:lineRule="exact"/>
        <w:ind w:firstLine="480" w:firstLineChars="200"/>
        <w:rPr>
          <w:rFonts w:ascii="Times New Roman" w:hAnsi="Times New Roman"/>
          <w:szCs w:val="28"/>
        </w:rPr>
      </w:pPr>
      <w:r>
        <w:rPr>
          <w:rFonts w:ascii="Times New Roman" w:hAnsi="Times New Roman"/>
          <w:szCs w:val="28"/>
          <w:lang w:bidi="ar"/>
        </w:rPr>
        <w:t xml:space="preserve">5 </w:t>
      </w:r>
      <w:r>
        <w:rPr>
          <w:rFonts w:hint="eastAsia" w:ascii="Times New Roman" w:hAnsi="Times New Roman" w:cs="宋体"/>
          <w:szCs w:val="28"/>
          <w:lang w:bidi="ar"/>
        </w:rPr>
        <w:t>勘探点宜全部为取土样钻孔和原位测试孔，其中取土样孔的数量宜为勘探点总数的</w:t>
      </w:r>
      <w:r>
        <w:rPr>
          <w:rFonts w:ascii="Times New Roman" w:hAnsi="Times New Roman"/>
          <w:szCs w:val="28"/>
          <w:lang w:bidi="ar"/>
        </w:rPr>
        <w:t>1/2</w:t>
      </w:r>
      <w:r>
        <w:rPr>
          <w:rFonts w:hint="eastAsia" w:ascii="Times New Roman" w:hAnsi="Times New Roman" w:cs="宋体"/>
          <w:szCs w:val="28"/>
          <w:lang w:bidi="ar"/>
        </w:rPr>
        <w:t>～</w:t>
      </w:r>
      <w:r>
        <w:rPr>
          <w:rFonts w:ascii="Times New Roman" w:hAnsi="Times New Roman"/>
          <w:szCs w:val="28"/>
          <w:lang w:bidi="ar"/>
        </w:rPr>
        <w:t>2/3</w:t>
      </w:r>
      <w:r>
        <w:rPr>
          <w:rFonts w:hint="eastAsia" w:ascii="Times New Roman" w:hAnsi="Times New Roman" w:cs="宋体"/>
          <w:szCs w:val="28"/>
          <w:lang w:bidi="ar"/>
        </w:rPr>
        <w:t>，</w:t>
      </w:r>
      <w:r>
        <w:rPr>
          <w:rFonts w:hint="eastAsia" w:ascii="Times New Roman" w:hAnsi="Times New Roman" w:cs="宋体"/>
          <w:lang w:bidi="ar"/>
        </w:rPr>
        <w:t>对以湿陷性黄土为主的基坑，探井数量宜为取土样孔总数的</w:t>
      </w:r>
      <w:r>
        <w:rPr>
          <w:rFonts w:ascii="Times New Roman" w:hAnsi="Times New Roman"/>
          <w:lang w:bidi="ar"/>
        </w:rPr>
        <w:t>1/2</w:t>
      </w:r>
      <w:r>
        <w:rPr>
          <w:rFonts w:hint="eastAsia" w:ascii="Times New Roman" w:hAnsi="Times New Roman" w:cs="宋体"/>
          <w:lang w:bidi="ar"/>
        </w:rPr>
        <w:t>～</w:t>
      </w:r>
      <w:r>
        <w:rPr>
          <w:rFonts w:ascii="Times New Roman" w:hAnsi="Times New Roman"/>
          <w:lang w:bidi="ar"/>
        </w:rPr>
        <w:t>2/3</w:t>
      </w:r>
      <w:r>
        <w:rPr>
          <w:rFonts w:hint="eastAsia" w:ascii="Times New Roman" w:hAnsi="Times New Roman" w:cs="宋体"/>
          <w:lang w:bidi="ar"/>
        </w:rPr>
        <w:t>，且不少于</w:t>
      </w:r>
      <w:r>
        <w:rPr>
          <w:rFonts w:ascii="Times New Roman" w:hAnsi="Times New Roman"/>
          <w:lang w:bidi="ar"/>
        </w:rPr>
        <w:t>2</w:t>
      </w:r>
      <w:r>
        <w:rPr>
          <w:rFonts w:hint="eastAsia" w:ascii="Times New Roman" w:hAnsi="Times New Roman" w:cs="宋体"/>
          <w:lang w:bidi="ar"/>
        </w:rPr>
        <w:t>个；</w:t>
      </w:r>
    </w:p>
    <w:p>
      <w:pPr>
        <w:spacing w:line="480" w:lineRule="exact"/>
        <w:ind w:firstLine="480" w:firstLineChars="200"/>
        <w:rPr>
          <w:rFonts w:ascii="Times New Roman" w:hAnsi="Times New Roman"/>
          <w:szCs w:val="28"/>
        </w:rPr>
      </w:pPr>
      <w:r>
        <w:rPr>
          <w:rFonts w:ascii="Times New Roman" w:hAnsi="Times New Roman"/>
          <w:szCs w:val="28"/>
          <w:lang w:bidi="ar"/>
        </w:rPr>
        <w:t xml:space="preserve">6 </w:t>
      </w:r>
      <w:r>
        <w:rPr>
          <w:rFonts w:hint="eastAsia" w:ascii="Times New Roman" w:hAnsi="Times New Roman" w:cs="宋体"/>
          <w:szCs w:val="28"/>
          <w:lang w:bidi="ar"/>
        </w:rPr>
        <w:t>岩石基坑，当岩体出露条件较好，构造较简单时，可采用实测地质剖面或探井、探槽以代替钻探工作；</w:t>
      </w:r>
    </w:p>
    <w:p>
      <w:pPr>
        <w:spacing w:line="480" w:lineRule="exact"/>
        <w:ind w:firstLine="480" w:firstLineChars="200"/>
        <w:rPr>
          <w:rFonts w:ascii="Times New Roman" w:hAnsi="Times New Roman"/>
          <w:szCs w:val="28"/>
        </w:rPr>
      </w:pPr>
      <w:r>
        <w:rPr>
          <w:rFonts w:ascii="Times New Roman" w:hAnsi="Times New Roman"/>
          <w:szCs w:val="28"/>
          <w:lang w:bidi="ar"/>
        </w:rPr>
        <w:t xml:space="preserve">7 </w:t>
      </w:r>
      <w:r>
        <w:rPr>
          <w:rFonts w:hint="eastAsia" w:ascii="Times New Roman" w:hAnsi="Times New Roman" w:cs="宋体"/>
          <w:szCs w:val="28"/>
          <w:lang w:bidi="ar"/>
        </w:rPr>
        <w:t>地下水对基坑工程有重大影响时，应根据工程实际情况布设一定数量的水文地质试验孔和长期观测孔。</w:t>
      </w:r>
    </w:p>
    <w:p>
      <w:pPr>
        <w:spacing w:line="480" w:lineRule="exact"/>
        <w:rPr>
          <w:rFonts w:ascii="Times New Roman" w:hAnsi="Times New Roman"/>
          <w:szCs w:val="28"/>
        </w:rPr>
      </w:pPr>
      <w:r>
        <w:rPr>
          <w:rFonts w:ascii="Times New Roman" w:hAnsi="Times New Roman"/>
          <w:b/>
          <w:szCs w:val="28"/>
          <w:lang w:bidi="ar"/>
        </w:rPr>
        <w:t>4.2.2</w:t>
      </w:r>
      <w:r>
        <w:rPr>
          <w:rFonts w:ascii="Times New Roman" w:hAnsi="Times New Roman"/>
          <w:szCs w:val="28"/>
          <w:lang w:bidi="ar"/>
        </w:rPr>
        <w:t xml:space="preserve"> </w:t>
      </w:r>
      <w:r>
        <w:rPr>
          <w:rFonts w:hint="eastAsia" w:ascii="Times New Roman" w:hAnsi="Times New Roman" w:cs="宋体"/>
          <w:szCs w:val="28"/>
          <w:lang w:bidi="ar"/>
        </w:rPr>
        <w:t>勘探深度应满足基坑工程的坑底抗隆起和支护结构稳定性计算的要求，不宜小于基坑深度的</w:t>
      </w:r>
      <w:r>
        <w:rPr>
          <w:rFonts w:ascii="Times New Roman" w:hAnsi="Times New Roman"/>
          <w:szCs w:val="28"/>
          <w:lang w:bidi="ar"/>
        </w:rPr>
        <w:t>2</w:t>
      </w:r>
      <w:r>
        <w:rPr>
          <w:rFonts w:hint="eastAsia" w:ascii="Times New Roman" w:hAnsi="Times New Roman" w:cs="宋体"/>
          <w:szCs w:val="28"/>
          <w:lang w:bidi="ar"/>
        </w:rPr>
        <w:t>倍～</w:t>
      </w:r>
      <w:r>
        <w:rPr>
          <w:rFonts w:ascii="Times New Roman" w:hAnsi="Times New Roman"/>
          <w:szCs w:val="28"/>
          <w:lang w:bidi="ar"/>
        </w:rPr>
        <w:t>2.5</w:t>
      </w:r>
      <w:r>
        <w:rPr>
          <w:rFonts w:hint="eastAsia" w:ascii="Times New Roman" w:hAnsi="Times New Roman" w:cs="宋体"/>
          <w:szCs w:val="28"/>
          <w:lang w:bidi="ar"/>
        </w:rPr>
        <w:t>倍；在此深度内遇有厚层坚硬黏性土、碎石土及稳定岩层时，可适当减小勘探深度；当存在较厚软弱土层、粉土夹层或因降水、截水需要时，勘探深度应适当加深。</w:t>
      </w:r>
    </w:p>
    <w:p>
      <w:pPr>
        <w:spacing w:line="480" w:lineRule="exact"/>
        <w:rPr>
          <w:rFonts w:ascii="Times New Roman" w:hAnsi="Times New Roman"/>
          <w:szCs w:val="28"/>
        </w:rPr>
      </w:pPr>
      <w:r>
        <w:rPr>
          <w:rFonts w:ascii="Times New Roman" w:hAnsi="Times New Roman"/>
          <w:b/>
          <w:szCs w:val="28"/>
          <w:lang w:bidi="ar"/>
        </w:rPr>
        <w:t>4.2.3</w:t>
      </w:r>
      <w:r>
        <w:rPr>
          <w:rFonts w:ascii="Times New Roman" w:hAnsi="Times New Roman"/>
          <w:szCs w:val="28"/>
          <w:lang w:bidi="ar"/>
        </w:rPr>
        <w:t xml:space="preserve"> </w:t>
      </w:r>
      <w:r>
        <w:rPr>
          <w:rFonts w:hint="eastAsia" w:ascii="Times New Roman" w:hAnsi="Times New Roman" w:cs="宋体"/>
          <w:szCs w:val="28"/>
          <w:lang w:bidi="ar"/>
        </w:rPr>
        <w:t>勘察工作应采用钻（掘）探取样、原位测试及室内试验等多种手段，原位测试应根据地层按下列要求选择：</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粉土、黏性土和砂土应进行标准贯入试验及静力触探试验；</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软塑、流塑状态的黏性土</w:t>
      </w:r>
      <w:r>
        <w:rPr>
          <w:rFonts w:hint="eastAsia" w:ascii="Times New Roman" w:hAnsi="Times New Roman" w:cs="宋体"/>
          <w:lang w:bidi="ar"/>
        </w:rPr>
        <w:t>宜进行静力触探及十字板剪切试验；</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碎石土应进行重型或超重型动力触探试验，当配合钻探分段进行试验时，每次连续试验深度不宜小于</w:t>
      </w:r>
      <w:r>
        <w:rPr>
          <w:rFonts w:ascii="Times New Roman" w:hAnsi="Times New Roman"/>
          <w:szCs w:val="28"/>
          <w:lang w:bidi="ar"/>
        </w:rPr>
        <w:t>1.0m</w:t>
      </w:r>
      <w:r>
        <w:rPr>
          <w:rFonts w:hint="eastAsia" w:ascii="Times New Roman" w:hAnsi="Times New Roman" w:cs="宋体"/>
          <w:szCs w:val="28"/>
          <w:lang w:bidi="ar"/>
        </w:rPr>
        <w:t>；</w:t>
      </w:r>
      <w:r>
        <w:rPr>
          <w:rFonts w:ascii="Times New Roman" w:hAnsi="Times New Roman"/>
          <w:szCs w:val="28"/>
          <w:lang w:bidi="ar"/>
        </w:rPr>
        <w:t xml:space="preserve"> </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全风化、强风化岩层宜进行剪切波速测试和重型动力触探试验；</w:t>
      </w:r>
    </w:p>
    <w:p>
      <w:pPr>
        <w:spacing w:line="480" w:lineRule="exact"/>
        <w:ind w:firstLine="480" w:firstLineChars="200"/>
        <w:rPr>
          <w:rFonts w:ascii="Times New Roman" w:hAnsi="Times New Roman"/>
          <w:szCs w:val="28"/>
        </w:rPr>
      </w:pPr>
      <w:r>
        <w:rPr>
          <w:rFonts w:ascii="Times New Roman" w:hAnsi="Times New Roman"/>
          <w:szCs w:val="28"/>
          <w:lang w:bidi="ar"/>
        </w:rPr>
        <w:t xml:space="preserve">5 </w:t>
      </w:r>
      <w:r>
        <w:rPr>
          <w:rFonts w:hint="eastAsia" w:ascii="Times New Roman" w:hAnsi="Times New Roman" w:cs="宋体"/>
          <w:szCs w:val="28"/>
          <w:lang w:bidi="ar"/>
        </w:rPr>
        <w:t>当采用连续墙支挡结构时，宜进行基床系数载荷试验；</w:t>
      </w:r>
    </w:p>
    <w:p>
      <w:pPr>
        <w:spacing w:line="480" w:lineRule="exact"/>
        <w:ind w:firstLine="480" w:firstLineChars="200"/>
        <w:rPr>
          <w:rFonts w:ascii="Times New Roman" w:hAnsi="Times New Roman"/>
          <w:szCs w:val="28"/>
        </w:rPr>
      </w:pPr>
      <w:r>
        <w:rPr>
          <w:rFonts w:ascii="Times New Roman" w:hAnsi="Times New Roman"/>
          <w:szCs w:val="28"/>
          <w:lang w:bidi="ar"/>
        </w:rPr>
        <w:t xml:space="preserve">6 </w:t>
      </w:r>
      <w:r>
        <w:rPr>
          <w:rFonts w:hint="eastAsia" w:ascii="Times New Roman" w:hAnsi="Times New Roman" w:cs="宋体"/>
          <w:szCs w:val="28"/>
          <w:lang w:bidi="ar"/>
        </w:rPr>
        <w:t>一级基坑土的静止土压力系数宜采用自钻式旁压试验或扁铲侧胀试验确定；</w:t>
      </w:r>
    </w:p>
    <w:p>
      <w:pPr>
        <w:spacing w:line="480" w:lineRule="exact"/>
        <w:ind w:firstLine="480" w:firstLineChars="200"/>
        <w:rPr>
          <w:rFonts w:ascii="Times New Roman" w:hAnsi="Times New Roman"/>
          <w:szCs w:val="28"/>
        </w:rPr>
      </w:pPr>
      <w:r>
        <w:rPr>
          <w:rFonts w:ascii="Times New Roman" w:hAnsi="Times New Roman"/>
          <w:szCs w:val="28"/>
          <w:lang w:bidi="ar"/>
        </w:rPr>
        <w:t xml:space="preserve">7 </w:t>
      </w:r>
      <w:r>
        <w:rPr>
          <w:rFonts w:hint="eastAsia" w:ascii="Times New Roman" w:hAnsi="Times New Roman" w:cs="宋体"/>
          <w:szCs w:val="28"/>
          <w:lang w:bidi="ar"/>
        </w:rPr>
        <w:t>规模较大，以杂填土、砂土、碎石土或风化岩层为主的一级基坑，宜采用现场直剪试验确定抗剪强度指标。</w:t>
      </w:r>
    </w:p>
    <w:p>
      <w:pPr>
        <w:spacing w:line="480" w:lineRule="exact"/>
        <w:rPr>
          <w:rFonts w:ascii="Times New Roman" w:hAnsi="Times New Roman"/>
          <w:szCs w:val="28"/>
        </w:rPr>
      </w:pPr>
      <w:r>
        <w:rPr>
          <w:rFonts w:ascii="Times New Roman" w:hAnsi="Times New Roman"/>
          <w:b/>
          <w:szCs w:val="28"/>
          <w:lang w:bidi="ar"/>
        </w:rPr>
        <w:t>4.2.4</w:t>
      </w:r>
      <w:r>
        <w:rPr>
          <w:rFonts w:ascii="Times New Roman" w:hAnsi="Times New Roman"/>
          <w:szCs w:val="28"/>
          <w:lang w:bidi="ar"/>
        </w:rPr>
        <w:t xml:space="preserve"> </w:t>
      </w:r>
      <w:r>
        <w:rPr>
          <w:rFonts w:hint="eastAsia" w:ascii="Times New Roman" w:hAnsi="Times New Roman" w:cs="宋体"/>
          <w:szCs w:val="28"/>
          <w:lang w:bidi="ar"/>
        </w:rPr>
        <w:t>取样和原位测试应符合下列要求：</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采取土试样和进行原位测试的竖向间距</w:t>
      </w:r>
      <w:r>
        <w:rPr>
          <w:rFonts w:ascii="Times New Roman" w:hAnsi="Times New Roman"/>
          <w:szCs w:val="28"/>
          <w:lang w:bidi="ar"/>
        </w:rPr>
        <w:t>1.0m</w:t>
      </w:r>
      <w:r>
        <w:rPr>
          <w:rFonts w:hint="eastAsia" w:ascii="Times New Roman" w:hAnsi="Times New Roman" w:cs="宋体"/>
          <w:szCs w:val="28"/>
          <w:lang w:bidi="ar"/>
        </w:rPr>
        <w:t>～</w:t>
      </w:r>
      <w:r>
        <w:rPr>
          <w:rFonts w:ascii="Times New Roman" w:hAnsi="Times New Roman"/>
          <w:szCs w:val="28"/>
          <w:lang w:bidi="ar"/>
        </w:rPr>
        <w:t>2.0m</w:t>
      </w:r>
      <w:r>
        <w:rPr>
          <w:rFonts w:hint="eastAsia" w:ascii="Times New Roman" w:hAnsi="Times New Roman" w:cs="宋体"/>
          <w:szCs w:val="28"/>
          <w:lang w:bidi="ar"/>
        </w:rPr>
        <w:t>，土样质量等级应不低于Ⅱ级；</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每一主要土层的不扰动试样不应少于</w:t>
      </w:r>
      <w:r>
        <w:rPr>
          <w:rFonts w:ascii="Times New Roman" w:hAnsi="Times New Roman"/>
          <w:szCs w:val="28"/>
          <w:lang w:bidi="ar"/>
        </w:rPr>
        <w:t>6</w:t>
      </w:r>
      <w:r>
        <w:rPr>
          <w:rFonts w:hint="eastAsia" w:ascii="Times New Roman" w:hAnsi="Times New Roman" w:cs="宋体"/>
          <w:szCs w:val="28"/>
          <w:lang w:bidi="ar"/>
        </w:rPr>
        <w:t>件，原位测试数据不应少于</w:t>
      </w:r>
      <w:r>
        <w:rPr>
          <w:rFonts w:ascii="Times New Roman" w:hAnsi="Times New Roman"/>
          <w:szCs w:val="28"/>
          <w:lang w:bidi="ar"/>
        </w:rPr>
        <w:t>6</w:t>
      </w:r>
      <w:r>
        <w:rPr>
          <w:rFonts w:hint="eastAsia" w:ascii="Times New Roman" w:hAnsi="Times New Roman" w:cs="宋体"/>
          <w:szCs w:val="28"/>
          <w:lang w:bidi="ar"/>
        </w:rPr>
        <w:t>个（组）；</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在基坑影响范围内，厚度大于</w:t>
      </w:r>
      <w:r>
        <w:rPr>
          <w:rFonts w:ascii="Times New Roman" w:hAnsi="Times New Roman"/>
          <w:szCs w:val="28"/>
          <w:lang w:bidi="ar"/>
        </w:rPr>
        <w:t>0.5m</w:t>
      </w:r>
      <w:r>
        <w:rPr>
          <w:rFonts w:hint="eastAsia" w:ascii="Times New Roman" w:hAnsi="Times New Roman" w:cs="宋体"/>
          <w:szCs w:val="28"/>
          <w:lang w:bidi="ar"/>
        </w:rPr>
        <w:t>的夹层或透镜体，应取土试样或进行原位测试；</w:t>
      </w:r>
    </w:p>
    <w:p>
      <w:pPr>
        <w:spacing w:line="480" w:lineRule="exact"/>
        <w:ind w:firstLine="480" w:firstLineChars="200"/>
        <w:rPr>
          <w:rFonts w:hint="eastAsia" w:ascii="Times New Roman" w:hAnsi="Times New Roman" w:cs="宋体"/>
          <w:szCs w:val="28"/>
          <w:lang w:bidi="ar"/>
        </w:rPr>
      </w:pPr>
      <w:bookmarkStart w:id="176" w:name="_Toc27429"/>
      <w:bookmarkStart w:id="177" w:name="_Toc26238"/>
      <w:r>
        <w:rPr>
          <w:rFonts w:hint="eastAsia" w:ascii="Times New Roman" w:hAnsi="Times New Roman" w:cs="宋体"/>
          <w:szCs w:val="28"/>
          <w:lang w:bidi="ar"/>
        </w:rPr>
        <w:t>4 当地层不均匀时，应增加取土样或原位测试数量；</w:t>
      </w:r>
      <w:bookmarkEnd w:id="176"/>
      <w:bookmarkEnd w:id="177"/>
    </w:p>
    <w:p>
      <w:pPr>
        <w:spacing w:line="480" w:lineRule="exact"/>
        <w:ind w:firstLine="480" w:firstLineChars="200"/>
        <w:rPr>
          <w:rFonts w:ascii="Times New Roman" w:hAnsi="Times New Roman"/>
          <w:szCs w:val="28"/>
        </w:rPr>
      </w:pPr>
      <w:r>
        <w:rPr>
          <w:rFonts w:ascii="Times New Roman" w:hAnsi="Times New Roman"/>
          <w:szCs w:val="28"/>
          <w:lang w:bidi="ar"/>
        </w:rPr>
        <w:t xml:space="preserve">5 </w:t>
      </w:r>
      <w:r>
        <w:rPr>
          <w:rFonts w:hint="eastAsia" w:ascii="Times New Roman" w:hAnsi="Times New Roman" w:cs="宋体"/>
          <w:szCs w:val="28"/>
          <w:lang w:bidi="ar"/>
        </w:rPr>
        <w:t>采用嵌岩桩作为支护结构的基坑，每一主要岩层及嵌岩段，均应采取不少于</w:t>
      </w:r>
      <w:r>
        <w:rPr>
          <w:rFonts w:ascii="Times New Roman" w:hAnsi="Times New Roman"/>
          <w:szCs w:val="28"/>
          <w:lang w:bidi="ar"/>
        </w:rPr>
        <w:t>6</w:t>
      </w:r>
      <w:r>
        <w:rPr>
          <w:rFonts w:hint="eastAsia" w:ascii="Times New Roman" w:hAnsi="Times New Roman" w:cs="宋体"/>
          <w:szCs w:val="28"/>
          <w:lang w:bidi="ar"/>
        </w:rPr>
        <w:t>组满足单轴极限抗压强度试验的岩样。</w:t>
      </w:r>
    </w:p>
    <w:p>
      <w:pPr>
        <w:spacing w:line="480" w:lineRule="exact"/>
        <w:rPr>
          <w:rFonts w:ascii="Times New Roman" w:hAnsi="Times New Roman"/>
          <w:szCs w:val="28"/>
        </w:rPr>
      </w:pPr>
      <w:r>
        <w:rPr>
          <w:rFonts w:ascii="Times New Roman" w:hAnsi="Times New Roman"/>
          <w:b/>
          <w:szCs w:val="28"/>
          <w:lang w:bidi="ar"/>
        </w:rPr>
        <w:t xml:space="preserve">4.2.5 </w:t>
      </w:r>
      <w:r>
        <w:rPr>
          <w:rFonts w:hint="eastAsia" w:ascii="Times New Roman" w:hAnsi="Times New Roman" w:cs="宋体"/>
          <w:szCs w:val="24"/>
          <w:lang w:bidi="ar"/>
        </w:rPr>
        <w:t>一、二级基坑工程，</w:t>
      </w:r>
      <w:r>
        <w:rPr>
          <w:rFonts w:hint="eastAsia" w:ascii="Times New Roman" w:hAnsi="Times New Roman" w:cs="宋体"/>
          <w:szCs w:val="28"/>
          <w:lang w:bidi="ar"/>
        </w:rPr>
        <w:t>软塑、流塑状态黏性</w:t>
      </w:r>
      <w:r>
        <w:rPr>
          <w:rFonts w:hint="eastAsia" w:ascii="Times New Roman" w:hAnsi="Times New Roman" w:cs="宋体"/>
          <w:szCs w:val="24"/>
          <w:lang w:bidi="ar"/>
        </w:rPr>
        <w:t>土的灵敏度，宜采用十字板剪切试验测定。</w:t>
      </w:r>
    </w:p>
    <w:p>
      <w:pPr>
        <w:spacing w:line="480" w:lineRule="exact"/>
        <w:rPr>
          <w:rFonts w:ascii="Times New Roman" w:hAnsi="Times New Roman"/>
          <w:szCs w:val="28"/>
        </w:rPr>
      </w:pPr>
      <w:r>
        <w:rPr>
          <w:rFonts w:ascii="Times New Roman" w:hAnsi="Times New Roman"/>
          <w:b/>
          <w:szCs w:val="28"/>
          <w:lang w:bidi="ar"/>
        </w:rPr>
        <w:t>4.2.6</w:t>
      </w:r>
      <w:r>
        <w:rPr>
          <w:rFonts w:ascii="Times New Roman" w:hAnsi="Times New Roman"/>
          <w:szCs w:val="28"/>
          <w:lang w:bidi="ar"/>
        </w:rPr>
        <w:t xml:space="preserve"> </w:t>
      </w:r>
      <w:r>
        <w:rPr>
          <w:rFonts w:hint="eastAsia" w:ascii="Times New Roman" w:hAnsi="Times New Roman" w:cs="宋体"/>
          <w:szCs w:val="28"/>
          <w:lang w:bidi="ar"/>
        </w:rPr>
        <w:t>厚度大于</w:t>
      </w:r>
      <w:r>
        <w:rPr>
          <w:rFonts w:ascii="Times New Roman" w:hAnsi="Times New Roman"/>
          <w:szCs w:val="28"/>
          <w:lang w:bidi="ar"/>
        </w:rPr>
        <w:t>3m</w:t>
      </w:r>
      <w:r>
        <w:rPr>
          <w:rFonts w:hint="eastAsia" w:ascii="Times New Roman" w:hAnsi="Times New Roman" w:cs="宋体"/>
          <w:szCs w:val="28"/>
          <w:lang w:bidi="ar"/>
        </w:rPr>
        <w:t>的人工填土，应视其成分采取试样或进行动力触探或标准贯入试验，并提供重度和抗剪强度参数值。</w:t>
      </w:r>
    </w:p>
    <w:p>
      <w:pPr>
        <w:spacing w:line="480" w:lineRule="exact"/>
        <w:rPr>
          <w:rFonts w:ascii="Times New Roman" w:hAnsi="Times New Roman"/>
          <w:szCs w:val="28"/>
        </w:rPr>
      </w:pPr>
      <w:r>
        <w:rPr>
          <w:rFonts w:ascii="Times New Roman" w:hAnsi="Times New Roman"/>
          <w:b/>
          <w:szCs w:val="28"/>
          <w:lang w:bidi="ar"/>
        </w:rPr>
        <w:t>4.2.7</w:t>
      </w:r>
      <w:r>
        <w:rPr>
          <w:rFonts w:ascii="Times New Roman" w:hAnsi="Times New Roman"/>
          <w:szCs w:val="28"/>
          <w:lang w:bidi="ar"/>
        </w:rPr>
        <w:t xml:space="preserve"> </w:t>
      </w:r>
      <w:r>
        <w:rPr>
          <w:rFonts w:hint="eastAsia" w:ascii="Times New Roman" w:hAnsi="Times New Roman" w:cs="宋体"/>
          <w:szCs w:val="28"/>
          <w:lang w:bidi="ar"/>
        </w:rPr>
        <w:t>遇到地下水时，应测量初见水位和稳定水位并确定地下水类型，稳定水位可在钻孔、探井或测压管内直接量测，其间隔时间按地层的渗透性确定，对砂土和碎石土不得少于</w:t>
      </w:r>
      <w:r>
        <w:rPr>
          <w:rFonts w:ascii="Times New Roman" w:hAnsi="Times New Roman"/>
          <w:szCs w:val="28"/>
          <w:lang w:bidi="ar"/>
        </w:rPr>
        <w:t>0.5h</w:t>
      </w:r>
      <w:r>
        <w:rPr>
          <w:rFonts w:hint="eastAsia" w:ascii="Times New Roman" w:hAnsi="Times New Roman" w:cs="宋体"/>
          <w:szCs w:val="28"/>
          <w:lang w:bidi="ar"/>
        </w:rPr>
        <w:t>，对粉土和黏性土不得少于</w:t>
      </w:r>
      <w:r>
        <w:rPr>
          <w:rFonts w:ascii="Times New Roman" w:hAnsi="Times New Roman"/>
          <w:szCs w:val="28"/>
          <w:lang w:bidi="ar"/>
        </w:rPr>
        <w:t>8h</w:t>
      </w:r>
      <w:r>
        <w:rPr>
          <w:rFonts w:hint="eastAsia" w:ascii="Times New Roman" w:hAnsi="Times New Roman" w:cs="宋体"/>
          <w:szCs w:val="28"/>
          <w:lang w:bidi="ar"/>
        </w:rPr>
        <w:t>，并应在勘探结束后统一量测稳定水位，量测读数至厘米，精度不低于±</w:t>
      </w:r>
      <w:r>
        <w:rPr>
          <w:rFonts w:ascii="Times New Roman" w:hAnsi="Times New Roman"/>
          <w:szCs w:val="28"/>
          <w:lang w:bidi="ar"/>
        </w:rPr>
        <w:t>2cm</w:t>
      </w:r>
      <w:r>
        <w:rPr>
          <w:rFonts w:hint="eastAsia" w:ascii="Times New Roman" w:hAnsi="Times New Roman" w:cs="宋体"/>
          <w:szCs w:val="28"/>
          <w:lang w:bidi="ar"/>
        </w:rPr>
        <w:t>。当存在多层地下水，且某些层位的地下水对基坑工程有影响时，应设置专门地下水位观测孔，采取有效止水措施，分层测量地下潜水位及承压水头。</w:t>
      </w:r>
    </w:p>
    <w:p>
      <w:pPr>
        <w:spacing w:line="480" w:lineRule="exact"/>
        <w:rPr>
          <w:rFonts w:hint="eastAsia" w:ascii="Times New Roman" w:hAnsi="Times New Roman" w:cs="宋体"/>
          <w:szCs w:val="28"/>
          <w:lang w:val="en-US" w:eastAsia="zh-CN" w:bidi="ar"/>
        </w:rPr>
      </w:pPr>
      <w:r>
        <w:rPr>
          <w:rFonts w:ascii="Times New Roman" w:hAnsi="Times New Roman"/>
          <w:b/>
          <w:szCs w:val="28"/>
          <w:lang w:bidi="ar"/>
        </w:rPr>
        <w:t>4.2.8</w:t>
      </w:r>
      <w:r>
        <w:rPr>
          <w:rFonts w:ascii="Times New Roman" w:hAnsi="Times New Roman"/>
          <w:szCs w:val="28"/>
          <w:lang w:bidi="ar"/>
        </w:rPr>
        <w:t xml:space="preserve"> </w:t>
      </w:r>
      <w:r>
        <w:rPr>
          <w:rFonts w:hint="eastAsia" w:ascii="Times New Roman" w:hAnsi="Times New Roman" w:cs="宋体"/>
          <w:szCs w:val="28"/>
          <w:lang w:bidi="ar"/>
        </w:rPr>
        <w:t>对工程有影响的地下水和地表水，应取水样进行水质分析，取样数量一般工程不应少于</w:t>
      </w:r>
      <w:r>
        <w:rPr>
          <w:rFonts w:ascii="Times New Roman" w:hAnsi="Times New Roman"/>
          <w:szCs w:val="28"/>
          <w:lang w:bidi="ar"/>
        </w:rPr>
        <w:t>2</w:t>
      </w:r>
      <w:r>
        <w:rPr>
          <w:rFonts w:hint="eastAsia" w:ascii="Times New Roman" w:hAnsi="Times New Roman" w:cs="宋体"/>
          <w:szCs w:val="28"/>
          <w:lang w:bidi="ar"/>
        </w:rPr>
        <w:t>件，大型工程不应少于</w:t>
      </w:r>
      <w:r>
        <w:rPr>
          <w:rFonts w:ascii="Times New Roman" w:hAnsi="Times New Roman"/>
          <w:szCs w:val="28"/>
          <w:lang w:bidi="ar"/>
        </w:rPr>
        <w:t>3</w:t>
      </w:r>
      <w:r>
        <w:rPr>
          <w:rFonts w:hint="eastAsia" w:ascii="Times New Roman" w:hAnsi="Times New Roman" w:cs="宋体"/>
          <w:szCs w:val="28"/>
          <w:lang w:bidi="ar"/>
        </w:rPr>
        <w:t>件。水质分析项目及评价应符合国家标准《岩土工程勘察规范》</w:t>
      </w:r>
      <w:r>
        <w:rPr>
          <w:rFonts w:ascii="Times New Roman" w:hAnsi="Times New Roman"/>
          <w:szCs w:val="28"/>
          <w:highlight w:val="none"/>
          <w:lang w:bidi="ar"/>
        </w:rPr>
        <w:t>GB50021</w:t>
      </w:r>
      <w:r>
        <w:rPr>
          <w:rFonts w:hint="eastAsia" w:ascii="Times New Roman" w:hAnsi="Times New Roman" w:cs="宋体"/>
          <w:szCs w:val="28"/>
          <w:lang w:bidi="ar"/>
        </w:rPr>
        <w:t>有关规定。</w:t>
      </w:r>
      <w:r>
        <w:rPr>
          <w:rFonts w:hint="eastAsia" w:ascii="Times New Roman" w:hAnsi="Times New Roman" w:cs="宋体"/>
          <w:szCs w:val="28"/>
          <w:lang w:val="en-US" w:eastAsia="zh-CN" w:bidi="ar"/>
        </w:rPr>
        <w:t xml:space="preserve"> </w:t>
      </w:r>
    </w:p>
    <w:p>
      <w:pPr>
        <w:spacing w:line="480" w:lineRule="exact"/>
        <w:rPr>
          <w:rFonts w:ascii="Times New Roman" w:hAnsi="Times New Roman"/>
          <w:szCs w:val="28"/>
        </w:rPr>
      </w:pPr>
      <w:r>
        <w:rPr>
          <w:rFonts w:ascii="Times New Roman" w:hAnsi="Times New Roman"/>
          <w:b/>
          <w:szCs w:val="28"/>
          <w:lang w:bidi="ar"/>
        </w:rPr>
        <w:t>4.2.9</w:t>
      </w:r>
      <w:r>
        <w:rPr>
          <w:rFonts w:ascii="Times New Roman" w:hAnsi="Times New Roman"/>
          <w:szCs w:val="28"/>
          <w:lang w:bidi="ar"/>
        </w:rPr>
        <w:t xml:space="preserve"> </w:t>
      </w:r>
      <w:r>
        <w:rPr>
          <w:rFonts w:hint="eastAsia" w:ascii="Times New Roman" w:hAnsi="Times New Roman" w:cs="宋体"/>
          <w:szCs w:val="28"/>
          <w:lang w:bidi="ar"/>
        </w:rPr>
        <w:t>当场地水文地质条件复杂或降水深度较大而且缺乏经验的大型基坑工程，应通过现场试验确定水文地质参数。基坑工程水文地质参数测定应符合下列规定：</w:t>
      </w:r>
    </w:p>
    <w:p>
      <w:pPr>
        <w:spacing w:line="480" w:lineRule="exact"/>
        <w:ind w:firstLine="480" w:firstLineChars="200"/>
        <w:rPr>
          <w:rFonts w:hint="eastAsia" w:ascii="Times New Roman" w:hAnsi="Times New Roman" w:cs="宋体"/>
          <w:szCs w:val="28"/>
          <w:lang w:bidi="ar"/>
        </w:rPr>
      </w:pPr>
      <w:bookmarkStart w:id="178" w:name="_Toc12132"/>
      <w:bookmarkStart w:id="179" w:name="_Toc19896"/>
      <w:r>
        <w:rPr>
          <w:rFonts w:hint="eastAsia" w:ascii="Times New Roman" w:hAnsi="Times New Roman" w:cs="宋体"/>
          <w:szCs w:val="28"/>
          <w:lang w:bidi="ar"/>
        </w:rPr>
        <w:t>1含水层的渗透系数及导水系数宜采用抽水试验、注水试验确定；</w:t>
      </w:r>
      <w:bookmarkEnd w:id="178"/>
      <w:bookmarkEnd w:id="179"/>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含水层的给水度宜采用抽水试验确定，松散岩类含水层的给水度，可采用室内试验确定；岩石裂隙、岩溶的给水度，可采用裂隙率、岩溶率代替，有经验时可采用经验值；</w:t>
      </w:r>
    </w:p>
    <w:p>
      <w:pPr>
        <w:spacing w:line="480" w:lineRule="exact"/>
        <w:ind w:firstLine="480" w:firstLineChars="200"/>
        <w:rPr>
          <w:rFonts w:hint="eastAsia" w:ascii="Times New Roman" w:hAnsi="Times New Roman" w:cs="宋体"/>
          <w:szCs w:val="28"/>
          <w:lang w:bidi="ar"/>
        </w:rPr>
      </w:pPr>
      <w:bookmarkStart w:id="180" w:name="_Toc25623"/>
      <w:bookmarkStart w:id="181" w:name="_Toc32549"/>
      <w:r>
        <w:rPr>
          <w:rFonts w:hint="eastAsia" w:ascii="Times New Roman" w:hAnsi="Times New Roman" w:cs="宋体"/>
          <w:szCs w:val="28"/>
          <w:lang w:bidi="ar"/>
        </w:rPr>
        <w:t>3影响半径可通过计算求得，当工程需要时，可采用实测法确定。</w:t>
      </w:r>
      <w:bookmarkEnd w:id="180"/>
      <w:bookmarkEnd w:id="181"/>
    </w:p>
    <w:p>
      <w:pPr>
        <w:spacing w:line="480" w:lineRule="exact"/>
        <w:rPr>
          <w:rFonts w:ascii="Times New Roman" w:hAnsi="Times New Roman"/>
          <w:szCs w:val="28"/>
        </w:rPr>
      </w:pPr>
      <w:r>
        <w:rPr>
          <w:rFonts w:ascii="Times New Roman" w:hAnsi="Times New Roman"/>
          <w:b/>
          <w:szCs w:val="28"/>
          <w:lang w:bidi="ar"/>
        </w:rPr>
        <w:t>4.2.10</w:t>
      </w:r>
      <w:r>
        <w:rPr>
          <w:rFonts w:ascii="Times New Roman" w:hAnsi="Times New Roman"/>
          <w:szCs w:val="28"/>
          <w:lang w:bidi="ar"/>
        </w:rPr>
        <w:t xml:space="preserve"> </w:t>
      </w:r>
      <w:r>
        <w:rPr>
          <w:rFonts w:hint="eastAsia" w:ascii="Times New Roman" w:hAnsi="Times New Roman" w:cs="宋体"/>
          <w:szCs w:val="28"/>
          <w:lang w:bidi="ar"/>
        </w:rPr>
        <w:t>勘探孔及探井施工结束后，应及时夯实回填，回填质量应满足相关规定。基坑内水位以下勘探孔的封孔材料宜采用黏土球。</w:t>
      </w:r>
    </w:p>
    <w:p>
      <w:pPr>
        <w:spacing w:line="480" w:lineRule="exact"/>
        <w:rPr>
          <w:rFonts w:hint="eastAsia" w:ascii="Times New Roman" w:hAnsi="Times New Roman" w:cs="宋体"/>
          <w:szCs w:val="28"/>
          <w:lang w:bidi="ar"/>
        </w:rPr>
      </w:pPr>
      <w:r>
        <w:rPr>
          <w:rFonts w:hint="eastAsia" w:ascii="Times New Roman" w:hAnsi="Times New Roman" w:cs="宋体"/>
          <w:b/>
          <w:bCs/>
          <w:szCs w:val="28"/>
          <w:lang w:bidi="ar"/>
        </w:rPr>
        <w:t>4.2.11</w:t>
      </w:r>
      <w:r>
        <w:rPr>
          <w:rFonts w:hint="eastAsia" w:ascii="Times New Roman" w:hAnsi="Times New Roman" w:cs="宋体"/>
          <w:szCs w:val="28"/>
          <w:lang w:bidi="ar"/>
        </w:rPr>
        <w:t xml:space="preserve"> 根据工程需要，基坑周边环境条件调查，宜作为专项勘察工作进行，调查范围不宜小于开挖边界外2倍～3倍开挖深度，调查内容包括：</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基坑周围邻近建（构）筑物的高度、结构类型、基础形式、尺寸、埋深、地基处理情况、使用现状及对基坑开挖变形的承受能力；</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各类地下管线的类型、材质、分布、重要性、使用情况、对施工振动和变形的承受能力，地面和地下贮水、输水等用水设施的渗漏情况及其对基坑工程的影响程度；</w:t>
      </w:r>
    </w:p>
    <w:p>
      <w:pPr>
        <w:spacing w:line="480" w:lineRule="exact"/>
        <w:ind w:firstLine="480" w:firstLineChars="200"/>
        <w:rPr>
          <w:rFonts w:hint="eastAsia" w:ascii="Times New Roman" w:hAnsi="Times New Roman" w:eastAsia="宋体"/>
          <w:szCs w:val="28"/>
          <w:lang w:val="en-US" w:eastAsia="zh-CN"/>
        </w:rPr>
      </w:pPr>
      <w:r>
        <w:rPr>
          <w:rFonts w:ascii="Times New Roman" w:hAnsi="Times New Roman"/>
          <w:szCs w:val="28"/>
          <w:lang w:bidi="ar"/>
        </w:rPr>
        <w:t xml:space="preserve">3 </w:t>
      </w:r>
      <w:r>
        <w:rPr>
          <w:rFonts w:hint="eastAsia" w:ascii="Times New Roman" w:hAnsi="Times New Roman" w:cs="宋体"/>
          <w:szCs w:val="28"/>
          <w:lang w:bidi="ar"/>
        </w:rPr>
        <w:t>基坑开挖范围内存在旧建筑基础、人防工程、其它洞穴、厚层人工填土、高陡边坡时，应查明其空间分布特征和对基坑工程的影响。当已有资料不能满足要求时，可用坑探或物探等方法查明</w:t>
      </w:r>
      <w:r>
        <w:rPr>
          <w:rFonts w:hint="eastAsia" w:ascii="Times New Roman" w:hAnsi="Times New Roman" w:cs="宋体"/>
          <w:szCs w:val="28"/>
          <w:lang w:val="en-US" w:eastAsia="zh-CN" w:bidi="ar"/>
        </w:rPr>
        <w:t>；</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场地周围和邻近地区地表水汇流、排泄条件和基坑四周道路及运行车辆载重情况；</w:t>
      </w:r>
    </w:p>
    <w:p>
      <w:pPr>
        <w:spacing w:line="480" w:lineRule="exact"/>
        <w:ind w:firstLine="480" w:firstLineChars="200"/>
        <w:rPr>
          <w:rFonts w:ascii="Times New Roman" w:hAnsi="Times New Roman"/>
          <w:szCs w:val="28"/>
        </w:rPr>
      </w:pPr>
      <w:r>
        <w:rPr>
          <w:rFonts w:ascii="Times New Roman" w:hAnsi="Times New Roman"/>
          <w:szCs w:val="28"/>
          <w:lang w:bidi="ar"/>
        </w:rPr>
        <w:t xml:space="preserve">5 </w:t>
      </w:r>
      <w:r>
        <w:rPr>
          <w:rFonts w:hint="eastAsia" w:ascii="Times New Roman" w:hAnsi="Times New Roman" w:cs="宋体"/>
          <w:szCs w:val="28"/>
          <w:lang w:bidi="ar"/>
        </w:rPr>
        <w:t>场地附近正在抽降地下水的施工现场，应查明其降深、影响范围和可能的停抽时间；</w:t>
      </w:r>
    </w:p>
    <w:p>
      <w:pPr>
        <w:spacing w:line="480" w:lineRule="exact"/>
        <w:ind w:firstLine="480" w:firstLineChars="200"/>
        <w:rPr>
          <w:rFonts w:ascii="Times New Roman" w:hAnsi="Times New Roman"/>
          <w:szCs w:val="28"/>
          <w:lang w:bidi="ar"/>
        </w:rPr>
      </w:pPr>
      <w:bookmarkStart w:id="182" w:name="_Toc8738"/>
      <w:bookmarkStart w:id="183" w:name="_Toc7990"/>
      <w:r>
        <w:rPr>
          <w:rFonts w:ascii="Times New Roman" w:hAnsi="Times New Roman"/>
          <w:szCs w:val="28"/>
          <w:lang w:bidi="ar"/>
        </w:rPr>
        <w:t xml:space="preserve">6 </w:t>
      </w:r>
      <w:r>
        <w:rPr>
          <w:rFonts w:hint="eastAsia" w:ascii="Times New Roman" w:hAnsi="Times New Roman"/>
          <w:szCs w:val="28"/>
          <w:lang w:bidi="ar"/>
        </w:rPr>
        <w:t>相邻已有基坑工程的支护方法及对拟建场地的影响。</w:t>
      </w:r>
      <w:bookmarkEnd w:id="182"/>
      <w:bookmarkEnd w:id="183"/>
    </w:p>
    <w:p>
      <w:pPr>
        <w:pStyle w:val="3"/>
        <w:bidi w:val="0"/>
      </w:pPr>
      <w:bookmarkStart w:id="184" w:name="_Toc381951383"/>
      <w:bookmarkStart w:id="185" w:name="_Toc385576914"/>
      <w:bookmarkStart w:id="186" w:name="_Toc384304344"/>
      <w:bookmarkStart w:id="187" w:name="_Toc382559884"/>
      <w:bookmarkStart w:id="188" w:name="_Toc381950743"/>
      <w:bookmarkStart w:id="189" w:name="_Toc385518817"/>
      <w:bookmarkStart w:id="190" w:name="_Toc385579299"/>
      <w:bookmarkStart w:id="191" w:name="_Toc384309836"/>
      <w:bookmarkStart w:id="192" w:name="_Toc381951578"/>
      <w:bookmarkStart w:id="193" w:name="_Toc384310057"/>
      <w:bookmarkStart w:id="194" w:name="_Toc384300116"/>
      <w:bookmarkStart w:id="195" w:name="_Toc384300264"/>
      <w:bookmarkStart w:id="196" w:name="_Toc385581690"/>
      <w:bookmarkStart w:id="197" w:name="_Toc22153"/>
      <w:bookmarkStart w:id="198" w:name="_Toc382559722"/>
      <w:bookmarkStart w:id="199" w:name="_Toc381950999"/>
      <w:bookmarkStart w:id="200" w:name="_Toc23712"/>
      <w:bookmarkStart w:id="201" w:name="_Toc9461"/>
      <w:r>
        <w:t>4.3  室内试验</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spacing w:line="480" w:lineRule="exact"/>
        <w:rPr>
          <w:rFonts w:ascii="Times New Roman" w:hAnsi="Times New Roman"/>
          <w:szCs w:val="28"/>
        </w:rPr>
      </w:pPr>
      <w:r>
        <w:rPr>
          <w:rFonts w:ascii="Times New Roman" w:hAnsi="Times New Roman"/>
          <w:b/>
          <w:szCs w:val="28"/>
          <w:lang w:bidi="ar"/>
        </w:rPr>
        <w:t>4.3.1</w:t>
      </w:r>
      <w:r>
        <w:rPr>
          <w:rFonts w:ascii="Times New Roman" w:hAnsi="Times New Roman"/>
          <w:szCs w:val="28"/>
          <w:lang w:bidi="ar"/>
        </w:rPr>
        <w:t xml:space="preserve"> </w:t>
      </w:r>
      <w:r>
        <w:rPr>
          <w:rFonts w:hint="eastAsia" w:ascii="Times New Roman" w:hAnsi="Times New Roman" w:cs="宋体"/>
          <w:szCs w:val="28"/>
          <w:lang w:bidi="ar"/>
        </w:rPr>
        <w:t>室内试验项目及要求应根据工程特点、岩土性质和工程分析计算需要确定。一般应进行下列试验：</w:t>
      </w:r>
    </w:p>
    <w:p>
      <w:pPr>
        <w:spacing w:line="480" w:lineRule="exact"/>
        <w:ind w:firstLine="480" w:firstLineChars="200"/>
        <w:rPr>
          <w:rFonts w:hint="eastAsia" w:ascii="Times New Roman" w:hAnsi="Times New Roman" w:eastAsia="宋体"/>
          <w:szCs w:val="28"/>
          <w:lang w:eastAsia="zh-CN"/>
        </w:rPr>
      </w:pPr>
      <w:r>
        <w:rPr>
          <w:rFonts w:ascii="Times New Roman" w:hAnsi="Times New Roman"/>
          <w:szCs w:val="28"/>
          <w:lang w:bidi="ar"/>
        </w:rPr>
        <w:t xml:space="preserve">1 </w:t>
      </w:r>
      <w:r>
        <w:rPr>
          <w:rFonts w:hint="eastAsia" w:ascii="Times New Roman" w:hAnsi="Times New Roman" w:cs="宋体"/>
          <w:szCs w:val="28"/>
          <w:lang w:bidi="ar"/>
        </w:rPr>
        <w:t>不扰动粉土、黏性土样均应进行密度、含水量、比重、液限、塑限和固结试验，固结试验最大压力应大于土的有效自重压力与附加压力之和</w:t>
      </w:r>
      <w:r>
        <w:rPr>
          <w:rFonts w:hint="eastAsia" w:ascii="Times New Roman" w:hAnsi="Times New Roman" w:cs="宋体"/>
          <w:szCs w:val="28"/>
          <w:lang w:eastAsia="zh-CN" w:bidi="ar"/>
        </w:rPr>
        <w:t>；</w:t>
      </w:r>
    </w:p>
    <w:p>
      <w:pPr>
        <w:spacing w:line="480" w:lineRule="exact"/>
        <w:ind w:firstLine="480" w:firstLineChars="200"/>
        <w:rPr>
          <w:rFonts w:hint="eastAsia" w:ascii="Times New Roman" w:hAnsi="Times New Roman" w:eastAsia="宋体"/>
          <w:szCs w:val="28"/>
          <w:lang w:eastAsia="zh-CN"/>
        </w:rPr>
      </w:pPr>
      <w:r>
        <w:rPr>
          <w:rFonts w:ascii="Times New Roman" w:hAnsi="Times New Roman"/>
          <w:szCs w:val="28"/>
          <w:lang w:bidi="ar"/>
        </w:rPr>
        <w:t xml:space="preserve">2 </w:t>
      </w:r>
      <w:r>
        <w:rPr>
          <w:rFonts w:hint="eastAsia" w:ascii="Times New Roman" w:hAnsi="Times New Roman" w:cs="宋体"/>
          <w:szCs w:val="28"/>
          <w:lang w:bidi="ar"/>
        </w:rPr>
        <w:t>粉土应进行颗粒分析试验</w:t>
      </w:r>
      <w:r>
        <w:rPr>
          <w:rFonts w:hint="eastAsia" w:ascii="Times New Roman" w:hAnsi="Times New Roman" w:cs="宋体"/>
          <w:szCs w:val="28"/>
          <w:lang w:eastAsia="zh-CN" w:bidi="ar"/>
        </w:rPr>
        <w:t>；</w:t>
      </w:r>
    </w:p>
    <w:p>
      <w:pPr>
        <w:spacing w:line="480" w:lineRule="exact"/>
        <w:ind w:firstLine="480" w:firstLineChars="200"/>
        <w:rPr>
          <w:rFonts w:hint="eastAsia" w:ascii="Times New Roman" w:hAnsi="Times New Roman" w:eastAsia="宋体"/>
          <w:szCs w:val="28"/>
          <w:lang w:eastAsia="zh-CN"/>
        </w:rPr>
      </w:pPr>
      <w:r>
        <w:rPr>
          <w:rFonts w:ascii="Times New Roman" w:hAnsi="Times New Roman"/>
          <w:szCs w:val="28"/>
          <w:lang w:bidi="ar"/>
        </w:rPr>
        <w:t xml:space="preserve">3 </w:t>
      </w:r>
      <w:r>
        <w:rPr>
          <w:rFonts w:hint="eastAsia" w:ascii="Times New Roman" w:hAnsi="Times New Roman" w:cs="宋体"/>
          <w:szCs w:val="28"/>
          <w:lang w:bidi="ar"/>
        </w:rPr>
        <w:t>砂土应进行颗粒分析试验和水上、水下休止角试验</w:t>
      </w:r>
      <w:r>
        <w:rPr>
          <w:rFonts w:hint="eastAsia" w:ascii="Times New Roman" w:hAnsi="Times New Roman" w:cs="宋体"/>
          <w:szCs w:val="28"/>
          <w:lang w:eastAsia="zh-CN" w:bidi="ar"/>
        </w:rPr>
        <w:t>；</w:t>
      </w:r>
    </w:p>
    <w:p>
      <w:pPr>
        <w:spacing w:line="480" w:lineRule="exact"/>
        <w:ind w:firstLine="480" w:firstLineChars="200"/>
        <w:rPr>
          <w:rFonts w:hint="eastAsia" w:ascii="Times New Roman" w:hAnsi="Times New Roman" w:eastAsia="宋体" w:cs="宋体"/>
          <w:szCs w:val="28"/>
          <w:lang w:eastAsia="zh-CN" w:bidi="ar"/>
        </w:rPr>
      </w:pPr>
      <w:r>
        <w:rPr>
          <w:rFonts w:hint="eastAsia" w:ascii="Times New Roman" w:hAnsi="Times New Roman" w:cs="宋体"/>
          <w:szCs w:val="28"/>
          <w:lang w:bidi="ar"/>
        </w:rPr>
        <w:t>4 黄土及以粉土、黏性土为主的素填土应进行湿陷性试验</w:t>
      </w:r>
      <w:r>
        <w:rPr>
          <w:rFonts w:hint="eastAsia" w:ascii="Times New Roman" w:hAnsi="Times New Roman" w:cs="宋体"/>
          <w:szCs w:val="28"/>
          <w:lang w:val="en-US" w:eastAsia="zh-CN" w:bidi="ar"/>
        </w:rPr>
        <w:t>，</w:t>
      </w:r>
      <w:r>
        <w:rPr>
          <w:rFonts w:hint="eastAsia" w:ascii="Times New Roman" w:hAnsi="Times New Roman" w:cs="宋体"/>
          <w:szCs w:val="28"/>
          <w:lang w:bidi="ar"/>
        </w:rPr>
        <w:t>试验方法应符合《湿陷性黄土地区建筑规范》GB50025</w:t>
      </w:r>
      <w:r>
        <w:rPr>
          <w:rFonts w:hint="eastAsia" w:ascii="Times New Roman" w:hAnsi="Times New Roman" w:cs="宋体"/>
          <w:szCs w:val="28"/>
          <w:lang w:eastAsia="zh-CN" w:bidi="ar"/>
        </w:rPr>
        <w:t>的</w:t>
      </w:r>
      <w:r>
        <w:rPr>
          <w:rFonts w:hint="eastAsia" w:ascii="Times New Roman" w:hAnsi="Times New Roman" w:cs="宋体"/>
          <w:szCs w:val="28"/>
          <w:lang w:bidi="ar"/>
        </w:rPr>
        <w:t>有关规定</w:t>
      </w:r>
      <w:r>
        <w:rPr>
          <w:rFonts w:hint="eastAsia" w:ascii="Times New Roman" w:hAnsi="Times New Roman" w:cs="宋体"/>
          <w:szCs w:val="28"/>
          <w:lang w:eastAsia="zh-CN" w:bidi="ar"/>
        </w:rPr>
        <w:t>；</w:t>
      </w:r>
    </w:p>
    <w:p>
      <w:pPr>
        <w:spacing w:line="480" w:lineRule="exact"/>
        <w:ind w:firstLine="480" w:firstLineChars="200"/>
        <w:rPr>
          <w:rFonts w:hint="default" w:ascii="Times New Roman" w:hAnsi="Times New Roman" w:cs="宋体"/>
          <w:szCs w:val="28"/>
          <w:lang w:val="en-US" w:eastAsia="zh-CN" w:bidi="ar"/>
        </w:rPr>
      </w:pPr>
      <w:r>
        <w:rPr>
          <w:rFonts w:hint="eastAsia" w:ascii="Times New Roman" w:hAnsi="Times New Roman" w:cs="宋体"/>
          <w:szCs w:val="28"/>
          <w:lang w:val="en-US" w:eastAsia="zh-CN" w:bidi="ar"/>
        </w:rPr>
        <w:t>5 膨胀岩土应进行膨胀与收缩试验，试验方法应符合《膨胀土地区建筑技术规范》GB50112的有关规定；</w:t>
      </w:r>
    </w:p>
    <w:p>
      <w:pPr>
        <w:spacing w:line="480" w:lineRule="exact"/>
        <w:ind w:firstLine="480" w:firstLineChars="200"/>
        <w:rPr>
          <w:rFonts w:hint="default" w:ascii="Times New Roman" w:hAnsi="Times New Roman" w:cs="宋体"/>
          <w:szCs w:val="28"/>
          <w:lang w:val="en-US" w:eastAsia="zh-CN" w:bidi="ar"/>
        </w:rPr>
      </w:pPr>
      <w:r>
        <w:rPr>
          <w:rFonts w:hint="eastAsia" w:ascii="Times New Roman" w:hAnsi="Times New Roman" w:cs="宋体"/>
          <w:szCs w:val="28"/>
          <w:lang w:val="en-US" w:eastAsia="zh-CN" w:bidi="ar"/>
        </w:rPr>
        <w:t>6 盐渍土应进行溶陷性、盐胀性、腐蚀性试验，试验方法应符合《盐渍土地区建筑技术规范》GB/T 50942的有关规定；</w:t>
      </w:r>
    </w:p>
    <w:p>
      <w:pPr>
        <w:spacing w:line="480" w:lineRule="exact"/>
        <w:ind w:firstLine="480" w:firstLineChars="200"/>
        <w:rPr>
          <w:rFonts w:hint="eastAsia" w:ascii="Times New Roman" w:hAnsi="Times New Roman" w:eastAsia="宋体" w:cs="宋体"/>
          <w:szCs w:val="28"/>
          <w:lang w:eastAsia="zh-CN" w:bidi="ar"/>
        </w:rPr>
      </w:pPr>
      <w:r>
        <w:rPr>
          <w:rFonts w:hint="eastAsia" w:ascii="Times New Roman" w:hAnsi="Times New Roman" w:cs="宋体"/>
          <w:szCs w:val="28"/>
          <w:lang w:val="en-US" w:eastAsia="zh-CN" w:bidi="ar"/>
        </w:rPr>
        <w:t>7</w:t>
      </w:r>
      <w:r>
        <w:rPr>
          <w:rFonts w:hint="eastAsia" w:ascii="Times New Roman" w:hAnsi="Times New Roman" w:cs="宋体"/>
          <w:szCs w:val="28"/>
          <w:lang w:bidi="ar"/>
        </w:rPr>
        <w:t xml:space="preserve"> 软塑、流塑状态黏性土宜进行灵敏度试验</w:t>
      </w:r>
      <w:r>
        <w:rPr>
          <w:rFonts w:hint="eastAsia" w:ascii="Times New Roman" w:hAnsi="Times New Roman" w:cs="宋体"/>
          <w:szCs w:val="28"/>
          <w:lang w:eastAsia="zh-CN" w:bidi="ar"/>
        </w:rPr>
        <w:t>；</w:t>
      </w:r>
    </w:p>
    <w:p>
      <w:pPr>
        <w:spacing w:line="480" w:lineRule="exact"/>
        <w:ind w:firstLine="480" w:firstLineChars="200"/>
        <w:rPr>
          <w:rFonts w:ascii="Times New Roman" w:hAnsi="Times New Roman"/>
          <w:szCs w:val="28"/>
        </w:rPr>
      </w:pPr>
      <w:r>
        <w:rPr>
          <w:rFonts w:hint="eastAsia" w:ascii="Times New Roman" w:hAnsi="Times New Roman"/>
          <w:szCs w:val="28"/>
          <w:lang w:val="en-US" w:eastAsia="zh-CN" w:bidi="ar"/>
        </w:rPr>
        <w:t>8</w:t>
      </w:r>
      <w:r>
        <w:rPr>
          <w:rFonts w:ascii="Times New Roman" w:hAnsi="Times New Roman"/>
          <w:szCs w:val="28"/>
          <w:lang w:bidi="ar"/>
        </w:rPr>
        <w:t xml:space="preserve"> </w:t>
      </w:r>
      <w:r>
        <w:rPr>
          <w:rFonts w:hint="eastAsia" w:ascii="Times New Roman" w:hAnsi="Times New Roman" w:cs="宋体"/>
          <w:szCs w:val="28"/>
          <w:lang w:bidi="ar"/>
        </w:rPr>
        <w:t>岩石试样应进行饱和单轴抗压强度试验或天然湿度单轴抗压强度试验。</w:t>
      </w:r>
    </w:p>
    <w:p>
      <w:pPr>
        <w:spacing w:line="480" w:lineRule="exact"/>
        <w:ind w:firstLine="480" w:firstLineChars="200"/>
        <w:rPr>
          <w:rFonts w:hint="eastAsia" w:ascii="Times New Roman" w:hAnsi="Times New Roman"/>
          <w:szCs w:val="28"/>
          <w:lang w:bidi="ar"/>
        </w:rPr>
      </w:pPr>
      <w:bookmarkStart w:id="202" w:name="_Toc31286"/>
      <w:bookmarkStart w:id="203" w:name="_Toc26126"/>
      <w:r>
        <w:rPr>
          <w:rFonts w:hint="eastAsia" w:ascii="Times New Roman" w:hAnsi="Times New Roman"/>
          <w:szCs w:val="28"/>
          <w:lang w:val="en-US" w:eastAsia="zh-CN" w:bidi="ar"/>
        </w:rPr>
        <w:t>9</w:t>
      </w:r>
      <w:r>
        <w:rPr>
          <w:rFonts w:ascii="Times New Roman" w:hAnsi="Times New Roman"/>
          <w:szCs w:val="28"/>
          <w:lang w:bidi="ar"/>
        </w:rPr>
        <w:t xml:space="preserve"> </w:t>
      </w:r>
      <w:r>
        <w:rPr>
          <w:rFonts w:hint="eastAsia" w:ascii="Times New Roman" w:hAnsi="Times New Roman"/>
          <w:szCs w:val="28"/>
          <w:lang w:bidi="ar"/>
        </w:rPr>
        <w:t>目测鉴定土试样中含有机质时，应进行有机质含量试验。</w:t>
      </w:r>
      <w:bookmarkEnd w:id="202"/>
      <w:bookmarkEnd w:id="203"/>
    </w:p>
    <w:p>
      <w:pPr>
        <w:spacing w:line="480" w:lineRule="exact"/>
        <w:rPr>
          <w:rFonts w:ascii="Times New Roman" w:hAnsi="Times New Roman"/>
          <w:szCs w:val="28"/>
        </w:rPr>
      </w:pPr>
      <w:r>
        <w:rPr>
          <w:rFonts w:ascii="Times New Roman" w:hAnsi="Times New Roman"/>
          <w:b/>
          <w:szCs w:val="28"/>
          <w:lang w:bidi="ar"/>
        </w:rPr>
        <w:t>4.3.2</w:t>
      </w:r>
      <w:r>
        <w:rPr>
          <w:rFonts w:ascii="Times New Roman" w:hAnsi="Times New Roman"/>
          <w:szCs w:val="28"/>
          <w:lang w:bidi="ar"/>
        </w:rPr>
        <w:t xml:space="preserve"> </w:t>
      </w:r>
      <w:r>
        <w:rPr>
          <w:rFonts w:hint="eastAsia" w:ascii="Times New Roman" w:hAnsi="Times New Roman" w:cs="宋体"/>
          <w:szCs w:val="28"/>
          <w:lang w:bidi="ar"/>
        </w:rPr>
        <w:t>对需进行降水、截水设计的基坑工程，应进行垂直及水平渗透试验。</w:t>
      </w:r>
    </w:p>
    <w:p>
      <w:pPr>
        <w:spacing w:line="480" w:lineRule="exact"/>
        <w:rPr>
          <w:rFonts w:ascii="Times New Roman" w:hAnsi="Times New Roman"/>
          <w:szCs w:val="28"/>
        </w:rPr>
      </w:pPr>
      <w:r>
        <w:rPr>
          <w:rFonts w:ascii="Times New Roman" w:hAnsi="Times New Roman"/>
          <w:b/>
          <w:szCs w:val="28"/>
          <w:lang w:bidi="ar"/>
        </w:rPr>
        <w:t xml:space="preserve">4.3.3 </w:t>
      </w:r>
      <w:r>
        <w:rPr>
          <w:rFonts w:hint="eastAsia" w:ascii="Times New Roman" w:hAnsi="Times New Roman" w:cs="宋体"/>
          <w:szCs w:val="28"/>
          <w:lang w:bidi="ar"/>
        </w:rPr>
        <w:t>当考虑土的应力历史或估算相邻建筑在基坑降水后的沉降量时，应进行土的先期固结压力试验。</w:t>
      </w:r>
    </w:p>
    <w:p>
      <w:pPr>
        <w:spacing w:line="480" w:lineRule="exact"/>
        <w:rPr>
          <w:rFonts w:hint="eastAsia" w:ascii="Times New Roman" w:hAnsi="Times New Roman" w:cs="宋体"/>
          <w:szCs w:val="28"/>
          <w:lang w:bidi="ar"/>
        </w:rPr>
      </w:pPr>
      <w:bookmarkStart w:id="204" w:name="_Toc381951579"/>
      <w:bookmarkStart w:id="205" w:name="_Toc381951000"/>
      <w:bookmarkStart w:id="206" w:name="_Toc382559885"/>
      <w:bookmarkStart w:id="207" w:name="_Toc381950744"/>
      <w:bookmarkStart w:id="208" w:name="_Toc381951384"/>
      <w:bookmarkStart w:id="209" w:name="_Toc382559723"/>
      <w:r>
        <w:rPr>
          <w:rFonts w:ascii="Times New Roman" w:hAnsi="Times New Roman"/>
          <w:b/>
          <w:szCs w:val="28"/>
          <w:lang w:bidi="ar"/>
        </w:rPr>
        <w:t xml:space="preserve">4.3.4 </w:t>
      </w:r>
      <w:r>
        <w:rPr>
          <w:rFonts w:hint="eastAsia" w:ascii="Times New Roman" w:hAnsi="Times New Roman" w:cs="宋体"/>
          <w:szCs w:val="28"/>
          <w:lang w:bidi="ar"/>
        </w:rPr>
        <w:t>土的抗剪强度指标的试验方法，可按表</w:t>
      </w:r>
      <w:r>
        <w:rPr>
          <w:rFonts w:ascii="Times New Roman" w:hAnsi="Times New Roman"/>
          <w:szCs w:val="28"/>
          <w:lang w:bidi="ar"/>
        </w:rPr>
        <w:t>4.3.4</w:t>
      </w:r>
      <w:r>
        <w:rPr>
          <w:rFonts w:hint="eastAsia" w:ascii="Times New Roman" w:hAnsi="Times New Roman" w:cs="宋体"/>
          <w:szCs w:val="28"/>
          <w:lang w:bidi="ar"/>
        </w:rPr>
        <w:t>规定选用。</w:t>
      </w:r>
    </w:p>
    <w:p>
      <w:pPr>
        <w:spacing w:line="480" w:lineRule="exact"/>
        <w:rPr>
          <w:rFonts w:hint="eastAsia" w:ascii="Times New Roman" w:hAnsi="Times New Roman" w:cs="宋体"/>
          <w:szCs w:val="28"/>
          <w:lang w:bidi="ar"/>
        </w:rPr>
      </w:pPr>
    </w:p>
    <w:p>
      <w:pPr>
        <w:spacing w:line="480" w:lineRule="exact"/>
        <w:rPr>
          <w:rFonts w:hint="eastAsia" w:ascii="Times New Roman" w:hAnsi="Times New Roman" w:cs="宋体"/>
          <w:szCs w:val="28"/>
          <w:lang w:bidi="ar"/>
        </w:rPr>
      </w:pPr>
    </w:p>
    <w:p>
      <w:pPr>
        <w:spacing w:line="480" w:lineRule="exact"/>
        <w:rPr>
          <w:rFonts w:hint="eastAsia" w:ascii="Times New Roman" w:hAnsi="Times New Roman" w:cs="宋体"/>
          <w:szCs w:val="28"/>
          <w:lang w:bidi="ar"/>
        </w:rPr>
      </w:pPr>
    </w:p>
    <w:p>
      <w:pPr>
        <w:keepNext w:val="0"/>
        <w:keepLines w:val="0"/>
        <w:widowControl/>
        <w:suppressLineNumbers w:val="0"/>
        <w:tabs>
          <w:tab w:val="left" w:pos="4140"/>
        </w:tabs>
        <w:snapToGrid w:val="0"/>
        <w:spacing w:before="0" w:beforeAutospacing="0" w:after="0" w:afterAutospacing="0" w:line="480" w:lineRule="exact"/>
        <w:ind w:left="0" w:right="0" w:firstLine="354" w:firstLineChars="147"/>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4"/>
          <w:szCs w:val="21"/>
          <w:lang w:val="en-US" w:eastAsia="zh-CN" w:bidi="ar"/>
        </w:rPr>
        <w:t>表</w:t>
      </w:r>
      <w:r>
        <w:rPr>
          <w:rFonts w:hint="default" w:ascii="Times New Roman" w:hAnsi="Times New Roman" w:eastAsia="宋体" w:cs="Times New Roman"/>
          <w:b/>
          <w:bCs w:val="0"/>
          <w:kern w:val="2"/>
          <w:sz w:val="24"/>
          <w:szCs w:val="21"/>
          <w:lang w:val="en-US" w:eastAsia="zh-CN" w:bidi="ar"/>
        </w:rPr>
        <w:t>4.3.4</w:t>
      </w:r>
      <w:r>
        <w:rPr>
          <w:rFonts w:hint="eastAsia" w:ascii="Times New Roman" w:hAnsi="Times New Roman" w:eastAsia="宋体" w:cs="宋体"/>
          <w:b/>
          <w:bCs w:val="0"/>
          <w:kern w:val="2"/>
          <w:sz w:val="24"/>
          <w:szCs w:val="21"/>
          <w:lang w:val="en-US" w:eastAsia="zh-CN" w:bidi="ar"/>
        </w:rPr>
        <w:t>土的抗剪强度指标试验方法</w:t>
      </w:r>
    </w:p>
    <w:tbl>
      <w:tblPr>
        <w:tblStyle w:val="32"/>
        <w:tblW w:w="8949" w:type="dxa"/>
        <w:tblInd w:w="2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386"/>
        <w:gridCol w:w="1460"/>
        <w:gridCol w:w="1445"/>
        <w:gridCol w:w="3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trPr>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岩土名称</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计算方法</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测定参数</w:t>
            </w:r>
          </w:p>
        </w:tc>
        <w:tc>
          <w:tcPr>
            <w:tcW w:w="3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eastAsia"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地下水位以上</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黏性土、黏质粉土</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总应力法</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eastAsia" w:ascii="Times New Roman" w:hAnsi="Times New Roman" w:eastAsia="宋体" w:cs="宋体"/>
                <w:kern w:val="2"/>
                <w:sz w:val="21"/>
                <w:szCs w:val="21"/>
                <w:lang w:val="en-US" w:eastAsia="zh-CN" w:bidi="ar"/>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cu</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cu</w:t>
            </w:r>
            <w:r>
              <w:rPr>
                <w:rFonts w:hint="eastAsia" w:ascii="Times New Roman" w:hAnsi="Times New Roman" w:eastAsia="宋体" w:cs="宋体"/>
                <w:kern w:val="2"/>
                <w:sz w:val="21"/>
                <w:szCs w:val="21"/>
                <w:lang w:val="en-US" w:eastAsia="zh-CN" w:bidi="ar"/>
              </w:rPr>
              <w:t>或</w:t>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vertAlign w:val="subscript"/>
                <w:lang w:val="en-US"/>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cq</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cq</w:t>
            </w:r>
          </w:p>
        </w:tc>
        <w:tc>
          <w:tcPr>
            <w:tcW w:w="3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应采用直剪固结快剪或三轴固结不排水剪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eastAsia"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地下水位以下</w:t>
            </w:r>
          </w:p>
          <w:p>
            <w:pPr>
              <w:keepNext w:val="0"/>
              <w:keepLines w:val="0"/>
              <w:widowControl/>
              <w:suppressLineNumbers w:val="0"/>
              <w:spacing w:before="0" w:beforeAutospacing="0" w:after="0" w:afterAutospacing="0" w:line="360" w:lineRule="exact"/>
              <w:ind w:left="0" w:right="0"/>
              <w:jc w:val="center"/>
              <w:rPr>
                <w:rFonts w:hint="eastAsia"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正常固结、超固结</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黏性土、黏质粉土</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总应力法</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eastAsia" w:ascii="Times New Roman" w:hAnsi="Times New Roman" w:eastAsia="宋体" w:cs="宋体"/>
                <w:kern w:val="2"/>
                <w:sz w:val="21"/>
                <w:szCs w:val="21"/>
                <w:lang w:val="en-US" w:eastAsia="zh-CN" w:bidi="ar"/>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cu</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cu</w:t>
            </w:r>
            <w:r>
              <w:rPr>
                <w:rFonts w:hint="eastAsia" w:ascii="Times New Roman" w:hAnsi="Times New Roman" w:eastAsia="宋体" w:cs="宋体"/>
                <w:kern w:val="2"/>
                <w:sz w:val="21"/>
                <w:szCs w:val="21"/>
                <w:lang w:val="en-US" w:eastAsia="zh-CN" w:bidi="ar"/>
              </w:rPr>
              <w:t>或</w:t>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cq</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cq</w:t>
            </w:r>
          </w:p>
        </w:tc>
        <w:tc>
          <w:tcPr>
            <w:tcW w:w="3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应采用直剪固结快剪或三轴固结不排水剪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地下水位以下欠固结黏性土、黏质粉土</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总应力法</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eastAsia" w:ascii="Times New Roman" w:hAnsi="Times New Roman" w:eastAsia="宋体" w:cs="宋体"/>
                <w:kern w:val="2"/>
                <w:sz w:val="21"/>
                <w:szCs w:val="21"/>
                <w:lang w:val="en-US" w:eastAsia="zh-CN" w:bidi="ar"/>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uu</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uu</w:t>
            </w:r>
            <w:r>
              <w:rPr>
                <w:rFonts w:hint="eastAsia" w:ascii="Times New Roman" w:hAnsi="Times New Roman" w:eastAsia="宋体" w:cs="宋体"/>
                <w:kern w:val="2"/>
                <w:sz w:val="21"/>
                <w:szCs w:val="21"/>
                <w:lang w:val="en-US" w:eastAsia="zh-CN" w:bidi="ar"/>
              </w:rPr>
              <w:t>或</w:t>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q</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q</w:t>
            </w:r>
          </w:p>
        </w:tc>
        <w:tc>
          <w:tcPr>
            <w:tcW w:w="3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both"/>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宜采用有效自重压力下预固结的三轴不固结不排水剪或直剪快剪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砂质粉土</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有效应力法</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hint="eastAsia" w:ascii="Times New Roman" w:hAnsi="Times New Roman" w:eastAsia="宋体" w:cs="宋体"/>
                <w:kern w:val="2"/>
                <w:sz w:val="21"/>
                <w:szCs w:val="21"/>
                <w:lang w:val="en-US" w:eastAsia="zh-CN" w:bidi="ar"/>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eastAsia" w:ascii="Times New Roman" w:hAnsi="Times New Roman" w:eastAsia="宋体" w:cs="宋体"/>
                <w:kern w:val="2"/>
                <w:sz w:val="21"/>
                <w:szCs w:val="21"/>
                <w:lang w:val="en-US" w:eastAsia="zh-CN" w:bidi="ar"/>
              </w:rPr>
              <w:t>′或</w:t>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c</w:t>
            </w:r>
            <w:r>
              <w:rPr>
                <w:rFonts w:hint="default" w:ascii="Times New Roman" w:hAnsi="Times New Roman" w:eastAsia="宋体" w:cs="Times New Roman"/>
                <w:kern w:val="2"/>
                <w:sz w:val="21"/>
                <w:szCs w:val="21"/>
                <w:vertAlign w:val="subscript"/>
                <w:lang w:val="en-US" w:eastAsia="zh-CN" w:bidi="ar"/>
              </w:rPr>
              <w:t>d</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Symbol"/>
                <w:kern w:val="2"/>
                <w:sz w:val="21"/>
                <w:szCs w:val="21"/>
                <w:lang w:val="en-US" w:eastAsia="zh-CN" w:bidi="ar"/>
              </w:rPr>
              <w:sym w:font="Symbol" w:char="006A"/>
            </w:r>
            <w:r>
              <w:rPr>
                <w:rFonts w:hint="default" w:ascii="Times New Roman" w:hAnsi="Times New Roman" w:eastAsia="宋体" w:cs="Times New Roman"/>
                <w:kern w:val="2"/>
                <w:sz w:val="21"/>
                <w:szCs w:val="21"/>
                <w:vertAlign w:val="subscript"/>
                <w:lang w:val="en-US" w:eastAsia="zh-CN" w:bidi="ar"/>
              </w:rPr>
              <w:t>d</w:t>
            </w:r>
          </w:p>
        </w:tc>
        <w:tc>
          <w:tcPr>
            <w:tcW w:w="3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应采用测孔隙水压力的三轴固结不排水剪或三轴固结排水剪；有经验时，也可采用直剪慢剪</w:t>
            </w:r>
          </w:p>
        </w:tc>
      </w:tr>
    </w:tbl>
    <w:p>
      <w:pPr>
        <w:spacing w:line="480" w:lineRule="exact"/>
        <w:ind w:firstLine="420" w:firstLineChars="200"/>
        <w:rPr>
          <w:rFonts w:hint="eastAsia" w:ascii="Times New Roman" w:hAnsi="Times New Roman" w:cs="宋体"/>
          <w:color w:val="auto"/>
          <w:sz w:val="21"/>
          <w:szCs w:val="21"/>
          <w:lang w:eastAsia="zh-CN"/>
        </w:rPr>
      </w:pPr>
      <w:r>
        <w:rPr>
          <w:rFonts w:hint="eastAsia" w:ascii="Times New Roman" w:hAnsi="Times New Roman"/>
          <w:b w:val="0"/>
          <w:bCs/>
          <w:color w:val="auto"/>
          <w:sz w:val="21"/>
          <w:szCs w:val="21"/>
          <w:lang w:eastAsia="zh-CN" w:bidi="ar"/>
        </w:rPr>
        <w:t>注：</w:t>
      </w:r>
      <w:r>
        <w:rPr>
          <w:rFonts w:hint="eastAsia" w:ascii="Times New Roman" w:hAnsi="Times New Roman"/>
          <w:b w:val="0"/>
          <w:bCs/>
          <w:color w:val="auto"/>
          <w:sz w:val="21"/>
          <w:szCs w:val="21"/>
          <w:lang w:val="en-US" w:eastAsia="zh-CN" w:bidi="ar"/>
        </w:rPr>
        <w:t>1、</w:t>
      </w:r>
      <w:r>
        <w:rPr>
          <w:rFonts w:ascii="Times New Roman" w:hAnsi="Times New Roman"/>
          <w:color w:val="auto"/>
          <w:sz w:val="21"/>
          <w:szCs w:val="21"/>
        </w:rPr>
        <w:t>c</w:t>
      </w:r>
      <w:r>
        <w:rPr>
          <w:rFonts w:ascii="Times New Roman" w:hAnsi="Times New Roman"/>
          <w:color w:val="auto"/>
          <w:sz w:val="21"/>
          <w:szCs w:val="21"/>
          <w:vertAlign w:val="subscript"/>
        </w:rPr>
        <w:t>cq</w:t>
      </w:r>
      <w:r>
        <w:rPr>
          <w:rFonts w:hint="eastAsia" w:ascii="Times New Roman" w:hAnsi="Times New Roman" w:cs="宋体"/>
          <w:color w:val="auto"/>
          <w:sz w:val="21"/>
          <w:szCs w:val="21"/>
        </w:rPr>
        <w:t>、</w:t>
      </w:r>
      <w:r>
        <w:rPr>
          <w:rFonts w:ascii="Times New Roman" w:hAnsi="Times New Roman" w:cs="Symbol"/>
          <w:color w:val="auto"/>
          <w:sz w:val="21"/>
          <w:szCs w:val="21"/>
        </w:rPr>
        <w:sym w:font="Symbol" w:char="006A"/>
      </w:r>
      <w:r>
        <w:rPr>
          <w:rFonts w:ascii="Times New Roman" w:hAnsi="Times New Roman"/>
          <w:color w:val="auto"/>
          <w:sz w:val="21"/>
          <w:szCs w:val="21"/>
          <w:vertAlign w:val="subscript"/>
        </w:rPr>
        <w:t>cq</w:t>
      </w:r>
      <w:r>
        <w:rPr>
          <w:rFonts w:hint="eastAsia" w:ascii="Times New Roman" w:hAnsi="Times New Roman" w:cs="宋体"/>
          <w:color w:val="auto"/>
          <w:sz w:val="21"/>
          <w:szCs w:val="21"/>
          <w:lang w:val="en-US" w:eastAsia="zh-CN"/>
        </w:rPr>
        <w:t>表示</w:t>
      </w:r>
      <w:r>
        <w:rPr>
          <w:rFonts w:hint="eastAsia" w:ascii="Times New Roman" w:hAnsi="Times New Roman" w:cs="宋体"/>
          <w:color w:val="auto"/>
          <w:sz w:val="21"/>
          <w:szCs w:val="21"/>
        </w:rPr>
        <w:t>直剪固结快剪</w:t>
      </w:r>
      <w:r>
        <w:rPr>
          <w:rFonts w:hint="eastAsia" w:ascii="Times New Roman" w:hAnsi="Times New Roman" w:cs="宋体"/>
          <w:color w:val="auto"/>
          <w:sz w:val="21"/>
          <w:szCs w:val="21"/>
          <w:lang w:eastAsia="zh-CN"/>
        </w:rPr>
        <w:t>强度指标；</w:t>
      </w:r>
    </w:p>
    <w:p>
      <w:pPr>
        <w:numPr>
          <w:ilvl w:val="0"/>
          <w:numId w:val="1"/>
        </w:numPr>
        <w:spacing w:line="480" w:lineRule="exact"/>
        <w:ind w:firstLine="840" w:firstLineChars="400"/>
        <w:rPr>
          <w:rFonts w:hint="eastAsia" w:ascii="Times New Roman" w:hAnsi="Times New Roman" w:cs="宋体"/>
          <w:color w:val="auto"/>
          <w:sz w:val="21"/>
          <w:szCs w:val="21"/>
          <w:lang w:eastAsia="zh-CN"/>
        </w:rPr>
      </w:pPr>
      <w:r>
        <w:rPr>
          <w:rFonts w:ascii="Times New Roman" w:hAnsi="Times New Roman"/>
          <w:color w:val="auto"/>
          <w:sz w:val="21"/>
          <w:szCs w:val="21"/>
        </w:rPr>
        <w:t>c</w:t>
      </w:r>
      <w:r>
        <w:rPr>
          <w:rFonts w:hint="eastAsia" w:ascii="Times New Roman" w:hAnsi="Times New Roman"/>
          <w:color w:val="auto"/>
          <w:sz w:val="21"/>
          <w:szCs w:val="21"/>
          <w:vertAlign w:val="subscript"/>
          <w:lang w:val="en-US" w:eastAsia="zh-CN"/>
        </w:rPr>
        <w:t>q</w:t>
      </w:r>
      <w:r>
        <w:rPr>
          <w:rFonts w:hint="eastAsia" w:ascii="Times New Roman" w:hAnsi="Times New Roman" w:cs="宋体"/>
          <w:color w:val="auto"/>
          <w:sz w:val="21"/>
          <w:szCs w:val="21"/>
        </w:rPr>
        <w:t>、</w:t>
      </w:r>
      <w:r>
        <w:rPr>
          <w:rFonts w:ascii="Times New Roman" w:hAnsi="Times New Roman" w:cs="Symbol"/>
          <w:color w:val="auto"/>
          <w:sz w:val="21"/>
          <w:szCs w:val="21"/>
        </w:rPr>
        <w:sym w:font="Symbol" w:char="006A"/>
      </w:r>
      <w:r>
        <w:rPr>
          <w:rFonts w:hint="eastAsia" w:ascii="Times New Roman" w:hAnsi="Times New Roman"/>
          <w:color w:val="auto"/>
          <w:sz w:val="21"/>
          <w:szCs w:val="21"/>
          <w:vertAlign w:val="subscript"/>
          <w:lang w:val="en-US" w:eastAsia="zh-CN"/>
        </w:rPr>
        <w:t>q</w:t>
      </w:r>
      <w:r>
        <w:rPr>
          <w:rFonts w:hint="eastAsia" w:ascii="Times New Roman" w:hAnsi="Times New Roman" w:cs="宋体"/>
          <w:color w:val="auto"/>
          <w:sz w:val="21"/>
          <w:szCs w:val="21"/>
          <w:lang w:val="en-US" w:eastAsia="zh-CN"/>
        </w:rPr>
        <w:t>表示直剪快剪强度指标；</w:t>
      </w:r>
      <w:r>
        <w:rPr>
          <w:rFonts w:ascii="Times New Roman" w:hAnsi="Times New Roman"/>
          <w:b w:val="0"/>
          <w:bCs/>
          <w:color w:val="auto"/>
          <w:sz w:val="21"/>
          <w:szCs w:val="21"/>
        </w:rPr>
        <w:t>c</w:t>
      </w:r>
      <w:r>
        <w:rPr>
          <w:rFonts w:ascii="Times New Roman" w:hAnsi="Times New Roman"/>
          <w:b w:val="0"/>
          <w:bCs/>
          <w:color w:val="auto"/>
          <w:sz w:val="21"/>
          <w:szCs w:val="21"/>
          <w:vertAlign w:val="subscript"/>
        </w:rPr>
        <w:t>cu</w:t>
      </w:r>
      <w:r>
        <w:rPr>
          <w:rFonts w:hint="eastAsia" w:ascii="Times New Roman" w:hAnsi="Times New Roman" w:cs="宋体"/>
          <w:b w:val="0"/>
          <w:bCs/>
          <w:color w:val="auto"/>
          <w:sz w:val="21"/>
          <w:szCs w:val="21"/>
        </w:rPr>
        <w:t>、</w:t>
      </w:r>
      <w:r>
        <w:rPr>
          <w:rFonts w:ascii="Times New Roman" w:hAnsi="Times New Roman" w:cs="Symbol"/>
          <w:b w:val="0"/>
          <w:bCs/>
          <w:color w:val="auto"/>
          <w:sz w:val="21"/>
          <w:szCs w:val="21"/>
        </w:rPr>
        <w:sym w:font="Symbol" w:char="006A"/>
      </w:r>
      <w:r>
        <w:rPr>
          <w:rFonts w:ascii="Times New Roman" w:hAnsi="Times New Roman"/>
          <w:b w:val="0"/>
          <w:bCs/>
          <w:color w:val="auto"/>
          <w:sz w:val="21"/>
          <w:szCs w:val="21"/>
          <w:vertAlign w:val="subscript"/>
        </w:rPr>
        <w:t>cu</w:t>
      </w:r>
      <w:r>
        <w:rPr>
          <w:rFonts w:hint="eastAsia" w:ascii="Times New Roman" w:hAnsi="Times New Roman" w:cs="宋体"/>
          <w:color w:val="auto"/>
          <w:sz w:val="21"/>
          <w:szCs w:val="21"/>
          <w:lang w:val="en-US" w:eastAsia="zh-CN"/>
        </w:rPr>
        <w:t>表示</w:t>
      </w:r>
      <w:r>
        <w:rPr>
          <w:rFonts w:hint="eastAsia" w:ascii="Times New Roman" w:hAnsi="Times New Roman" w:cs="宋体"/>
          <w:b w:val="0"/>
          <w:bCs/>
          <w:color w:val="auto"/>
          <w:sz w:val="21"/>
          <w:szCs w:val="21"/>
          <w:lang w:eastAsia="zh-CN"/>
        </w:rPr>
        <w:t>三轴固结不排水抗剪强度指标</w:t>
      </w:r>
      <w:r>
        <w:rPr>
          <w:rFonts w:hint="eastAsia" w:ascii="Times New Roman" w:hAnsi="Times New Roman" w:cs="宋体"/>
          <w:color w:val="auto"/>
          <w:sz w:val="21"/>
          <w:szCs w:val="21"/>
          <w:lang w:eastAsia="zh-CN"/>
        </w:rPr>
        <w:t>；</w:t>
      </w:r>
    </w:p>
    <w:p>
      <w:pPr>
        <w:numPr>
          <w:ilvl w:val="0"/>
          <w:numId w:val="1"/>
        </w:numPr>
        <w:spacing w:line="480" w:lineRule="exact"/>
        <w:ind w:firstLine="840" w:firstLineChars="400"/>
        <w:rPr>
          <w:rFonts w:hint="eastAsia" w:ascii="Times New Roman" w:hAnsi="Times New Roman" w:cs="宋体"/>
          <w:color w:val="auto"/>
          <w:sz w:val="21"/>
          <w:szCs w:val="21"/>
          <w:lang w:eastAsia="zh-CN"/>
        </w:rPr>
      </w:pPr>
      <w:r>
        <w:rPr>
          <w:rFonts w:ascii="Times New Roman" w:hAnsi="Times New Roman"/>
          <w:color w:val="auto"/>
          <w:sz w:val="21"/>
          <w:szCs w:val="21"/>
        </w:rPr>
        <w:t>c</w:t>
      </w:r>
      <w:r>
        <w:rPr>
          <w:rFonts w:ascii="Times New Roman" w:hAnsi="Times New Roman"/>
          <w:color w:val="auto"/>
          <w:sz w:val="21"/>
          <w:szCs w:val="21"/>
          <w:vertAlign w:val="subscript"/>
        </w:rPr>
        <w:t>uu</w:t>
      </w:r>
      <w:r>
        <w:rPr>
          <w:rFonts w:hint="eastAsia" w:ascii="Times New Roman" w:hAnsi="Times New Roman" w:cs="宋体"/>
          <w:color w:val="auto"/>
          <w:sz w:val="21"/>
          <w:szCs w:val="21"/>
        </w:rPr>
        <w:t>、</w:t>
      </w:r>
      <w:r>
        <w:rPr>
          <w:rFonts w:ascii="Times New Roman" w:hAnsi="Times New Roman" w:cs="Symbol"/>
          <w:color w:val="auto"/>
          <w:sz w:val="21"/>
          <w:szCs w:val="21"/>
        </w:rPr>
        <w:sym w:font="Symbol" w:char="006A"/>
      </w:r>
      <w:r>
        <w:rPr>
          <w:rFonts w:ascii="Times New Roman" w:hAnsi="Times New Roman"/>
          <w:color w:val="auto"/>
          <w:sz w:val="21"/>
          <w:szCs w:val="21"/>
          <w:vertAlign w:val="subscript"/>
        </w:rPr>
        <w:t>uu</w:t>
      </w:r>
      <w:r>
        <w:rPr>
          <w:rFonts w:hint="eastAsia" w:ascii="Times New Roman" w:hAnsi="Times New Roman" w:cs="宋体"/>
          <w:color w:val="auto"/>
          <w:sz w:val="21"/>
          <w:szCs w:val="21"/>
          <w:lang w:val="en-US" w:eastAsia="zh-CN"/>
        </w:rPr>
        <w:t>表示</w:t>
      </w:r>
      <w:r>
        <w:rPr>
          <w:rFonts w:hint="eastAsia" w:ascii="Times New Roman" w:hAnsi="Times New Roman" w:cs="宋体"/>
          <w:color w:val="auto"/>
          <w:sz w:val="21"/>
          <w:szCs w:val="21"/>
          <w:lang w:eastAsia="zh-CN"/>
        </w:rPr>
        <w:t>三轴不固结不排水抗剪强度指标；</w:t>
      </w:r>
    </w:p>
    <w:p>
      <w:pPr>
        <w:numPr>
          <w:ilvl w:val="0"/>
          <w:numId w:val="1"/>
        </w:numPr>
        <w:spacing w:line="480" w:lineRule="exact"/>
        <w:ind w:firstLine="840" w:firstLineChars="400"/>
        <w:rPr>
          <w:rFonts w:hint="eastAsia" w:ascii="Times New Roman" w:hAnsi="Times New Roman" w:cs="宋体"/>
          <w:color w:val="auto"/>
          <w:sz w:val="21"/>
          <w:szCs w:val="21"/>
          <w:lang w:eastAsia="zh-CN"/>
        </w:rPr>
      </w:pPr>
      <w:r>
        <w:rPr>
          <w:rFonts w:ascii="Times New Roman" w:hAnsi="Times New Roman"/>
          <w:color w:val="auto"/>
          <w:sz w:val="21"/>
          <w:szCs w:val="21"/>
        </w:rPr>
        <w:t>c</w:t>
      </w:r>
      <w:r>
        <w:rPr>
          <w:rFonts w:hint="eastAsia" w:ascii="Times New Roman" w:hAnsi="Times New Roman"/>
          <w:color w:val="auto"/>
          <w:sz w:val="21"/>
          <w:szCs w:val="21"/>
          <w:vertAlign w:val="subscript"/>
          <w:lang w:val="en-US" w:eastAsia="zh-CN"/>
        </w:rPr>
        <w:t>d</w:t>
      </w:r>
      <w:r>
        <w:rPr>
          <w:rFonts w:hint="eastAsia" w:ascii="Times New Roman" w:hAnsi="Times New Roman" w:cs="宋体"/>
          <w:color w:val="auto"/>
          <w:sz w:val="21"/>
          <w:szCs w:val="21"/>
        </w:rPr>
        <w:t>、</w:t>
      </w:r>
      <w:r>
        <w:rPr>
          <w:rFonts w:ascii="Times New Roman" w:hAnsi="Times New Roman" w:cs="Symbol"/>
          <w:color w:val="auto"/>
          <w:sz w:val="21"/>
          <w:szCs w:val="21"/>
        </w:rPr>
        <w:sym w:font="Symbol" w:char="006A"/>
      </w:r>
      <w:r>
        <w:rPr>
          <w:rFonts w:hint="eastAsia" w:ascii="Times New Roman" w:hAnsi="Times New Roman"/>
          <w:color w:val="auto"/>
          <w:sz w:val="21"/>
          <w:szCs w:val="21"/>
          <w:vertAlign w:val="subscript"/>
          <w:lang w:val="en-US" w:eastAsia="zh-CN"/>
        </w:rPr>
        <w:t>d</w:t>
      </w:r>
      <w:r>
        <w:rPr>
          <w:rFonts w:hint="eastAsia" w:ascii="Times New Roman" w:hAnsi="Times New Roman" w:cs="宋体"/>
          <w:color w:val="auto"/>
          <w:sz w:val="21"/>
          <w:szCs w:val="21"/>
          <w:lang w:val="en-US" w:eastAsia="zh-CN"/>
        </w:rPr>
        <w:t>表示三轴固结排水抗剪强度指标；</w:t>
      </w:r>
    </w:p>
    <w:p>
      <w:pPr>
        <w:numPr>
          <w:ilvl w:val="0"/>
          <w:numId w:val="1"/>
        </w:numPr>
        <w:spacing w:line="480" w:lineRule="exact"/>
        <w:ind w:firstLine="840" w:firstLineChars="400"/>
        <w:rPr>
          <w:rFonts w:hint="eastAsia" w:ascii="Times New Roman" w:hAnsi="Times New Roman" w:cs="宋体"/>
          <w:color w:val="auto"/>
          <w:sz w:val="21"/>
          <w:szCs w:val="21"/>
          <w:lang w:eastAsia="zh-CN"/>
        </w:rPr>
      </w:pPr>
      <w:r>
        <w:rPr>
          <w:rFonts w:ascii="Times New Roman" w:hAnsi="Times New Roman"/>
          <w:color w:val="auto"/>
          <w:sz w:val="21"/>
          <w:szCs w:val="21"/>
        </w:rPr>
        <w:t>c</w:t>
      </w:r>
      <w:r>
        <w:rPr>
          <w:rFonts w:hint="eastAsia" w:ascii="Times New Roman" w:hAnsi="Times New Roman" w:cs="宋体"/>
          <w:color w:val="auto"/>
          <w:sz w:val="21"/>
          <w:szCs w:val="21"/>
        </w:rPr>
        <w:t>′、</w:t>
      </w:r>
      <w:r>
        <w:rPr>
          <w:rFonts w:ascii="Times New Roman" w:hAnsi="Times New Roman" w:cs="Symbol"/>
          <w:color w:val="auto"/>
          <w:sz w:val="21"/>
          <w:szCs w:val="21"/>
        </w:rPr>
        <w:sym w:font="Symbol" w:char="006A"/>
      </w:r>
      <w:r>
        <w:rPr>
          <w:rFonts w:hint="eastAsia" w:ascii="Times New Roman" w:hAnsi="Times New Roman" w:cs="宋体"/>
          <w:color w:val="auto"/>
          <w:sz w:val="21"/>
          <w:szCs w:val="21"/>
        </w:rPr>
        <w:t>′</w:t>
      </w:r>
      <w:r>
        <w:rPr>
          <w:rFonts w:hint="eastAsia" w:ascii="Times New Roman" w:hAnsi="Times New Roman" w:cs="宋体"/>
          <w:color w:val="auto"/>
          <w:sz w:val="21"/>
          <w:szCs w:val="21"/>
          <w:lang w:val="en-US" w:eastAsia="zh-CN"/>
        </w:rPr>
        <w:t>表示</w:t>
      </w:r>
      <w:r>
        <w:rPr>
          <w:rFonts w:hint="eastAsia" w:ascii="Times New Roman" w:hAnsi="Times New Roman" w:cs="宋体"/>
          <w:color w:val="auto"/>
          <w:sz w:val="21"/>
          <w:szCs w:val="21"/>
          <w:lang w:eastAsia="zh-CN"/>
        </w:rPr>
        <w:t>有效应力抗剪强度指标。</w:t>
      </w:r>
    </w:p>
    <w:p>
      <w:pPr>
        <w:spacing w:line="480" w:lineRule="exact"/>
        <w:rPr>
          <w:rFonts w:ascii="Times New Roman" w:hAnsi="Times New Roman"/>
          <w:szCs w:val="28"/>
        </w:rPr>
      </w:pPr>
      <w:r>
        <w:rPr>
          <w:rFonts w:ascii="Times New Roman" w:hAnsi="Times New Roman"/>
          <w:b/>
          <w:szCs w:val="28"/>
          <w:lang w:bidi="ar"/>
        </w:rPr>
        <w:t xml:space="preserve">4.3.5 </w:t>
      </w:r>
      <w:r>
        <w:rPr>
          <w:rFonts w:hint="eastAsia" w:ascii="Times New Roman" w:hAnsi="Times New Roman" w:cs="宋体"/>
          <w:szCs w:val="28"/>
          <w:lang w:bidi="ar"/>
        </w:rPr>
        <w:t>对安全等级为一级、浸水可能性较大的自重湿陷性黄土场地的基坑工程，应测定天然状态及饱和状态下的抗剪强度指标。</w:t>
      </w:r>
    </w:p>
    <w:p>
      <w:pPr>
        <w:pStyle w:val="3"/>
        <w:bidi w:val="0"/>
      </w:pPr>
      <w:bookmarkStart w:id="210" w:name="_Toc384300117"/>
      <w:bookmarkStart w:id="211" w:name="_Toc385576915"/>
      <w:bookmarkStart w:id="212" w:name="_Toc385579300"/>
      <w:bookmarkStart w:id="213" w:name="_Toc11147"/>
      <w:bookmarkStart w:id="214" w:name="_Toc384309837"/>
      <w:bookmarkStart w:id="215" w:name="_Toc24369"/>
      <w:bookmarkStart w:id="216" w:name="_Toc384300265"/>
      <w:bookmarkStart w:id="217" w:name="_Toc385581691"/>
      <w:bookmarkStart w:id="218" w:name="_Toc385518818"/>
      <w:bookmarkStart w:id="219" w:name="_Toc384304345"/>
      <w:bookmarkStart w:id="220" w:name="_Toc384310058"/>
      <w:bookmarkStart w:id="221" w:name="_Toc26355"/>
      <w:r>
        <w:t>4.4  勘察成果</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spacing w:line="480" w:lineRule="exact"/>
        <w:rPr>
          <w:rFonts w:hint="eastAsia" w:ascii="Times New Roman" w:hAnsi="Times New Roman" w:cs="宋体"/>
          <w:szCs w:val="28"/>
          <w:lang w:bidi="ar"/>
        </w:rPr>
      </w:pPr>
      <w:r>
        <w:rPr>
          <w:rFonts w:hint="eastAsia" w:ascii="Times New Roman" w:hAnsi="Times New Roman" w:cs="宋体"/>
          <w:b/>
          <w:bCs/>
          <w:szCs w:val="28"/>
          <w:lang w:bidi="ar"/>
        </w:rPr>
        <w:t>4.4.1</w:t>
      </w:r>
      <w:r>
        <w:rPr>
          <w:rFonts w:hint="eastAsia" w:ascii="Times New Roman" w:hAnsi="Times New Roman" w:cs="宋体"/>
          <w:szCs w:val="28"/>
          <w:lang w:bidi="ar"/>
        </w:rPr>
        <w:t xml:space="preserve"> 岩土物理力学性质指标应分层统计，各项指标均应提供范围值、算术平均值、标准差、统计子样数及变异系数，各土层抗剪强度指标c、</w:t>
      </w:r>
      <w:r>
        <w:rPr>
          <w:rFonts w:hint="eastAsia" w:ascii="Times New Roman" w:hAnsi="Times New Roman" w:cs="宋体"/>
          <w:szCs w:val="28"/>
          <w:lang w:bidi="ar"/>
        </w:rPr>
        <w:sym w:font="Symbol" w:char="006A"/>
      </w:r>
      <w:r>
        <w:rPr>
          <w:rFonts w:hint="eastAsia" w:ascii="Times New Roman" w:hAnsi="Times New Roman" w:cs="宋体"/>
          <w:szCs w:val="28"/>
          <w:lang w:bidi="ar"/>
        </w:rPr>
        <w:t>应提供标准值。</w:t>
      </w:r>
    </w:p>
    <w:p>
      <w:pPr>
        <w:spacing w:line="480" w:lineRule="exact"/>
        <w:rPr>
          <w:rFonts w:ascii="Times New Roman" w:hAnsi="Times New Roman"/>
          <w:szCs w:val="28"/>
        </w:rPr>
      </w:pPr>
      <w:r>
        <w:rPr>
          <w:rFonts w:hint="eastAsia" w:ascii="Times New Roman" w:hAnsi="Times New Roman" w:cs="宋体"/>
          <w:b/>
          <w:bCs/>
          <w:szCs w:val="28"/>
          <w:lang w:bidi="ar"/>
        </w:rPr>
        <w:t xml:space="preserve">4.4.2 </w:t>
      </w:r>
      <w:r>
        <w:rPr>
          <w:rFonts w:hint="eastAsia" w:ascii="Times New Roman" w:hAnsi="Times New Roman" w:cs="宋体"/>
          <w:szCs w:val="28"/>
          <w:lang w:bidi="ar"/>
        </w:rPr>
        <w:t>对砂土、碎石土和风化岩层的抗剪强度指标c、</w:t>
      </w:r>
      <w:r>
        <w:rPr>
          <w:rFonts w:hint="eastAsia" w:ascii="Times New Roman" w:hAnsi="Times New Roman" w:cs="宋体"/>
          <w:szCs w:val="28"/>
          <w:lang w:bidi="ar"/>
        </w:rPr>
        <w:sym w:font="Symbol" w:char="006A"/>
      </w:r>
      <w:r>
        <w:rPr>
          <w:rFonts w:hint="eastAsia" w:ascii="Times New Roman" w:hAnsi="Times New Roman" w:cs="宋体"/>
          <w:szCs w:val="28"/>
          <w:lang w:bidi="ar"/>
        </w:rPr>
        <w:t>值，可根据休止角及原位测试指标并结合野外描述综合分析确定。</w:t>
      </w:r>
    </w:p>
    <w:p>
      <w:pPr>
        <w:spacing w:line="480" w:lineRule="exact"/>
        <w:rPr>
          <w:rFonts w:ascii="Times New Roman" w:hAnsi="Times New Roman"/>
          <w:szCs w:val="28"/>
        </w:rPr>
      </w:pPr>
      <w:r>
        <w:rPr>
          <w:rFonts w:ascii="Times New Roman" w:hAnsi="Times New Roman"/>
          <w:b/>
          <w:szCs w:val="28"/>
          <w:lang w:bidi="ar"/>
        </w:rPr>
        <w:t>4.4.3</w:t>
      </w:r>
      <w:r>
        <w:rPr>
          <w:rFonts w:ascii="Times New Roman" w:hAnsi="Times New Roman"/>
          <w:szCs w:val="28"/>
          <w:lang w:bidi="ar"/>
        </w:rPr>
        <w:t xml:space="preserve"> </w:t>
      </w:r>
      <w:r>
        <w:rPr>
          <w:rFonts w:hint="eastAsia" w:ascii="Times New Roman" w:hAnsi="Times New Roman" w:cs="宋体"/>
          <w:szCs w:val="28"/>
          <w:lang w:bidi="ar"/>
        </w:rPr>
        <w:t>对黄土进行湿陷性评价时，自重湿陷量计算值及湿陷量计算值宜从基坑顶面算起。</w:t>
      </w:r>
    </w:p>
    <w:p>
      <w:pPr>
        <w:spacing w:line="480" w:lineRule="exact"/>
        <w:rPr>
          <w:rFonts w:hint="eastAsia" w:ascii="Times New Roman" w:hAnsi="Times New Roman" w:eastAsia="宋体"/>
          <w:color w:val="FF0000"/>
          <w:szCs w:val="28"/>
          <w:highlight w:val="yellow"/>
          <w:lang w:eastAsia="zh-CN"/>
        </w:rPr>
      </w:pPr>
      <w:r>
        <w:rPr>
          <w:rFonts w:ascii="Times New Roman" w:hAnsi="Times New Roman"/>
          <w:b/>
          <w:color w:val="auto"/>
          <w:szCs w:val="28"/>
          <w:lang w:bidi="ar"/>
        </w:rPr>
        <w:t>4.4.4</w:t>
      </w:r>
      <w:r>
        <w:rPr>
          <w:rFonts w:ascii="Times New Roman" w:hAnsi="Times New Roman"/>
          <w:color w:val="auto"/>
          <w:szCs w:val="28"/>
          <w:lang w:bidi="ar"/>
        </w:rPr>
        <w:t xml:space="preserve"> </w:t>
      </w:r>
      <w:r>
        <w:rPr>
          <w:rFonts w:hint="eastAsia" w:ascii="Times New Roman" w:hAnsi="Times New Roman" w:cs="宋体"/>
          <w:color w:val="auto"/>
          <w:szCs w:val="28"/>
          <w:lang w:bidi="ar"/>
        </w:rPr>
        <w:t>对软土、湿陷土、液化土、</w:t>
      </w:r>
      <w:r>
        <w:rPr>
          <w:rFonts w:hint="eastAsia" w:ascii="Times New Roman" w:hAnsi="Times New Roman" w:cs="宋体"/>
          <w:color w:val="auto"/>
          <w:szCs w:val="28"/>
          <w:lang w:eastAsia="zh-CN" w:bidi="ar"/>
        </w:rPr>
        <w:t>盐渍土、膨胀岩土、</w:t>
      </w:r>
      <w:r>
        <w:rPr>
          <w:rFonts w:hint="eastAsia" w:ascii="Times New Roman" w:hAnsi="Times New Roman" w:cs="宋体"/>
          <w:color w:val="auto"/>
          <w:szCs w:val="28"/>
          <w:lang w:bidi="ar"/>
        </w:rPr>
        <w:t>高灵敏度土、人工填土、风化岩和残积土等特殊性岩土分布区的基坑工程，应针对其特殊性质对基坑工程的影响进行分析评价。</w:t>
      </w:r>
    </w:p>
    <w:p>
      <w:pPr>
        <w:spacing w:line="480" w:lineRule="exact"/>
        <w:rPr>
          <w:rFonts w:ascii="Times New Roman" w:hAnsi="Times New Roman"/>
          <w:szCs w:val="28"/>
        </w:rPr>
      </w:pPr>
      <w:r>
        <w:rPr>
          <w:rFonts w:ascii="Times New Roman" w:hAnsi="Times New Roman"/>
          <w:b/>
          <w:szCs w:val="28"/>
          <w:lang w:bidi="ar"/>
        </w:rPr>
        <w:t>4.4.5</w:t>
      </w:r>
      <w:r>
        <w:rPr>
          <w:rFonts w:ascii="Times New Roman" w:hAnsi="Times New Roman"/>
          <w:szCs w:val="28"/>
          <w:lang w:bidi="ar"/>
        </w:rPr>
        <w:t xml:space="preserve"> </w:t>
      </w:r>
      <w:r>
        <w:rPr>
          <w:rFonts w:hint="eastAsia" w:ascii="Times New Roman" w:hAnsi="Times New Roman" w:cs="宋体"/>
          <w:szCs w:val="28"/>
          <w:lang w:bidi="ar"/>
        </w:rPr>
        <w:t>地下水作用的评价应包括下列内容：</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验算基坑边坡稳定性时，应考虑地下水对基坑边坡稳定的不利影响；</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在地下水位下降的影响范围内，应分析地面沉降及其对工程和周边环境的影响；</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在有水头压差的粉细砂、粉土地层中，应分析产生潜蚀、流土、管涌的可能性；</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对软质岩、强风化岩、残积土、湿陷性土、膨胀岩土、人工填土和盐渍土，应评价地下水的聚集和散失所产生的软化、崩解、湿陷、胀缩和潜蚀等有害作用。</w:t>
      </w:r>
    </w:p>
    <w:p>
      <w:pPr>
        <w:spacing w:line="480" w:lineRule="exact"/>
        <w:rPr>
          <w:rFonts w:ascii="Times New Roman" w:hAnsi="Times New Roman"/>
          <w:szCs w:val="28"/>
        </w:rPr>
      </w:pPr>
      <w:r>
        <w:rPr>
          <w:rFonts w:ascii="Times New Roman" w:hAnsi="Times New Roman"/>
          <w:b/>
          <w:szCs w:val="28"/>
          <w:lang w:bidi="ar"/>
        </w:rPr>
        <w:t>4.4.6</w:t>
      </w:r>
      <w:r>
        <w:rPr>
          <w:rFonts w:ascii="Times New Roman" w:hAnsi="Times New Roman"/>
          <w:szCs w:val="28"/>
          <w:lang w:bidi="ar"/>
        </w:rPr>
        <w:t xml:space="preserve"> </w:t>
      </w:r>
      <w:r>
        <w:rPr>
          <w:rFonts w:hint="eastAsia" w:ascii="Times New Roman" w:hAnsi="Times New Roman" w:cs="宋体"/>
          <w:szCs w:val="28"/>
          <w:lang w:bidi="ar"/>
        </w:rPr>
        <w:t>位于斜坡地段的基坑，应分析评价边坡整体稳定性及边坡与基坑工程的相互影响，并根据分析评价结果提出相应防护和治理措施的建议。</w:t>
      </w:r>
    </w:p>
    <w:p>
      <w:pPr>
        <w:spacing w:line="480" w:lineRule="exact"/>
        <w:rPr>
          <w:rFonts w:ascii="Times New Roman" w:hAnsi="Times New Roman"/>
          <w:szCs w:val="28"/>
        </w:rPr>
      </w:pPr>
      <w:r>
        <w:rPr>
          <w:rFonts w:ascii="Times New Roman" w:hAnsi="Times New Roman"/>
          <w:b/>
          <w:szCs w:val="28"/>
          <w:lang w:bidi="ar"/>
        </w:rPr>
        <w:t>4.4.7</w:t>
      </w:r>
      <w:r>
        <w:rPr>
          <w:rFonts w:ascii="Times New Roman" w:hAnsi="Times New Roman"/>
          <w:szCs w:val="28"/>
          <w:lang w:bidi="ar"/>
        </w:rPr>
        <w:t xml:space="preserve"> </w:t>
      </w:r>
      <w:r>
        <w:rPr>
          <w:rFonts w:hint="eastAsia" w:ascii="Times New Roman" w:hAnsi="Times New Roman" w:cs="宋体"/>
          <w:szCs w:val="28"/>
          <w:lang w:bidi="ar"/>
        </w:rPr>
        <w:t>基坑工程岩土勘察报告包括以下内容：</w:t>
      </w:r>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勘察目的、任务要求和依据的技术标准；</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拟建工程概况及基坑的平面尺寸、深度和周边环境条件；</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勘察方法（调查、钻探、取样、原位测试及室内试验）和勘察工作量；</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场地地形、地貌、地层结构、地质构造、岩土性质及分布规律和特征；</w:t>
      </w:r>
    </w:p>
    <w:p>
      <w:pPr>
        <w:spacing w:line="480" w:lineRule="exact"/>
        <w:ind w:firstLine="480" w:firstLineChars="200"/>
        <w:rPr>
          <w:rFonts w:ascii="Times New Roman" w:hAnsi="Times New Roman"/>
          <w:szCs w:val="28"/>
          <w:lang w:bidi="ar"/>
        </w:rPr>
      </w:pPr>
      <w:bookmarkStart w:id="222" w:name="_Toc7338"/>
      <w:bookmarkStart w:id="223" w:name="_Toc25648"/>
      <w:r>
        <w:rPr>
          <w:rFonts w:ascii="Times New Roman" w:hAnsi="Times New Roman"/>
          <w:szCs w:val="28"/>
          <w:lang w:bidi="ar"/>
        </w:rPr>
        <w:t xml:space="preserve">5 </w:t>
      </w:r>
      <w:r>
        <w:rPr>
          <w:rFonts w:hint="eastAsia" w:ascii="Times New Roman" w:hAnsi="Times New Roman"/>
          <w:szCs w:val="28"/>
          <w:lang w:bidi="ar"/>
        </w:rPr>
        <w:t>岩土物理力学性质指标统计、选用及建议值；</w:t>
      </w:r>
      <w:bookmarkEnd w:id="222"/>
      <w:bookmarkEnd w:id="223"/>
    </w:p>
    <w:p>
      <w:pPr>
        <w:spacing w:line="480" w:lineRule="exact"/>
        <w:ind w:firstLine="480" w:firstLineChars="200"/>
        <w:rPr>
          <w:rFonts w:ascii="Times New Roman" w:hAnsi="Times New Roman"/>
          <w:szCs w:val="28"/>
        </w:rPr>
      </w:pPr>
      <w:r>
        <w:rPr>
          <w:rFonts w:ascii="Times New Roman" w:hAnsi="Times New Roman"/>
          <w:szCs w:val="28"/>
          <w:lang w:bidi="ar"/>
        </w:rPr>
        <w:t xml:space="preserve">6 </w:t>
      </w:r>
      <w:r>
        <w:rPr>
          <w:rFonts w:hint="eastAsia" w:ascii="Times New Roman" w:hAnsi="Times New Roman" w:cs="宋体"/>
          <w:szCs w:val="28"/>
          <w:lang w:bidi="ar"/>
        </w:rPr>
        <w:t>场地地下水的类型、层数、埋藏条件、水位变化幅度及地下水作用的评价和地下水控制设计所需水文地质参数的建议值；</w:t>
      </w:r>
    </w:p>
    <w:p>
      <w:pPr>
        <w:spacing w:line="480" w:lineRule="exact"/>
        <w:ind w:firstLine="480" w:firstLineChars="200"/>
        <w:rPr>
          <w:rFonts w:ascii="Times New Roman" w:hAnsi="Times New Roman"/>
          <w:szCs w:val="28"/>
        </w:rPr>
      </w:pPr>
      <w:r>
        <w:rPr>
          <w:rFonts w:ascii="Times New Roman" w:hAnsi="Times New Roman"/>
          <w:szCs w:val="28"/>
          <w:lang w:bidi="ar"/>
        </w:rPr>
        <w:t xml:space="preserve">7 </w:t>
      </w:r>
      <w:r>
        <w:rPr>
          <w:rFonts w:hint="eastAsia" w:ascii="Times New Roman" w:hAnsi="Times New Roman" w:cs="宋体"/>
          <w:szCs w:val="28"/>
          <w:lang w:bidi="ar"/>
        </w:rPr>
        <w:t>不良地质作用、特殊性岩土对基坑工程危害程度的评价及防护、治理措施建议；</w:t>
      </w:r>
      <w:r>
        <w:rPr>
          <w:rFonts w:ascii="Times New Roman" w:hAnsi="Times New Roman"/>
          <w:szCs w:val="28"/>
          <w:lang w:bidi="ar"/>
        </w:rPr>
        <w:t xml:space="preserve"> </w:t>
      </w:r>
    </w:p>
    <w:p>
      <w:pPr>
        <w:spacing w:line="480" w:lineRule="exact"/>
        <w:ind w:firstLine="480" w:firstLineChars="200"/>
        <w:rPr>
          <w:rFonts w:ascii="Times New Roman" w:hAnsi="Times New Roman"/>
          <w:szCs w:val="28"/>
        </w:rPr>
      </w:pPr>
      <w:r>
        <w:rPr>
          <w:rFonts w:ascii="Times New Roman" w:hAnsi="Times New Roman"/>
          <w:szCs w:val="28"/>
          <w:lang w:bidi="ar"/>
        </w:rPr>
        <w:t xml:space="preserve">8 </w:t>
      </w:r>
      <w:r>
        <w:rPr>
          <w:rFonts w:hint="eastAsia" w:ascii="Times New Roman" w:hAnsi="Times New Roman" w:cs="宋体"/>
          <w:szCs w:val="28"/>
          <w:lang w:bidi="ar"/>
        </w:rPr>
        <w:t>对基坑开挖、支护结构选型及地下水控制方案提出建议，并说明施工中应注意的问题；</w:t>
      </w:r>
    </w:p>
    <w:p>
      <w:pPr>
        <w:spacing w:line="480" w:lineRule="exact"/>
        <w:ind w:firstLine="480" w:firstLineChars="200"/>
        <w:rPr>
          <w:rFonts w:ascii="Times New Roman" w:hAnsi="Times New Roman"/>
          <w:szCs w:val="28"/>
        </w:rPr>
      </w:pPr>
      <w:r>
        <w:rPr>
          <w:rFonts w:ascii="Times New Roman" w:hAnsi="Times New Roman"/>
          <w:szCs w:val="28"/>
          <w:lang w:bidi="ar"/>
        </w:rPr>
        <w:t xml:space="preserve">9 </w:t>
      </w:r>
      <w:r>
        <w:rPr>
          <w:rFonts w:hint="eastAsia" w:ascii="Times New Roman" w:hAnsi="Times New Roman" w:cs="宋体"/>
          <w:szCs w:val="28"/>
          <w:lang w:bidi="ar"/>
        </w:rPr>
        <w:t>对基坑工程与邻近建（构）筑物及周边环境的相互影响进行评价，并提出设计、施工应注意的事项、需要采取的保护措施及检测和监测工作的建议。</w:t>
      </w:r>
    </w:p>
    <w:p>
      <w:pPr>
        <w:spacing w:line="480" w:lineRule="exact"/>
        <w:rPr>
          <w:rFonts w:ascii="Times New Roman" w:hAnsi="Times New Roman"/>
          <w:b w:val="0"/>
          <w:bCs/>
          <w:szCs w:val="28"/>
          <w:lang w:bidi="ar"/>
        </w:rPr>
      </w:pPr>
      <w:bookmarkStart w:id="224" w:name="_Toc13148"/>
      <w:bookmarkStart w:id="225" w:name="_Toc21230"/>
      <w:r>
        <w:rPr>
          <w:rFonts w:ascii="Times New Roman" w:hAnsi="Times New Roman"/>
          <w:b/>
          <w:szCs w:val="28"/>
          <w:lang w:bidi="ar"/>
        </w:rPr>
        <w:t xml:space="preserve">4.4.8 </w:t>
      </w:r>
      <w:r>
        <w:rPr>
          <w:rFonts w:hint="eastAsia" w:ascii="Times New Roman" w:hAnsi="Times New Roman"/>
          <w:b w:val="0"/>
          <w:bCs/>
          <w:szCs w:val="28"/>
          <w:lang w:bidi="ar"/>
        </w:rPr>
        <w:t>基坑工程岩土勘察报告应附下列图</w:t>
      </w:r>
      <w:r>
        <w:rPr>
          <w:rFonts w:hint="eastAsia" w:ascii="Times New Roman" w:hAnsi="Times New Roman"/>
          <w:b w:val="0"/>
          <w:bCs/>
          <w:szCs w:val="28"/>
          <w:lang w:val="en-US" w:eastAsia="zh-CN" w:bidi="ar"/>
        </w:rPr>
        <w:t>表</w:t>
      </w:r>
      <w:r>
        <w:rPr>
          <w:rFonts w:hint="eastAsia" w:ascii="Times New Roman" w:hAnsi="Times New Roman"/>
          <w:b w:val="0"/>
          <w:bCs/>
          <w:szCs w:val="28"/>
          <w:lang w:bidi="ar"/>
        </w:rPr>
        <w:t>：</w:t>
      </w:r>
      <w:bookmarkEnd w:id="224"/>
      <w:bookmarkEnd w:id="225"/>
    </w:p>
    <w:p>
      <w:pPr>
        <w:spacing w:line="480" w:lineRule="exact"/>
        <w:ind w:firstLine="480" w:firstLineChars="200"/>
        <w:rPr>
          <w:rFonts w:ascii="Times New Roman" w:hAnsi="Times New Roman"/>
          <w:szCs w:val="28"/>
        </w:rPr>
      </w:pPr>
      <w:r>
        <w:rPr>
          <w:rFonts w:ascii="Times New Roman" w:hAnsi="Times New Roman"/>
          <w:szCs w:val="28"/>
          <w:lang w:bidi="ar"/>
        </w:rPr>
        <w:t xml:space="preserve">1 </w:t>
      </w:r>
      <w:r>
        <w:rPr>
          <w:rFonts w:hint="eastAsia" w:ascii="Times New Roman" w:hAnsi="Times New Roman" w:cs="宋体"/>
          <w:szCs w:val="28"/>
          <w:lang w:bidi="ar"/>
        </w:rPr>
        <w:t>勘探点平面布置图，应附拟建建（构）筑物轮廓线、基坑开挖范围线及周边已有建筑物、道路等，有条件时宜标明各种管线与地下障碍物的分布情况；</w:t>
      </w:r>
    </w:p>
    <w:p>
      <w:pPr>
        <w:spacing w:line="480" w:lineRule="exact"/>
        <w:ind w:firstLine="480" w:firstLineChars="200"/>
        <w:rPr>
          <w:rFonts w:ascii="Times New Roman" w:hAnsi="Times New Roman"/>
          <w:szCs w:val="28"/>
        </w:rPr>
      </w:pPr>
      <w:r>
        <w:rPr>
          <w:rFonts w:ascii="Times New Roman" w:hAnsi="Times New Roman"/>
          <w:szCs w:val="28"/>
          <w:lang w:bidi="ar"/>
        </w:rPr>
        <w:t xml:space="preserve">2 </w:t>
      </w:r>
      <w:r>
        <w:rPr>
          <w:rFonts w:hint="eastAsia" w:ascii="Times New Roman" w:hAnsi="Times New Roman" w:cs="宋体"/>
          <w:szCs w:val="28"/>
          <w:lang w:bidi="ar"/>
        </w:rPr>
        <w:t>沿基坑周边的工程地质剖面图，并宜标明基坑开挖深度线；</w:t>
      </w:r>
    </w:p>
    <w:p>
      <w:pPr>
        <w:spacing w:line="480" w:lineRule="exact"/>
        <w:ind w:firstLine="480" w:firstLineChars="200"/>
        <w:rPr>
          <w:rFonts w:ascii="Times New Roman" w:hAnsi="Times New Roman"/>
          <w:szCs w:val="28"/>
        </w:rPr>
      </w:pPr>
      <w:r>
        <w:rPr>
          <w:rFonts w:ascii="Times New Roman" w:hAnsi="Times New Roman"/>
          <w:szCs w:val="28"/>
          <w:lang w:bidi="ar"/>
        </w:rPr>
        <w:t xml:space="preserve">3 </w:t>
      </w:r>
      <w:r>
        <w:rPr>
          <w:rFonts w:hint="eastAsia" w:ascii="Times New Roman" w:hAnsi="Times New Roman" w:cs="宋体"/>
          <w:szCs w:val="28"/>
          <w:lang w:bidi="ar"/>
        </w:rPr>
        <w:t>有代表性的钻孔柱状图；</w:t>
      </w:r>
    </w:p>
    <w:p>
      <w:pPr>
        <w:spacing w:line="480" w:lineRule="exact"/>
        <w:ind w:firstLine="480" w:firstLineChars="200"/>
        <w:rPr>
          <w:rFonts w:ascii="Times New Roman" w:hAnsi="Times New Roman"/>
          <w:szCs w:val="28"/>
        </w:rPr>
      </w:pPr>
      <w:r>
        <w:rPr>
          <w:rFonts w:ascii="Times New Roman" w:hAnsi="Times New Roman"/>
          <w:szCs w:val="28"/>
          <w:lang w:bidi="ar"/>
        </w:rPr>
        <w:t xml:space="preserve">4 </w:t>
      </w:r>
      <w:r>
        <w:rPr>
          <w:rFonts w:hint="eastAsia" w:ascii="Times New Roman" w:hAnsi="Times New Roman" w:cs="宋体"/>
          <w:szCs w:val="28"/>
          <w:lang w:bidi="ar"/>
        </w:rPr>
        <w:t>原位测试和室内试验成果图表；</w:t>
      </w:r>
    </w:p>
    <w:p>
      <w:pPr>
        <w:spacing w:line="480" w:lineRule="exact"/>
        <w:ind w:firstLine="480" w:firstLineChars="200"/>
        <w:rPr>
          <w:rFonts w:hint="eastAsia" w:ascii="Times New Roman" w:hAnsi="Times New Roman" w:eastAsia="宋体"/>
          <w:szCs w:val="28"/>
          <w:lang w:eastAsia="zh-CN"/>
        </w:rPr>
      </w:pPr>
      <w:r>
        <w:rPr>
          <w:rFonts w:ascii="Times New Roman" w:hAnsi="Times New Roman"/>
          <w:szCs w:val="28"/>
          <w:lang w:bidi="ar"/>
        </w:rPr>
        <w:t xml:space="preserve">5 </w:t>
      </w:r>
      <w:r>
        <w:rPr>
          <w:rFonts w:hint="eastAsia" w:ascii="Times New Roman" w:hAnsi="Times New Roman" w:cs="宋体"/>
          <w:szCs w:val="28"/>
          <w:lang w:bidi="ar"/>
        </w:rPr>
        <w:t>地质条件复杂或岩土分析评价需要时，宜绘制关键地层层面等高线图和等厚度线图</w:t>
      </w:r>
      <w:r>
        <w:rPr>
          <w:rFonts w:hint="eastAsia" w:ascii="Times New Roman" w:hAnsi="Times New Roman" w:cs="宋体"/>
          <w:szCs w:val="28"/>
          <w:lang w:eastAsia="zh-CN" w:bidi="ar"/>
        </w:rPr>
        <w:t>；</w:t>
      </w:r>
    </w:p>
    <w:p>
      <w:pPr>
        <w:spacing w:line="480" w:lineRule="exact"/>
        <w:ind w:firstLine="480" w:firstLineChars="200"/>
        <w:rPr>
          <w:rFonts w:ascii="Times New Roman" w:hAnsi="Times New Roman"/>
        </w:rPr>
      </w:pPr>
      <w:r>
        <w:rPr>
          <w:rFonts w:ascii="Times New Roman" w:hAnsi="Times New Roman"/>
          <w:szCs w:val="28"/>
          <w:lang w:bidi="ar"/>
        </w:rPr>
        <w:t xml:space="preserve">6 </w:t>
      </w:r>
      <w:r>
        <w:rPr>
          <w:rFonts w:hint="eastAsia" w:ascii="Times New Roman" w:hAnsi="Times New Roman" w:cs="宋体"/>
          <w:szCs w:val="28"/>
          <w:lang w:bidi="ar"/>
        </w:rPr>
        <w:t>特殊性岩土或特殊地质问题的专门性图</w:t>
      </w:r>
      <w:r>
        <w:rPr>
          <w:rFonts w:hint="eastAsia" w:ascii="Times New Roman" w:hAnsi="Times New Roman" w:cs="宋体"/>
          <w:szCs w:val="28"/>
          <w:lang w:val="en-US" w:eastAsia="zh-CN" w:bidi="ar"/>
        </w:rPr>
        <w:t>表</w:t>
      </w:r>
      <w:r>
        <w:rPr>
          <w:rFonts w:hint="eastAsia" w:ascii="Times New Roman" w:hAnsi="Times New Roman" w:cs="宋体"/>
          <w:szCs w:val="28"/>
          <w:lang w:bidi="ar"/>
        </w:rPr>
        <w:t>。</w:t>
      </w:r>
    </w:p>
    <w:p>
      <w:pPr>
        <w:pStyle w:val="2"/>
        <w:bidi w:val="0"/>
        <w:rPr>
          <w:rFonts w:ascii="Times New Roman" w:hAnsi="Times New Roman"/>
        </w:rPr>
      </w:pPr>
      <w:r>
        <w:br w:type="page"/>
      </w:r>
      <w:bookmarkStart w:id="226" w:name="_Toc7732"/>
      <w:r>
        <w:rPr>
          <w:rFonts w:ascii="Times New Roman" w:hAnsi="Times New Roman"/>
        </w:rPr>
        <w:t xml:space="preserve">5  </w:t>
      </w:r>
      <w:r>
        <w:rPr>
          <w:rFonts w:hint="eastAsia" w:ascii="Times New Roman" w:hAnsi="Times New Roman"/>
        </w:rPr>
        <w:t>土压力计算</w:t>
      </w:r>
      <w:bookmarkEnd w:id="150"/>
      <w:bookmarkEnd w:id="151"/>
      <w:bookmarkEnd w:id="152"/>
      <w:bookmarkEnd w:id="153"/>
      <w:bookmarkEnd w:id="226"/>
    </w:p>
    <w:p>
      <w:pPr>
        <w:pStyle w:val="3"/>
        <w:bidi w:val="0"/>
      </w:pPr>
      <w:bookmarkStart w:id="227" w:name="_Toc28627"/>
      <w:bookmarkStart w:id="228" w:name="_Toc388643424"/>
      <w:bookmarkStart w:id="229" w:name="_Toc388643541"/>
      <w:bookmarkStart w:id="230" w:name="_Toc24507"/>
      <w:bookmarkStart w:id="231" w:name="_Toc6754"/>
      <w:r>
        <w:t xml:space="preserve">5.1  </w:t>
      </w:r>
      <w:r>
        <w:rPr>
          <w:rFonts w:hint="eastAsia"/>
        </w:rPr>
        <w:t>一般规定</w:t>
      </w:r>
      <w:bookmarkEnd w:id="227"/>
      <w:bookmarkEnd w:id="228"/>
      <w:bookmarkEnd w:id="229"/>
      <w:bookmarkEnd w:id="230"/>
      <w:bookmarkEnd w:id="231"/>
    </w:p>
    <w:p>
      <w:pPr>
        <w:widowControl w:val="0"/>
        <w:spacing w:line="480" w:lineRule="exact"/>
        <w:rPr>
          <w:rFonts w:ascii="Times New Roman" w:hAnsi="Times New Roman"/>
        </w:rPr>
      </w:pPr>
      <w:r>
        <w:rPr>
          <w:rFonts w:ascii="Times New Roman" w:hAnsi="Times New Roman"/>
          <w:b/>
          <w:szCs w:val="28"/>
        </w:rPr>
        <w:t>5.1.1</w:t>
      </w:r>
      <w:r>
        <w:rPr>
          <w:rFonts w:ascii="Times New Roman" w:hAnsi="Times New Roman"/>
        </w:rPr>
        <w:t xml:space="preserve"> </w:t>
      </w:r>
      <w:r>
        <w:rPr>
          <w:rFonts w:hint="eastAsia" w:ascii="Times New Roman" w:hAnsi="Times New Roman"/>
        </w:rPr>
        <w:t>基坑支护结构设计应考虑下列荷载：</w:t>
      </w:r>
    </w:p>
    <w:p>
      <w:pPr>
        <w:widowControl w:val="0"/>
        <w:spacing w:line="480" w:lineRule="exact"/>
        <w:ind w:firstLine="480" w:firstLineChars="200"/>
        <w:rPr>
          <w:rFonts w:ascii="Times New Roman" w:hAnsi="Times New Roman"/>
        </w:rPr>
      </w:pPr>
      <w:r>
        <w:rPr>
          <w:rFonts w:ascii="Times New Roman" w:hAnsi="Times New Roman"/>
        </w:rPr>
        <w:t xml:space="preserve">1 </w:t>
      </w:r>
      <w:r>
        <w:rPr>
          <w:rFonts w:hint="eastAsia" w:ascii="Times New Roman" w:hAnsi="Times New Roman"/>
        </w:rPr>
        <w:t>土压力；</w:t>
      </w:r>
    </w:p>
    <w:p>
      <w:pPr>
        <w:widowControl w:val="0"/>
        <w:spacing w:line="480" w:lineRule="exact"/>
        <w:ind w:firstLine="480" w:firstLineChars="200"/>
        <w:rPr>
          <w:rFonts w:ascii="Times New Roman" w:hAnsi="Times New Roman"/>
        </w:rPr>
      </w:pPr>
      <w:r>
        <w:rPr>
          <w:rFonts w:ascii="Times New Roman" w:hAnsi="Times New Roman"/>
        </w:rPr>
        <w:t xml:space="preserve">2 </w:t>
      </w:r>
      <w:r>
        <w:rPr>
          <w:rFonts w:hint="eastAsia" w:ascii="Times New Roman" w:hAnsi="Times New Roman"/>
        </w:rPr>
        <w:t>水压力；</w:t>
      </w:r>
    </w:p>
    <w:p>
      <w:pPr>
        <w:widowControl w:val="0"/>
        <w:spacing w:line="480" w:lineRule="exact"/>
        <w:ind w:firstLine="480" w:firstLineChars="200"/>
        <w:rPr>
          <w:rFonts w:ascii="Times New Roman" w:hAnsi="Times New Roman"/>
        </w:rPr>
      </w:pPr>
      <w:r>
        <w:rPr>
          <w:rFonts w:ascii="Times New Roman" w:hAnsi="Times New Roman"/>
        </w:rPr>
        <w:t xml:space="preserve">3 </w:t>
      </w:r>
      <w:r>
        <w:rPr>
          <w:rFonts w:hint="eastAsia" w:ascii="Times New Roman" w:hAnsi="Times New Roman"/>
        </w:rPr>
        <w:t>开挖影响范围内建（构）筑物的作用荷载、地面堆载、施工荷载及临近场地施工的影响；</w:t>
      </w:r>
    </w:p>
    <w:p>
      <w:pPr>
        <w:widowControl w:val="0"/>
        <w:spacing w:line="480" w:lineRule="exact"/>
        <w:ind w:firstLine="480" w:firstLineChars="200"/>
        <w:rPr>
          <w:rFonts w:ascii="Times New Roman" w:hAnsi="Times New Roman"/>
        </w:rPr>
      </w:pPr>
      <w:r>
        <w:rPr>
          <w:rFonts w:ascii="Times New Roman" w:hAnsi="Times New Roman"/>
        </w:rPr>
        <w:t xml:space="preserve">4 </w:t>
      </w:r>
      <w:r>
        <w:rPr>
          <w:rFonts w:hint="eastAsia" w:ascii="Times New Roman" w:hAnsi="Times New Roman"/>
        </w:rPr>
        <w:t>支护结构作为主体结构一部分时，尚应考虑人防和地震荷载等上部结构的作用；</w:t>
      </w:r>
    </w:p>
    <w:p>
      <w:pPr>
        <w:widowControl w:val="0"/>
        <w:spacing w:line="480" w:lineRule="exact"/>
        <w:ind w:firstLine="480" w:firstLineChars="200"/>
        <w:rPr>
          <w:rFonts w:ascii="Times New Roman" w:hAnsi="Times New Roman"/>
        </w:rPr>
      </w:pPr>
      <w:bookmarkStart w:id="232" w:name="_Toc1484"/>
      <w:bookmarkStart w:id="233" w:name="_Toc8290"/>
      <w:r>
        <w:rPr>
          <w:rFonts w:ascii="Times New Roman" w:hAnsi="Times New Roman"/>
        </w:rPr>
        <w:t xml:space="preserve">5 </w:t>
      </w:r>
      <w:r>
        <w:rPr>
          <w:rFonts w:hint="eastAsia" w:ascii="Times New Roman" w:hAnsi="Times New Roman"/>
        </w:rPr>
        <w:t>其他不利于基坑稳定的荷载。</w:t>
      </w:r>
      <w:bookmarkEnd w:id="232"/>
      <w:bookmarkEnd w:id="233"/>
    </w:p>
    <w:p>
      <w:pPr>
        <w:widowControl w:val="0"/>
        <w:spacing w:line="480" w:lineRule="exact"/>
        <w:rPr>
          <w:rFonts w:ascii="Times New Roman" w:hAnsi="Times New Roman"/>
          <w:b w:val="0"/>
          <w:bCs/>
          <w:szCs w:val="28"/>
        </w:rPr>
      </w:pPr>
      <w:bookmarkStart w:id="234" w:name="_Toc29649"/>
      <w:r>
        <w:rPr>
          <w:rFonts w:ascii="Times New Roman" w:hAnsi="Times New Roman"/>
          <w:b/>
          <w:szCs w:val="28"/>
        </w:rPr>
        <w:t xml:space="preserve">5.1.2 </w:t>
      </w:r>
      <w:r>
        <w:rPr>
          <w:rFonts w:hint="eastAsia" w:ascii="Times New Roman" w:hAnsi="Times New Roman"/>
          <w:b w:val="0"/>
          <w:bCs/>
          <w:szCs w:val="28"/>
        </w:rPr>
        <w:t>基坑支护结构计算时应考虑下列因素：</w:t>
      </w:r>
      <w:bookmarkEnd w:id="234"/>
    </w:p>
    <w:p>
      <w:pPr>
        <w:widowControl w:val="0"/>
        <w:spacing w:line="480" w:lineRule="exact"/>
        <w:ind w:firstLine="480" w:firstLineChars="200"/>
        <w:rPr>
          <w:rFonts w:ascii="Times New Roman" w:hAnsi="Times New Roman"/>
        </w:rPr>
      </w:pPr>
      <w:r>
        <w:rPr>
          <w:rFonts w:ascii="Times New Roman" w:hAnsi="Times New Roman"/>
        </w:rPr>
        <w:t xml:space="preserve">1 </w:t>
      </w:r>
      <w:r>
        <w:rPr>
          <w:rFonts w:hint="eastAsia" w:ascii="Times New Roman" w:hAnsi="Times New Roman"/>
        </w:rPr>
        <w:t>土的物理力学性质（包括土的重度、抗剪强度指标等）；</w:t>
      </w:r>
    </w:p>
    <w:p>
      <w:pPr>
        <w:widowControl w:val="0"/>
        <w:spacing w:line="480" w:lineRule="exact"/>
        <w:ind w:firstLine="480" w:firstLineChars="200"/>
        <w:rPr>
          <w:rFonts w:ascii="Times New Roman" w:hAnsi="Times New Roman"/>
        </w:rPr>
      </w:pPr>
      <w:r>
        <w:rPr>
          <w:rFonts w:ascii="Times New Roman" w:hAnsi="Times New Roman"/>
        </w:rPr>
        <w:t xml:space="preserve">2 </w:t>
      </w:r>
      <w:r>
        <w:rPr>
          <w:rFonts w:hint="eastAsia" w:ascii="Times New Roman" w:hAnsi="Times New Roman"/>
        </w:rPr>
        <w:t>地下水位、渗流及其变化；</w:t>
      </w:r>
    </w:p>
    <w:p>
      <w:pPr>
        <w:widowControl w:val="0"/>
        <w:spacing w:line="480" w:lineRule="exact"/>
        <w:ind w:firstLine="480" w:firstLineChars="200"/>
        <w:rPr>
          <w:rFonts w:ascii="Times New Roman" w:hAnsi="Times New Roman"/>
        </w:rPr>
      </w:pPr>
      <w:r>
        <w:rPr>
          <w:rFonts w:hint="eastAsia" w:ascii="Times New Roman" w:hAnsi="Times New Roman"/>
        </w:rPr>
        <w:t>3</w:t>
      </w:r>
      <w:r>
        <w:rPr>
          <w:rFonts w:ascii="Times New Roman" w:hAnsi="Times New Roman"/>
        </w:rPr>
        <w:t xml:space="preserve"> </w:t>
      </w:r>
      <w:r>
        <w:rPr>
          <w:rFonts w:hint="eastAsia" w:ascii="Times New Roman" w:hAnsi="Times New Roman"/>
        </w:rPr>
        <w:t>支护体系的刚度、插入深度和横向位移；</w:t>
      </w:r>
    </w:p>
    <w:p>
      <w:pPr>
        <w:widowControl w:val="0"/>
        <w:spacing w:line="480" w:lineRule="exact"/>
        <w:ind w:firstLine="480" w:firstLineChars="200"/>
        <w:rPr>
          <w:rFonts w:ascii="Times New Roman" w:hAnsi="Times New Roman"/>
        </w:rPr>
      </w:pPr>
      <w:r>
        <w:rPr>
          <w:rFonts w:hint="eastAsia" w:ascii="Times New Roman" w:hAnsi="Times New Roman"/>
        </w:rPr>
        <w:t>4</w:t>
      </w:r>
      <w:r>
        <w:rPr>
          <w:rFonts w:ascii="Times New Roman" w:hAnsi="Times New Roman"/>
        </w:rPr>
        <w:t xml:space="preserve"> </w:t>
      </w:r>
      <w:r>
        <w:rPr>
          <w:rFonts w:hint="eastAsia" w:ascii="Times New Roman" w:hAnsi="Times New Roman"/>
        </w:rPr>
        <w:t>挡墙和土体间的摩擦特性；</w:t>
      </w:r>
    </w:p>
    <w:p>
      <w:pPr>
        <w:widowControl w:val="0"/>
        <w:spacing w:line="480" w:lineRule="exact"/>
        <w:ind w:firstLine="480" w:firstLineChars="200"/>
        <w:rPr>
          <w:rFonts w:ascii="Times New Roman" w:hAnsi="Times New Roman"/>
        </w:rPr>
      </w:pPr>
      <w:r>
        <w:rPr>
          <w:rFonts w:hint="eastAsia" w:ascii="Times New Roman" w:hAnsi="Times New Roman"/>
        </w:rPr>
        <w:t>5</w:t>
      </w:r>
      <w:r>
        <w:rPr>
          <w:rFonts w:ascii="Times New Roman" w:hAnsi="Times New Roman"/>
        </w:rPr>
        <w:t xml:space="preserve"> </w:t>
      </w:r>
      <w:r>
        <w:rPr>
          <w:rFonts w:hint="eastAsia" w:ascii="Times New Roman" w:hAnsi="Times New Roman"/>
        </w:rPr>
        <w:t>基坑工程的施工方法、施工阶段和施工顺序；</w:t>
      </w:r>
    </w:p>
    <w:p>
      <w:pPr>
        <w:widowControl w:val="0"/>
        <w:spacing w:line="480" w:lineRule="exact"/>
        <w:ind w:firstLine="480" w:firstLineChars="200"/>
        <w:rPr>
          <w:rFonts w:ascii="Times New Roman" w:hAnsi="Times New Roman"/>
        </w:rPr>
      </w:pPr>
      <w:r>
        <w:rPr>
          <w:rFonts w:hint="eastAsia" w:ascii="Times New Roman" w:hAnsi="Times New Roman"/>
        </w:rPr>
        <w:t>6</w:t>
      </w:r>
      <w:r>
        <w:rPr>
          <w:rFonts w:ascii="Times New Roman" w:hAnsi="Times New Roman"/>
        </w:rPr>
        <w:t xml:space="preserve"> </w:t>
      </w:r>
      <w:r>
        <w:rPr>
          <w:rFonts w:hint="eastAsia" w:ascii="Times New Roman" w:hAnsi="Times New Roman"/>
        </w:rPr>
        <w:t>冻胀、温度变化等产生的影响。</w:t>
      </w:r>
    </w:p>
    <w:p>
      <w:pPr>
        <w:pStyle w:val="3"/>
        <w:bidi w:val="0"/>
      </w:pPr>
      <w:bookmarkStart w:id="235" w:name="_Toc388643425"/>
      <w:bookmarkStart w:id="236" w:name="_Toc388643542"/>
      <w:bookmarkStart w:id="237" w:name="_Toc27686"/>
      <w:bookmarkStart w:id="238" w:name="_Toc25328"/>
      <w:bookmarkStart w:id="239" w:name="_Toc28088"/>
      <w:r>
        <w:t xml:space="preserve">5.2  </w:t>
      </w:r>
      <w:r>
        <w:rPr>
          <w:rFonts w:hint="eastAsia"/>
        </w:rPr>
        <w:t>荷载组合</w:t>
      </w:r>
      <w:bookmarkEnd w:id="235"/>
      <w:bookmarkEnd w:id="236"/>
      <w:bookmarkEnd w:id="237"/>
      <w:bookmarkEnd w:id="238"/>
      <w:bookmarkEnd w:id="239"/>
    </w:p>
    <w:p>
      <w:pPr>
        <w:widowControl w:val="0"/>
        <w:spacing w:line="480" w:lineRule="exact"/>
        <w:rPr>
          <w:rFonts w:hint="eastAsia" w:ascii="Times New Roman" w:hAnsi="Times New Roman"/>
          <w:b w:val="0"/>
          <w:bCs/>
          <w:szCs w:val="28"/>
        </w:rPr>
      </w:pPr>
      <w:bookmarkStart w:id="240" w:name="_Toc14708"/>
      <w:bookmarkStart w:id="241" w:name="_Toc1387"/>
      <w:r>
        <w:rPr>
          <w:rFonts w:hint="eastAsia" w:ascii="Times New Roman" w:hAnsi="Times New Roman"/>
          <w:b/>
          <w:bCs w:val="0"/>
          <w:szCs w:val="28"/>
        </w:rPr>
        <w:t xml:space="preserve">5.2.1 </w:t>
      </w:r>
      <w:r>
        <w:rPr>
          <w:rFonts w:hint="eastAsia" w:ascii="Times New Roman" w:hAnsi="Times New Roman"/>
          <w:b w:val="0"/>
          <w:bCs/>
          <w:szCs w:val="28"/>
        </w:rPr>
        <w:t>支护设计时，采用荷载组合应符合下列规定：</w:t>
      </w:r>
      <w:bookmarkEnd w:id="240"/>
      <w:bookmarkEnd w:id="241"/>
    </w:p>
    <w:p>
      <w:pPr>
        <w:widowControl w:val="0"/>
        <w:spacing w:line="480" w:lineRule="exact"/>
        <w:ind w:firstLine="480" w:firstLineChars="200"/>
        <w:rPr>
          <w:rFonts w:hint="eastAsia" w:ascii="Times New Roman" w:hAnsi="Times New Roman"/>
        </w:rPr>
      </w:pPr>
      <w:bookmarkStart w:id="242" w:name="_Toc17456"/>
      <w:bookmarkStart w:id="243" w:name="_Toc5758"/>
      <w:r>
        <w:rPr>
          <w:rFonts w:hint="eastAsia" w:ascii="Times New Roman" w:hAnsi="Times New Roman"/>
        </w:rPr>
        <w:t>1 支护结构构件承载能力极限状态计算采用荷载基本组合；</w:t>
      </w:r>
      <w:bookmarkEnd w:id="242"/>
      <w:bookmarkEnd w:id="243"/>
    </w:p>
    <w:p>
      <w:pPr>
        <w:widowControl w:val="0"/>
        <w:spacing w:line="480" w:lineRule="exact"/>
        <w:ind w:firstLine="480" w:firstLineChars="200"/>
        <w:rPr>
          <w:rFonts w:hint="eastAsia" w:ascii="Times New Roman" w:hAnsi="Times New Roman"/>
        </w:rPr>
      </w:pPr>
      <w:r>
        <w:rPr>
          <w:rFonts w:hint="eastAsia" w:ascii="Times New Roman" w:hAnsi="Times New Roman"/>
        </w:rPr>
        <w:t>2 支护结构整体稳定极限状态计算采用荷载基本组合，其分项系数取1；</w:t>
      </w:r>
    </w:p>
    <w:p>
      <w:pPr>
        <w:widowControl w:val="0"/>
        <w:spacing w:line="480" w:lineRule="exact"/>
        <w:ind w:firstLine="480" w:firstLineChars="200"/>
        <w:rPr>
          <w:rFonts w:hint="eastAsia" w:ascii="Times New Roman" w:hAnsi="Times New Roman"/>
        </w:rPr>
      </w:pPr>
      <w:bookmarkStart w:id="244" w:name="_Toc32441"/>
      <w:bookmarkStart w:id="245" w:name="_Toc24979"/>
      <w:r>
        <w:rPr>
          <w:rFonts w:hint="eastAsia" w:ascii="Times New Roman" w:hAnsi="Times New Roman"/>
        </w:rPr>
        <w:t>3 支护结构水平位移计算采用正常使用极限状态下荷载标准组合。</w:t>
      </w:r>
      <w:bookmarkEnd w:id="244"/>
      <w:bookmarkEnd w:id="245"/>
    </w:p>
    <w:p>
      <w:pPr>
        <w:widowControl w:val="0"/>
        <w:spacing w:line="480" w:lineRule="exact"/>
        <w:rPr>
          <w:rFonts w:ascii="Times New Roman" w:hAnsi="Times New Roman"/>
        </w:rPr>
      </w:pPr>
      <w:r>
        <w:rPr>
          <w:rFonts w:ascii="Times New Roman" w:hAnsi="Times New Roman"/>
          <w:b/>
        </w:rPr>
        <w:t>5.2.2</w:t>
      </w:r>
      <w:r>
        <w:rPr>
          <w:rFonts w:ascii="Times New Roman" w:hAnsi="Times New Roman"/>
        </w:rPr>
        <w:t xml:space="preserve"> </w:t>
      </w:r>
      <w:r>
        <w:rPr>
          <w:rFonts w:hint="eastAsia" w:ascii="Times New Roman" w:hAnsi="Times New Roman"/>
        </w:rPr>
        <w:t>支护结构应根据作用的荷载，按本</w:t>
      </w:r>
      <w:r>
        <w:rPr>
          <w:rFonts w:hint="eastAsia" w:ascii="Times New Roman" w:hAnsi="Times New Roman"/>
          <w:lang w:eastAsia="zh-CN"/>
        </w:rPr>
        <w:t>标准</w:t>
      </w:r>
      <w:r>
        <w:rPr>
          <w:rFonts w:ascii="Times New Roman" w:hAnsi="Times New Roman"/>
        </w:rPr>
        <w:t>3.0.</w:t>
      </w:r>
      <w:r>
        <w:rPr>
          <w:rFonts w:hint="eastAsia" w:ascii="Times New Roman" w:hAnsi="Times New Roman"/>
        </w:rPr>
        <w:t>7、</w:t>
      </w:r>
      <w:r>
        <w:rPr>
          <w:rFonts w:ascii="Times New Roman" w:hAnsi="Times New Roman"/>
        </w:rPr>
        <w:t>3.0.</w:t>
      </w:r>
      <w:r>
        <w:rPr>
          <w:rFonts w:hint="eastAsia" w:ascii="Times New Roman" w:hAnsi="Times New Roman"/>
        </w:rPr>
        <w:t>8条规定进行承载力计算和稳定性验算。</w:t>
      </w:r>
    </w:p>
    <w:p>
      <w:pPr>
        <w:pStyle w:val="3"/>
        <w:bidi w:val="0"/>
      </w:pPr>
      <w:bookmarkStart w:id="246" w:name="_Toc388643426"/>
      <w:bookmarkStart w:id="247" w:name="_Toc21861"/>
      <w:bookmarkStart w:id="248" w:name="_Toc21250"/>
      <w:bookmarkStart w:id="249" w:name="_Toc1689"/>
      <w:bookmarkStart w:id="250" w:name="_Toc388643543"/>
      <w:r>
        <w:t xml:space="preserve">5.3  </w:t>
      </w:r>
      <w:r>
        <w:rPr>
          <w:rFonts w:hint="eastAsia"/>
        </w:rPr>
        <w:t>参数选择</w:t>
      </w:r>
      <w:bookmarkEnd w:id="246"/>
      <w:bookmarkEnd w:id="247"/>
      <w:bookmarkEnd w:id="248"/>
      <w:bookmarkEnd w:id="249"/>
      <w:bookmarkEnd w:id="250"/>
    </w:p>
    <w:p>
      <w:pPr>
        <w:widowControl w:val="0"/>
        <w:spacing w:line="480" w:lineRule="exact"/>
        <w:rPr>
          <w:rFonts w:ascii="Times New Roman" w:hAnsi="Times New Roman"/>
        </w:rPr>
      </w:pPr>
      <w:r>
        <w:rPr>
          <w:rFonts w:ascii="Times New Roman" w:hAnsi="Times New Roman"/>
          <w:b/>
        </w:rPr>
        <w:t>5.3.1</w:t>
      </w:r>
      <w:r>
        <w:rPr>
          <w:rFonts w:ascii="Times New Roman" w:hAnsi="Times New Roman"/>
        </w:rPr>
        <w:t xml:space="preserve"> </w:t>
      </w:r>
      <w:r>
        <w:rPr>
          <w:rFonts w:hint="eastAsia" w:ascii="Times New Roman" w:hAnsi="Times New Roman"/>
        </w:rPr>
        <w:t>土的物理力学性能指标可根据室内试验、原位测试，结合地区经验综合确定。</w:t>
      </w:r>
    </w:p>
    <w:p>
      <w:pPr>
        <w:widowControl w:val="0"/>
        <w:spacing w:line="480" w:lineRule="exact"/>
        <w:rPr>
          <w:rFonts w:ascii="Times New Roman" w:hAnsi="Times New Roman"/>
        </w:rPr>
      </w:pPr>
      <w:r>
        <w:rPr>
          <w:rFonts w:ascii="Times New Roman" w:hAnsi="Times New Roman"/>
          <w:b/>
        </w:rPr>
        <w:t>5.3.2</w:t>
      </w:r>
      <w:r>
        <w:rPr>
          <w:rFonts w:hint="eastAsia" w:ascii="Times New Roman" w:hAnsi="Times New Roman"/>
          <w:b/>
        </w:rPr>
        <w:t xml:space="preserve"> </w:t>
      </w:r>
      <w:r>
        <w:rPr>
          <w:rFonts w:hint="eastAsia" w:ascii="Times New Roman" w:hAnsi="Times New Roman"/>
        </w:rPr>
        <w:t>土体重度指标取其平均值，并按下列规定取用：地下水位以上的土体，应取其天然重度；地下水位以下的土体，对碎石土、砂土、砂质粉土取有效重度；黏性土、黏性粉土取饱和重度。</w:t>
      </w:r>
    </w:p>
    <w:p>
      <w:pPr>
        <w:widowControl w:val="0"/>
        <w:spacing w:line="480" w:lineRule="exact"/>
        <w:rPr>
          <w:rFonts w:ascii="Times New Roman" w:hAnsi="Times New Roman"/>
        </w:rPr>
      </w:pPr>
      <w:r>
        <w:rPr>
          <w:rFonts w:ascii="Times New Roman" w:hAnsi="Times New Roman"/>
          <w:b/>
        </w:rPr>
        <w:t>5.3.3</w:t>
      </w:r>
      <w:r>
        <w:rPr>
          <w:rFonts w:ascii="Times New Roman" w:hAnsi="Times New Roman"/>
        </w:rPr>
        <w:t xml:space="preserve"> </w:t>
      </w:r>
      <w:r>
        <w:rPr>
          <w:rFonts w:hint="eastAsia" w:ascii="Times New Roman" w:hAnsi="Times New Roman"/>
        </w:rPr>
        <w:t>土体的抗剪强度按本</w:t>
      </w:r>
      <w:r>
        <w:rPr>
          <w:rFonts w:hint="eastAsia" w:ascii="Times New Roman" w:hAnsi="Times New Roman"/>
          <w:lang w:eastAsia="zh-CN"/>
        </w:rPr>
        <w:t>标准</w:t>
      </w:r>
      <w:r>
        <w:rPr>
          <w:rFonts w:hint="eastAsia" w:ascii="Times New Roman" w:hAnsi="Times New Roman"/>
        </w:rPr>
        <w:t>4.3.4条确定，对灵敏度较高的土、严重液化土，当基坑临近有交通频繁、施工扰动等原因造成对土体强度有不利影响时，应考虑对其参数进行适当折减。</w:t>
      </w:r>
    </w:p>
    <w:p>
      <w:pPr>
        <w:pStyle w:val="3"/>
        <w:bidi w:val="0"/>
      </w:pPr>
      <w:bookmarkStart w:id="251" w:name="_Toc388643544"/>
      <w:bookmarkStart w:id="252" w:name="_Toc7610"/>
      <w:bookmarkStart w:id="253" w:name="_Toc8302"/>
      <w:bookmarkStart w:id="254" w:name="_Toc16681"/>
      <w:bookmarkStart w:id="255" w:name="_Toc388643427"/>
      <w:r>
        <w:t xml:space="preserve">5.4  </w:t>
      </w:r>
      <w:r>
        <w:rPr>
          <w:rFonts w:hint="eastAsia"/>
        </w:rPr>
        <w:t>计算原则</w:t>
      </w:r>
      <w:bookmarkEnd w:id="251"/>
      <w:bookmarkEnd w:id="252"/>
      <w:bookmarkEnd w:id="253"/>
      <w:bookmarkEnd w:id="254"/>
      <w:bookmarkEnd w:id="255"/>
    </w:p>
    <w:p>
      <w:pPr>
        <w:widowControl w:val="0"/>
        <w:spacing w:line="480" w:lineRule="exact"/>
        <w:rPr>
          <w:rFonts w:ascii="Times New Roman" w:hAnsi="Times New Roman"/>
        </w:rPr>
      </w:pPr>
      <w:r>
        <w:rPr>
          <w:rFonts w:ascii="Times New Roman" w:hAnsi="Times New Roman"/>
          <w:b/>
        </w:rPr>
        <w:t>5.4.1</w:t>
      </w:r>
      <w:r>
        <w:rPr>
          <w:rFonts w:hint="eastAsia" w:ascii="Times New Roman" w:hAnsi="Times New Roman"/>
          <w:b/>
        </w:rPr>
        <w:t xml:space="preserve"> </w:t>
      </w:r>
      <w:r>
        <w:rPr>
          <w:rFonts w:hint="eastAsia" w:ascii="Times New Roman" w:hAnsi="Times New Roman"/>
        </w:rPr>
        <w:t>作用于支护结构上的土压力和水压力，对于透水性较强的碎石土、砂土和砂质粉土可采取水土分算方法；对于透水性较差的黏性土、黏质粉土可采用水土合算方法，也可根据地区经验合理确定。计算水位应根据施工期间可能出现的最高水位选取。</w:t>
      </w:r>
    </w:p>
    <w:p>
      <w:pPr>
        <w:widowControl w:val="0"/>
        <w:spacing w:line="480" w:lineRule="exact"/>
        <w:rPr>
          <w:rFonts w:ascii="Times New Roman" w:hAnsi="Times New Roman"/>
        </w:rPr>
      </w:pPr>
      <w:r>
        <w:rPr>
          <w:rFonts w:ascii="Times New Roman" w:hAnsi="Times New Roman"/>
          <w:b/>
        </w:rPr>
        <w:t>5.4.2</w:t>
      </w:r>
      <w:r>
        <w:rPr>
          <w:rFonts w:ascii="Times New Roman" w:hAnsi="Times New Roman"/>
        </w:rPr>
        <w:t xml:space="preserve"> </w:t>
      </w:r>
      <w:r>
        <w:rPr>
          <w:rFonts w:hint="eastAsia" w:ascii="Times New Roman" w:hAnsi="Times New Roman"/>
        </w:rPr>
        <w:t>作用于支护结构上的主动土压力、被动土压力可采用朗肯或库伦土压力理论计算，有成熟经验也可采用其它计算方法。当对支护结构的水平位移要严格限制时，宜采用静止土压力计算。</w:t>
      </w:r>
    </w:p>
    <w:p>
      <w:pPr>
        <w:pStyle w:val="3"/>
        <w:bidi w:val="0"/>
      </w:pPr>
      <w:bookmarkStart w:id="256" w:name="_Toc11968"/>
      <w:bookmarkStart w:id="257" w:name="_Toc388643545"/>
      <w:bookmarkStart w:id="258" w:name="_Toc388643428"/>
      <w:bookmarkStart w:id="259" w:name="_Toc8000"/>
      <w:bookmarkStart w:id="260" w:name="_Toc27090"/>
      <w:r>
        <w:t xml:space="preserve">5.5  </w:t>
      </w:r>
      <w:r>
        <w:rPr>
          <w:rFonts w:hint="eastAsia"/>
        </w:rPr>
        <w:t>水平荷载</w:t>
      </w:r>
      <w:bookmarkEnd w:id="256"/>
      <w:bookmarkEnd w:id="257"/>
      <w:bookmarkEnd w:id="258"/>
      <w:bookmarkEnd w:id="259"/>
      <w:bookmarkEnd w:id="260"/>
    </w:p>
    <w:p>
      <w:pPr>
        <w:widowControl w:val="0"/>
        <w:spacing w:line="480" w:lineRule="exact"/>
        <w:rPr>
          <w:rFonts w:ascii="Times New Roman" w:hAnsi="Times New Roman"/>
        </w:rPr>
      </w:pPr>
      <w:r>
        <w:rPr>
          <w:rFonts w:ascii="Times New Roman" w:hAnsi="Times New Roman"/>
          <w:b/>
        </w:rPr>
        <w:t xml:space="preserve">5.5.1 </w:t>
      </w:r>
      <w:r>
        <w:rPr>
          <w:rFonts w:hint="eastAsia" w:ascii="Times New Roman" w:hAnsi="Times New Roman"/>
        </w:rPr>
        <w:t>一般情况下，主动土压力强度标准值、被动土压力强度标准值宜根据朗肯土压力理论按下列公式计算（图</w:t>
      </w:r>
      <w:r>
        <w:rPr>
          <w:rFonts w:ascii="Times New Roman" w:hAnsi="Times New Roman"/>
        </w:rPr>
        <w:t>5.5.</w:t>
      </w:r>
      <w:r>
        <w:rPr>
          <w:rFonts w:hint="eastAsia" w:ascii="Times New Roman" w:hAnsi="Times New Roman"/>
        </w:rPr>
        <w:t>1）：</w:t>
      </w:r>
    </w:p>
    <w:p>
      <w:pPr>
        <w:widowControl w:val="0"/>
        <w:spacing w:line="480" w:lineRule="exact"/>
        <w:ind w:firstLine="480" w:firstLineChars="200"/>
        <w:rPr>
          <w:rFonts w:hint="eastAsia" w:ascii="Times New Roman" w:hAnsi="Times New Roman"/>
        </w:rPr>
      </w:pPr>
      <w:bookmarkStart w:id="261" w:name="_Toc31636"/>
      <w:bookmarkStart w:id="262" w:name="_Toc3926"/>
      <w:r>
        <w:rPr>
          <w:rFonts w:hint="eastAsia" w:ascii="Times New Roman" w:hAnsi="Times New Roman"/>
        </w:rPr>
        <w:t>1 对于地下水位以上或水土合算的土层</w:t>
      </w:r>
      <w:bookmarkEnd w:id="261"/>
      <w:bookmarkEnd w:id="262"/>
    </w:p>
    <w:tbl>
      <w:tblPr>
        <w:tblStyle w:val="32"/>
        <w:tblW w:w="0" w:type="auto"/>
        <w:tblInd w:w="0" w:type="dxa"/>
        <w:tblLayout w:type="fixed"/>
        <w:tblCellMar>
          <w:top w:w="0" w:type="dxa"/>
          <w:left w:w="108" w:type="dxa"/>
          <w:bottom w:w="0" w:type="dxa"/>
          <w:right w:w="108" w:type="dxa"/>
        </w:tblCellMar>
      </w:tblPr>
      <w:tblGrid>
        <w:gridCol w:w="5495"/>
        <w:gridCol w:w="4359"/>
      </w:tblGrid>
      <w:tr>
        <w:tblPrEx>
          <w:tblCellMar>
            <w:top w:w="0" w:type="dxa"/>
            <w:left w:w="108" w:type="dxa"/>
            <w:bottom w:w="0" w:type="dxa"/>
            <w:right w:w="108" w:type="dxa"/>
          </w:tblCellMar>
        </w:tblPrEx>
        <w:tc>
          <w:tcPr>
            <w:tcW w:w="5495" w:type="dxa"/>
          </w:tcPr>
          <w:p>
            <w:pPr>
              <w:widowControl w:val="0"/>
              <w:spacing w:line="360" w:lineRule="auto"/>
              <w:ind w:right="120"/>
              <w:jc w:val="right"/>
              <w:rPr>
                <w:rFonts w:ascii="Times New Roman" w:hAnsi="Times New Roman"/>
                <w:color w:val="FF0000"/>
                <w:position w:val="-16"/>
              </w:rPr>
            </w:pPr>
            <w:r>
              <w:rPr>
                <w:rFonts w:ascii="Times New Roman" w:hAnsi="Times New Roman"/>
                <w:color w:val="FF0000"/>
                <w:position w:val="-16"/>
              </w:rPr>
              <w:object>
                <v:shape id="_x0000_i1025" o:spt="75" type="#_x0000_t75" style="height:22.15pt;width:117.1pt;" o:ole="t" filled="f" coordsize="21600,21600">
                  <v:path/>
                  <v:fill on="f" focussize="0,0"/>
                  <v:stroke/>
                  <v:imagedata r:id="rId84" o:title=""/>
                  <o:lock v:ext="edit" aspectratio="t"/>
                  <w10:wrap type="none"/>
                  <w10:anchorlock/>
                </v:shape>
                <o:OLEObject Type="Embed" ProgID="Equation.3" ShapeID="_x0000_i1025" DrawAspect="Content" ObjectID="_1468075725" r:id="rId83">
                  <o:LockedField>false</o:LockedField>
                </o:OLEObject>
              </w:object>
            </w:r>
          </w:p>
        </w:tc>
        <w:tc>
          <w:tcPr>
            <w:tcW w:w="4359" w:type="dxa"/>
            <w:vAlign w:val="center"/>
          </w:tcPr>
          <w:p>
            <w:pPr>
              <w:widowControl w:val="0"/>
              <w:jc w:val="right"/>
              <w:rPr>
                <w:rFonts w:ascii="Times New Roman" w:hAnsi="Times New Roman"/>
                <w:position w:val="-16"/>
              </w:rPr>
            </w:pPr>
            <w:r>
              <w:rPr>
                <w:rFonts w:hint="eastAsia" w:ascii="Times New Roman" w:hAnsi="Times New Roman"/>
              </w:rPr>
              <w:t>（</w:t>
            </w:r>
            <w:r>
              <w:rPr>
                <w:rFonts w:ascii="Times New Roman" w:hAnsi="Times New Roman"/>
              </w:rPr>
              <w:t>5.5.1-1</w:t>
            </w:r>
            <w:r>
              <w:rPr>
                <w:rFonts w:hint="eastAsia" w:ascii="Times New Roman" w:hAnsi="Times New Roman"/>
              </w:rPr>
              <w:t>）</w:t>
            </w:r>
          </w:p>
        </w:tc>
      </w:tr>
      <w:tr>
        <w:tblPrEx>
          <w:tblCellMar>
            <w:top w:w="0" w:type="dxa"/>
            <w:left w:w="108" w:type="dxa"/>
            <w:bottom w:w="0" w:type="dxa"/>
            <w:right w:w="108" w:type="dxa"/>
          </w:tblCellMar>
        </w:tblPrEx>
        <w:trPr>
          <w:trHeight w:val="698" w:hRule="atLeast"/>
        </w:trPr>
        <w:tc>
          <w:tcPr>
            <w:tcW w:w="5495" w:type="dxa"/>
          </w:tcPr>
          <w:p>
            <w:pPr>
              <w:widowControl w:val="0"/>
              <w:spacing w:line="276" w:lineRule="auto"/>
              <w:ind w:right="283"/>
              <w:jc w:val="right"/>
              <w:rPr>
                <w:rFonts w:ascii="Times New Roman" w:hAnsi="Times New Roman"/>
                <w:color w:val="FF0000"/>
              </w:rPr>
            </w:pPr>
            <w:r>
              <w:rPr>
                <w:rFonts w:ascii="Times New Roman" w:hAnsi="Times New Roman"/>
                <w:color w:val="FF0000"/>
                <w:position w:val="-24"/>
              </w:rPr>
              <w:object>
                <v:shape id="_x0000_i1026" o:spt="75" type="#_x0000_t75" style="height:30.85pt;width:102.05pt;" o:ole="t" filled="f" coordsize="21600,21600">
                  <v:path/>
                  <v:fill on="f" focussize="0,0"/>
                  <v:stroke/>
                  <v:imagedata r:id="rId86" o:title=""/>
                  <o:lock v:ext="edit" aspectratio="t"/>
                  <w10:wrap type="none"/>
                  <w10:anchorlock/>
                </v:shape>
                <o:OLEObject Type="Embed" ProgID="Equation.3" ShapeID="_x0000_i1026" DrawAspect="Content" ObjectID="_1468075726" r:id="rId85">
                  <o:LockedField>false</o:LockedField>
                </o:OLEObject>
              </w:object>
            </w:r>
          </w:p>
        </w:tc>
        <w:tc>
          <w:tcPr>
            <w:tcW w:w="4359" w:type="dxa"/>
            <w:vAlign w:val="center"/>
          </w:tcPr>
          <w:p>
            <w:pPr>
              <w:widowControl w:val="0"/>
              <w:jc w:val="right"/>
              <w:rPr>
                <w:rFonts w:ascii="Times New Roman" w:hAnsi="Times New Roman"/>
              </w:rPr>
            </w:pPr>
            <w:r>
              <w:rPr>
                <w:rFonts w:hint="eastAsia" w:ascii="Times New Roman" w:hAnsi="Times New Roman"/>
                <w:szCs w:val="28"/>
              </w:rPr>
              <w:t>（</w:t>
            </w:r>
            <w:r>
              <w:rPr>
                <w:rFonts w:ascii="Times New Roman" w:hAnsi="Times New Roman"/>
                <w:szCs w:val="28"/>
              </w:rPr>
              <w:t>5.5.1-2</w:t>
            </w:r>
            <w:r>
              <w:rPr>
                <w:rFonts w:hint="eastAsia" w:ascii="Times New Roman" w:hAnsi="Times New Roman"/>
                <w:szCs w:val="28"/>
              </w:rPr>
              <w:t>）</w:t>
            </w:r>
          </w:p>
        </w:tc>
      </w:tr>
      <w:tr>
        <w:tblPrEx>
          <w:tblCellMar>
            <w:top w:w="0" w:type="dxa"/>
            <w:left w:w="108" w:type="dxa"/>
            <w:bottom w:w="0" w:type="dxa"/>
            <w:right w:w="108" w:type="dxa"/>
          </w:tblCellMar>
        </w:tblPrEx>
        <w:tc>
          <w:tcPr>
            <w:tcW w:w="5495" w:type="dxa"/>
          </w:tcPr>
          <w:p>
            <w:pPr>
              <w:widowControl w:val="0"/>
              <w:spacing w:line="276" w:lineRule="auto"/>
              <w:ind w:right="48" w:rightChars="20"/>
              <w:jc w:val="right"/>
              <w:rPr>
                <w:rFonts w:ascii="Times New Roman" w:hAnsi="Times New Roman"/>
                <w:color w:val="FF0000"/>
              </w:rPr>
            </w:pPr>
            <w:r>
              <w:rPr>
                <w:rFonts w:ascii="Times New Roman" w:hAnsi="Times New Roman"/>
                <w:color w:val="FF0000"/>
                <w:position w:val="-16"/>
              </w:rPr>
              <w:object>
                <v:shape id="_x0000_i1027" o:spt="75" type="#_x0000_t75" style="height:22.15pt;width:118.7pt;" o:ole="t" filled="f" coordsize="21600,21600">
                  <v:path/>
                  <v:fill on="f" focussize="0,0"/>
                  <v:stroke/>
                  <v:imagedata r:id="rId88" o:title=""/>
                  <o:lock v:ext="edit" aspectratio="t"/>
                  <w10:wrap type="none"/>
                  <w10:anchorlock/>
                </v:shape>
                <o:OLEObject Type="Embed" ProgID="Equation.3" ShapeID="_x0000_i1027" DrawAspect="Content" ObjectID="_1468075727" r:id="rId87">
                  <o:LockedField>false</o:LockedField>
                </o:OLEObject>
              </w:object>
            </w:r>
          </w:p>
        </w:tc>
        <w:tc>
          <w:tcPr>
            <w:tcW w:w="4359" w:type="dxa"/>
            <w:vAlign w:val="center"/>
          </w:tcPr>
          <w:p>
            <w:pPr>
              <w:widowControl w:val="0"/>
              <w:jc w:val="right"/>
              <w:rPr>
                <w:rFonts w:ascii="Times New Roman" w:hAnsi="Times New Roman"/>
              </w:rPr>
            </w:pPr>
            <w:r>
              <w:rPr>
                <w:rFonts w:hint="eastAsia" w:ascii="Times New Roman" w:hAnsi="Times New Roman"/>
              </w:rPr>
              <w:t>（</w:t>
            </w:r>
            <w:r>
              <w:rPr>
                <w:rFonts w:ascii="Times New Roman" w:hAnsi="Times New Roman"/>
              </w:rPr>
              <w:t>5.5.1-3</w:t>
            </w:r>
            <w:r>
              <w:rPr>
                <w:rFonts w:hint="eastAsia" w:ascii="Times New Roman" w:hAnsi="Times New Roman"/>
              </w:rPr>
              <w:t>）</w:t>
            </w:r>
          </w:p>
        </w:tc>
      </w:tr>
      <w:tr>
        <w:tblPrEx>
          <w:tblCellMar>
            <w:top w:w="0" w:type="dxa"/>
            <w:left w:w="108" w:type="dxa"/>
            <w:bottom w:w="0" w:type="dxa"/>
            <w:right w:w="108" w:type="dxa"/>
          </w:tblCellMar>
        </w:tblPrEx>
        <w:tc>
          <w:tcPr>
            <w:tcW w:w="5495" w:type="dxa"/>
          </w:tcPr>
          <w:p>
            <w:pPr>
              <w:widowControl w:val="0"/>
              <w:spacing w:line="276" w:lineRule="auto"/>
              <w:ind w:right="280"/>
              <w:jc w:val="right"/>
              <w:rPr>
                <w:rFonts w:ascii="Times New Roman" w:hAnsi="Times New Roman"/>
                <w:color w:val="FF0000"/>
              </w:rPr>
            </w:pPr>
            <w:r>
              <w:rPr>
                <w:rFonts w:ascii="Times New Roman" w:hAnsi="Times New Roman"/>
                <w:color w:val="FF0000"/>
                <w:position w:val="-24"/>
                <w:sz w:val="28"/>
                <w:szCs w:val="28"/>
              </w:rPr>
              <w:object>
                <v:shape id="_x0000_i1028" o:spt="75" type="#_x0000_t75" style="height:30.85pt;width:102.05pt;" o:ole="t" filled="f" coordsize="21600,21600">
                  <v:path/>
                  <v:fill on="f" focussize="0,0"/>
                  <v:stroke/>
                  <v:imagedata r:id="rId90" o:title=""/>
                  <o:lock v:ext="edit" aspectratio="t"/>
                  <w10:wrap type="none"/>
                  <w10:anchorlock/>
                </v:shape>
                <o:OLEObject Type="Embed" ProgID="Equation.3" ShapeID="_x0000_i1028" DrawAspect="Content" ObjectID="_1468075728" r:id="rId89">
                  <o:LockedField>false</o:LockedField>
                </o:OLEObject>
              </w:object>
            </w:r>
          </w:p>
        </w:tc>
        <w:tc>
          <w:tcPr>
            <w:tcW w:w="4359" w:type="dxa"/>
            <w:vAlign w:val="center"/>
          </w:tcPr>
          <w:p>
            <w:pPr>
              <w:widowControl w:val="0"/>
              <w:jc w:val="right"/>
              <w:rPr>
                <w:rFonts w:ascii="Times New Roman" w:hAnsi="Times New Roman"/>
              </w:rPr>
            </w:pPr>
            <w:r>
              <w:rPr>
                <w:rFonts w:hint="eastAsia" w:ascii="Times New Roman" w:hAnsi="Times New Roman"/>
                <w:szCs w:val="28"/>
              </w:rPr>
              <w:t>（</w:t>
            </w:r>
            <w:r>
              <w:rPr>
                <w:rFonts w:ascii="Times New Roman" w:hAnsi="Times New Roman"/>
                <w:szCs w:val="28"/>
              </w:rPr>
              <w:t>5.5.1-4</w:t>
            </w:r>
            <w:r>
              <w:rPr>
                <w:rFonts w:hint="eastAsia" w:ascii="Times New Roman" w:hAnsi="Times New Roman"/>
                <w:szCs w:val="28"/>
              </w:rPr>
              <w:t>）</w:t>
            </w:r>
          </w:p>
        </w:tc>
      </w:tr>
    </w:tbl>
    <w:p>
      <w:pPr>
        <w:widowControl w:val="0"/>
        <w:tabs>
          <w:tab w:val="left" w:pos="1620"/>
          <w:tab w:val="left" w:pos="8460"/>
        </w:tabs>
        <w:spacing w:line="480" w:lineRule="exact"/>
        <w:rPr>
          <w:rFonts w:ascii="Times New Roman" w:hAnsi="Times New Roman"/>
        </w:rPr>
      </w:pPr>
      <w:r>
        <w:rPr>
          <w:rFonts w:hint="eastAsia" w:ascii="Times New Roman" w:hAnsi="Times New Roman"/>
        </w:rPr>
        <w:t xml:space="preserve">式中： </w:t>
      </w:r>
      <w:r>
        <w:rPr>
          <w:rFonts w:hint="eastAsia" w:ascii="Times New Roman" w:hAnsi="Times New Roman"/>
          <w:color w:val="FF0000"/>
          <w:position w:val="-12"/>
        </w:rPr>
        <w:object>
          <v:shape id="_x0000_i1029" o:spt="75" type="#_x0000_t75" style="height:18.2pt;width:18.2pt;" o:ole="t" filled="f" coordsize="21600,21600">
            <v:path/>
            <v:fill on="f" focussize="0,0"/>
            <v:stroke/>
            <v:imagedata r:id="rId92" o:title=""/>
            <o:lock v:ext="edit" aspectratio="t"/>
            <w10:wrap type="none"/>
            <w10:anchorlock/>
          </v:shape>
          <o:OLEObject Type="Embed" ProgID="Equation.3" ShapeID="_x0000_i1029" DrawAspect="Content" ObjectID="_1468075729" r:id="rId91">
            <o:LockedField>false</o:LockedField>
          </o:OLEObject>
        </w:object>
      </w:r>
      <w:r>
        <w:rPr>
          <w:rFonts w:ascii="Times New Roman" w:hAnsi="Times New Roman"/>
          <w:szCs w:val="24"/>
        </w:rPr>
        <w:t>——</w:t>
      </w:r>
      <w:r>
        <w:rPr>
          <w:rFonts w:hint="eastAsia" w:ascii="Times New Roman" w:hAnsi="Times New Roman"/>
        </w:rPr>
        <w:t>支护结构外侧，第</w:t>
      </w:r>
      <w:r>
        <w:rPr>
          <w:rFonts w:ascii="Times New Roman" w:hAnsi="Times New Roman"/>
          <w:i/>
          <w:iCs/>
        </w:rPr>
        <w:t>i</w:t>
      </w:r>
      <w:r>
        <w:rPr>
          <w:rFonts w:hint="eastAsia" w:ascii="Times New Roman" w:hAnsi="Times New Roman"/>
        </w:rPr>
        <w:t>层土中计算点的主动土压力强度标准值</w:t>
      </w:r>
      <w:r>
        <w:rPr>
          <w:rFonts w:ascii="Times New Roman" w:hAnsi="Times New Roman"/>
        </w:rPr>
        <w:t>(kPa)</w:t>
      </w:r>
      <w:r>
        <w:rPr>
          <w:rFonts w:hint="eastAsia" w:ascii="Times New Roman" w:hAnsi="Times New Roman"/>
        </w:rPr>
        <w:t>；</w:t>
      </w:r>
    </w:p>
    <w:p>
      <w:pPr>
        <w:widowControl w:val="0"/>
        <w:spacing w:line="480" w:lineRule="exact"/>
        <w:ind w:left="1680" w:leftChars="700"/>
        <w:rPr>
          <w:rFonts w:ascii="Times New Roman" w:hAnsi="Times New Roman"/>
        </w:rPr>
      </w:pPr>
      <w:r>
        <w:rPr>
          <w:rFonts w:hint="eastAsia" w:ascii="Times New Roman" w:hAnsi="Times New Roman"/>
        </w:rPr>
        <w:t>当</w:t>
      </w:r>
      <w:r>
        <w:rPr>
          <w:rFonts w:hint="eastAsia" w:ascii="Times New Roman" w:hAnsi="Times New Roman"/>
          <w:color w:val="FF0000"/>
          <w:position w:val="-12"/>
        </w:rPr>
        <w:object>
          <v:shape id="_x0000_i1030" o:spt="75" type="#_x0000_t75" style="height:18.2pt;width:18.2pt;" o:ole="t" filled="f" coordsize="21600,21600">
            <v:path/>
            <v:fill on="f" focussize="0,0"/>
            <v:stroke/>
            <v:imagedata r:id="rId92" o:title=""/>
            <o:lock v:ext="edit" aspectratio="t"/>
            <w10:wrap type="none"/>
            <w10:anchorlock/>
          </v:shape>
          <o:OLEObject Type="Embed" ProgID="Equation.3" ShapeID="_x0000_i1030" DrawAspect="Content" ObjectID="_1468075730" r:id="rId93">
            <o:LockedField>false</o:LockedField>
          </o:OLEObject>
        </w:object>
      </w:r>
      <w:r>
        <w:rPr>
          <w:rFonts w:ascii="Times New Roman" w:hAnsi="Times New Roman"/>
        </w:rPr>
        <w:t>&lt;0</w:t>
      </w:r>
      <w:r>
        <w:rPr>
          <w:rFonts w:hint="eastAsia" w:ascii="Times New Roman" w:hAnsi="Times New Roman"/>
        </w:rPr>
        <w:t>时应取</w:t>
      </w:r>
      <w:r>
        <w:rPr>
          <w:rFonts w:hint="eastAsia" w:ascii="Times New Roman" w:hAnsi="Times New Roman"/>
          <w:color w:val="FF0000"/>
          <w:position w:val="-12"/>
        </w:rPr>
        <w:object>
          <v:shape id="_x0000_i1031" o:spt="75" type="#_x0000_t75" style="height:18.2pt;width:18.2pt;" o:ole="t" filled="f" coordsize="21600,21600">
            <v:path/>
            <v:fill on="f" focussize="0,0"/>
            <v:stroke/>
            <v:imagedata r:id="rId92" o:title=""/>
            <o:lock v:ext="edit" aspectratio="t"/>
            <w10:wrap type="none"/>
            <w10:anchorlock/>
          </v:shape>
          <o:OLEObject Type="Embed" ProgID="Equation.3" ShapeID="_x0000_i1031" DrawAspect="Content" ObjectID="_1468075731" r:id="rId94">
            <o:LockedField>false</o:LockedField>
          </o:OLEObject>
        </w:object>
      </w:r>
      <w:r>
        <w:rPr>
          <w:rFonts w:hint="eastAsia" w:ascii="Times New Roman" w:hAnsi="Times New Roman"/>
        </w:rPr>
        <w:t>＝</w:t>
      </w:r>
      <w:r>
        <w:rPr>
          <w:rFonts w:ascii="Times New Roman" w:hAnsi="Times New Roman"/>
        </w:rPr>
        <w:t>0</w:t>
      </w:r>
      <w:r>
        <w:rPr>
          <w:rFonts w:hint="eastAsia" w:ascii="Times New Roman" w:hAnsi="Times New Roman"/>
        </w:rPr>
        <w:t>；</w:t>
      </w:r>
    </w:p>
    <w:p>
      <w:pPr>
        <w:widowControl w:val="0"/>
        <w:spacing w:line="480" w:lineRule="exact"/>
        <w:ind w:left="329" w:leftChars="137"/>
        <w:jc w:val="left"/>
        <w:rPr>
          <w:rFonts w:ascii="Times New Roman" w:hAnsi="Times New Roman"/>
        </w:rPr>
      </w:pPr>
      <w:r>
        <w:rPr>
          <w:rFonts w:ascii="Times New Roman" w:hAnsi="Times New Roman"/>
          <w:i/>
          <w:position w:val="-14"/>
        </w:rPr>
        <w:object>
          <v:shape id="_x0000_i1032" o:spt="75" type="#_x0000_t75" style="height:19pt;width:45.9pt;" o:ole="t" filled="f" coordsize="21600,21600">
            <v:path/>
            <v:fill on="f" focussize="0,0"/>
            <v:stroke/>
            <v:imagedata r:id="rId96" o:title=""/>
            <o:lock v:ext="edit" aspectratio="t"/>
            <w10:wrap type="none"/>
            <w10:anchorlock/>
          </v:shape>
          <o:OLEObject Type="Embed" ProgID="Equation.3" ShapeID="_x0000_i1032" DrawAspect="Content" ObjectID="_1468075732" r:id="rId95">
            <o:LockedField>false</o:LockedField>
          </o:OLEObject>
        </w:object>
      </w:r>
      <w:r>
        <w:rPr>
          <w:rFonts w:ascii="Times New Roman" w:hAnsi="Times New Roman"/>
          <w:szCs w:val="24"/>
        </w:rPr>
        <w:t>——</w:t>
      </w:r>
      <w:r>
        <w:rPr>
          <w:rFonts w:hint="eastAsia" w:ascii="Times New Roman" w:hAnsi="Times New Roman"/>
        </w:rPr>
        <w:t>分别为支护结构外侧、内侧计算点的土中竖向总应力标准值</w:t>
      </w:r>
      <w:r>
        <w:rPr>
          <w:rFonts w:ascii="Times New Roman" w:hAnsi="Times New Roman"/>
        </w:rPr>
        <w:t>(kPa)</w:t>
      </w:r>
      <w:r>
        <w:rPr>
          <w:rFonts w:hint="eastAsia" w:ascii="Times New Roman" w:hAnsi="Times New Roman"/>
        </w:rPr>
        <w:t>；</w:t>
      </w:r>
    </w:p>
    <w:p>
      <w:pPr>
        <w:widowControl w:val="0"/>
        <w:tabs>
          <w:tab w:val="left" w:pos="1365"/>
          <w:tab w:val="left" w:pos="1620"/>
          <w:tab w:val="left" w:pos="7020"/>
        </w:tabs>
        <w:spacing w:line="480" w:lineRule="exact"/>
        <w:ind w:left="329" w:leftChars="137"/>
        <w:rPr>
          <w:rFonts w:ascii="Times New Roman" w:hAnsi="Times New Roman"/>
        </w:rPr>
      </w:pPr>
      <w:r>
        <w:rPr>
          <w:rFonts w:ascii="Times New Roman" w:hAnsi="Times New Roman"/>
          <w:i/>
          <w:iCs/>
          <w:position w:val="-14"/>
        </w:rPr>
        <w:object>
          <v:shape id="_x0000_i1033" o:spt="75" type="#_x0000_t75" style="height:19pt;width:48.25pt;" o:ole="t" filled="f" coordsize="21600,21600">
            <v:path/>
            <v:fill on="f" focussize="0,0"/>
            <v:stroke/>
            <v:imagedata r:id="rId98" o:title=""/>
            <o:lock v:ext="edit" aspectratio="t"/>
            <w10:wrap type="none"/>
            <w10:anchorlock/>
          </v:shape>
          <o:OLEObject Type="Embed" ProgID="Equation.3" ShapeID="_x0000_i1033" DrawAspect="Content" ObjectID="_1468075733" r:id="rId97">
            <o:LockedField>false</o:LockedField>
          </o:OLEObject>
        </w:object>
      </w:r>
      <w:r>
        <w:rPr>
          <w:rFonts w:ascii="Times New Roman" w:hAnsi="Times New Roman"/>
          <w:szCs w:val="24"/>
        </w:rPr>
        <w:t>——</w:t>
      </w:r>
      <w:r>
        <w:rPr>
          <w:rFonts w:hint="eastAsia" w:ascii="Times New Roman" w:hAnsi="Times New Roman"/>
        </w:rPr>
        <w:t>分别为第</w:t>
      </w:r>
      <w:r>
        <w:rPr>
          <w:rFonts w:ascii="Times New Roman" w:hAnsi="Times New Roman"/>
          <w:i/>
          <w:iCs/>
        </w:rPr>
        <w:t>i</w:t>
      </w:r>
      <w:r>
        <w:rPr>
          <w:rFonts w:hint="eastAsia" w:ascii="Times New Roman" w:hAnsi="Times New Roman"/>
        </w:rPr>
        <w:t>层土的主动土压力系数、被动土压力系数；</w:t>
      </w:r>
    </w:p>
    <w:p>
      <w:pPr>
        <w:widowControl w:val="0"/>
        <w:tabs>
          <w:tab w:val="left" w:pos="812"/>
          <w:tab w:val="left" w:pos="1620"/>
          <w:tab w:val="left" w:pos="7020"/>
        </w:tabs>
        <w:spacing w:line="480" w:lineRule="exact"/>
        <w:ind w:firstLine="648" w:firstLineChars="270"/>
        <w:rPr>
          <w:rFonts w:ascii="Times New Roman" w:hAnsi="Times New Roman"/>
        </w:rPr>
      </w:pPr>
      <w:r>
        <w:rPr>
          <w:rFonts w:ascii="Times New Roman" w:hAnsi="Times New Roman"/>
          <w:i/>
          <w:iCs/>
          <w:color w:val="FF0000"/>
          <w:position w:val="-12"/>
        </w:rPr>
        <w:object>
          <v:shape id="_x0000_i1034" o:spt="75" type="#_x0000_t75" style="height:18.2pt;width:31.65pt;" o:ole="t" filled="f" coordsize="21600,21600">
            <v:path/>
            <v:fill on="f" focussize="0,0"/>
            <v:stroke/>
            <v:imagedata r:id="rId100" o:title=""/>
            <o:lock v:ext="edit" aspectratio="t"/>
            <w10:wrap type="none"/>
            <w10:anchorlock/>
          </v:shape>
          <o:OLEObject Type="Embed" ProgID="Equation.3" ShapeID="_x0000_i1034" DrawAspect="Content" ObjectID="_1468075734" r:id="rId99">
            <o:LockedField>false</o:LockedField>
          </o:OLEObject>
        </w:object>
      </w:r>
      <w:r>
        <w:rPr>
          <w:rFonts w:ascii="Times New Roman" w:hAnsi="Times New Roman"/>
          <w:szCs w:val="24"/>
        </w:rPr>
        <w:t>——</w:t>
      </w:r>
      <w:r>
        <w:rPr>
          <w:rFonts w:hint="eastAsia" w:ascii="Times New Roman" w:hAnsi="Times New Roman"/>
          <w:szCs w:val="24"/>
        </w:rPr>
        <w:t>分别为</w:t>
      </w:r>
      <w:r>
        <w:rPr>
          <w:rFonts w:hint="eastAsia" w:ascii="Times New Roman" w:hAnsi="Times New Roman"/>
        </w:rPr>
        <w:t>第</w:t>
      </w:r>
      <w:r>
        <w:rPr>
          <w:rFonts w:ascii="Times New Roman" w:hAnsi="Times New Roman"/>
          <w:i/>
          <w:iCs/>
        </w:rPr>
        <w:t>i</w:t>
      </w:r>
      <w:r>
        <w:rPr>
          <w:rFonts w:hint="eastAsia" w:ascii="Times New Roman" w:hAnsi="Times New Roman"/>
        </w:rPr>
        <w:t>层土的粘聚力</w:t>
      </w:r>
      <w:r>
        <w:rPr>
          <w:rFonts w:ascii="Times New Roman" w:hAnsi="Times New Roman"/>
        </w:rPr>
        <w:t>(kPa)</w:t>
      </w:r>
      <w:r>
        <w:rPr>
          <w:rFonts w:hint="eastAsia" w:ascii="Times New Roman" w:hAnsi="Times New Roman"/>
        </w:rPr>
        <w:t>、内摩擦角</w:t>
      </w:r>
      <w:r>
        <w:rPr>
          <w:rFonts w:ascii="Times New Roman" w:hAnsi="Times New Roman"/>
        </w:rPr>
        <w:t>(°)</w:t>
      </w:r>
      <w:r>
        <w:rPr>
          <w:rFonts w:hint="eastAsia" w:ascii="Times New Roman" w:hAnsi="Times New Roman"/>
        </w:rPr>
        <w:t>；</w:t>
      </w:r>
    </w:p>
    <w:p>
      <w:pPr>
        <w:widowControl w:val="0"/>
        <w:tabs>
          <w:tab w:val="left" w:pos="1620"/>
          <w:tab w:val="left" w:pos="7020"/>
        </w:tabs>
        <w:spacing w:line="480" w:lineRule="exact"/>
        <w:ind w:left="905" w:leftChars="377"/>
        <w:rPr>
          <w:rFonts w:ascii="Times New Roman" w:hAnsi="Times New Roman"/>
        </w:rPr>
      </w:pPr>
      <w:r>
        <w:rPr>
          <w:rFonts w:ascii="Times New Roman" w:hAnsi="Times New Roman"/>
          <w:i/>
          <w:position w:val="-14"/>
        </w:rPr>
        <w:object>
          <v:shape id="_x0000_i1035" o:spt="75" type="#_x0000_t75" style="height:19pt;width:19pt;" o:ole="t" filled="f" coordsize="21600,21600">
            <v:path/>
            <v:fill on="f" focussize="0,0"/>
            <v:stroke/>
            <v:imagedata r:id="rId102" o:title=""/>
            <o:lock v:ext="edit" aspectratio="t"/>
            <w10:wrap type="none"/>
            <w10:anchorlock/>
          </v:shape>
          <o:OLEObject Type="Embed" ProgID="Equation.3" ShapeID="_x0000_i1035" DrawAspect="Content" ObjectID="_1468075735" r:id="rId101">
            <o:LockedField>false</o:LockedField>
          </o:OLEObject>
        </w:object>
      </w:r>
      <w:r>
        <w:rPr>
          <w:rFonts w:ascii="Times New Roman" w:hAnsi="Times New Roman"/>
          <w:szCs w:val="24"/>
        </w:rPr>
        <w:t>——</w:t>
      </w:r>
      <w:r>
        <w:rPr>
          <w:rFonts w:hint="eastAsia" w:ascii="Times New Roman" w:hAnsi="Times New Roman"/>
        </w:rPr>
        <w:t>支护结构内侧，第</w:t>
      </w:r>
      <w:r>
        <w:rPr>
          <w:rFonts w:hint="eastAsia" w:ascii="Times New Roman" w:hAnsi="Times New Roman"/>
          <w:i/>
          <w:iCs/>
        </w:rPr>
        <w:t>i</w:t>
      </w:r>
      <w:r>
        <w:rPr>
          <w:rFonts w:hint="eastAsia" w:ascii="Times New Roman" w:hAnsi="Times New Roman"/>
        </w:rPr>
        <w:t>层土中计算点的被动土压力强度标准值</w:t>
      </w:r>
      <w:r>
        <w:rPr>
          <w:rFonts w:ascii="Times New Roman" w:hAnsi="Times New Roman"/>
        </w:rPr>
        <w:t>(kPa)</w:t>
      </w:r>
      <w:r>
        <w:rPr>
          <w:rFonts w:hint="eastAsia" w:ascii="Times New Roman" w:hAnsi="Times New Roman"/>
        </w:rPr>
        <w:t>。</w:t>
      </w:r>
    </w:p>
    <w:p>
      <w:pPr>
        <w:widowControl w:val="0"/>
        <w:tabs>
          <w:tab w:val="left" w:pos="1620"/>
          <w:tab w:val="left" w:pos="7020"/>
        </w:tabs>
        <w:jc w:val="center"/>
      </w:pPr>
      <w:r>
        <w:drawing>
          <wp:inline distT="0" distB="0" distL="0" distR="0">
            <wp:extent cx="2560320" cy="2148840"/>
            <wp:effectExtent l="0" t="0" r="0" b="0"/>
            <wp:docPr id="351" name="图片 3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true" noChangeArrowheads="true"/>
                    </pic:cNvPicPr>
                  </pic:nvPicPr>
                  <pic:blipFill>
                    <a:blip r:embed="rId103">
                      <a:extLst>
                        <a:ext uri="{28A0092B-C50C-407E-A947-70E740481C1C}">
                          <a14:useLocalDpi xmlns:a14="http://schemas.microsoft.com/office/drawing/2010/main" val="false"/>
                        </a:ext>
                      </a:extLst>
                    </a:blip>
                    <a:srcRect/>
                    <a:stretch>
                      <a:fillRect/>
                    </a:stretch>
                  </pic:blipFill>
                  <pic:spPr>
                    <a:xfrm>
                      <a:off x="0" y="0"/>
                      <a:ext cx="2560320" cy="2148840"/>
                    </a:xfrm>
                    <a:prstGeom prst="rect">
                      <a:avLst/>
                    </a:prstGeom>
                    <a:noFill/>
                    <a:ln>
                      <a:noFill/>
                    </a:ln>
                    <a:effectLst/>
                  </pic:spPr>
                </pic:pic>
              </a:graphicData>
            </a:graphic>
          </wp:inline>
        </w:drawing>
      </w:r>
    </w:p>
    <w:p>
      <w:pPr>
        <w:widowControl w:val="0"/>
        <w:tabs>
          <w:tab w:val="left" w:pos="1620"/>
          <w:tab w:val="left" w:pos="7020"/>
        </w:tabs>
        <w:jc w:val="center"/>
      </w:pPr>
      <w:r>
        <w:rPr>
          <w:rFonts w:hint="eastAsia" w:ascii="Times New Roman" w:hAnsi="Times New Roman"/>
          <w:b/>
          <w:bCs/>
          <w:sz w:val="21"/>
          <w:szCs w:val="21"/>
        </w:rPr>
        <w:t>图</w:t>
      </w:r>
      <w:r>
        <w:rPr>
          <w:rFonts w:ascii="Times New Roman" w:hAnsi="Times New Roman"/>
          <w:b/>
          <w:bCs/>
          <w:sz w:val="21"/>
          <w:szCs w:val="21"/>
        </w:rPr>
        <w:t xml:space="preserve">5.5.1 </w:t>
      </w:r>
      <w:r>
        <w:rPr>
          <w:rFonts w:hint="eastAsia" w:ascii="Times New Roman" w:hAnsi="Times New Roman"/>
          <w:b/>
          <w:bCs/>
          <w:sz w:val="21"/>
          <w:szCs w:val="21"/>
        </w:rPr>
        <w:t xml:space="preserve"> 土压力计算</w:t>
      </w:r>
    </w:p>
    <w:p>
      <w:pPr>
        <w:widowControl w:val="0"/>
        <w:spacing w:line="480" w:lineRule="exact"/>
        <w:ind w:firstLine="480" w:firstLineChars="200"/>
        <w:rPr>
          <w:rFonts w:ascii="Times New Roman" w:hAnsi="Times New Roman"/>
        </w:rPr>
      </w:pPr>
      <w:r>
        <w:rPr>
          <w:rFonts w:ascii="Times New Roman" w:hAnsi="Times New Roman"/>
        </w:rPr>
        <w:t xml:space="preserve">2 </w:t>
      </w:r>
      <w:r>
        <w:rPr>
          <w:rFonts w:hint="eastAsia" w:ascii="Times New Roman" w:hAnsi="Times New Roman"/>
        </w:rPr>
        <w:t>对于水土分算的土层</w:t>
      </w:r>
    </w:p>
    <w:tbl>
      <w:tblPr>
        <w:tblStyle w:val="32"/>
        <w:tblW w:w="0" w:type="auto"/>
        <w:tblInd w:w="0" w:type="dxa"/>
        <w:tblLayout w:type="fixed"/>
        <w:tblCellMar>
          <w:top w:w="0" w:type="dxa"/>
          <w:left w:w="108" w:type="dxa"/>
          <w:bottom w:w="0" w:type="dxa"/>
          <w:right w:w="108" w:type="dxa"/>
        </w:tblCellMar>
      </w:tblPr>
      <w:tblGrid>
        <w:gridCol w:w="5654"/>
        <w:gridCol w:w="4200"/>
      </w:tblGrid>
      <w:tr>
        <w:tblPrEx>
          <w:tblCellMar>
            <w:top w:w="0" w:type="dxa"/>
            <w:left w:w="108" w:type="dxa"/>
            <w:bottom w:w="0" w:type="dxa"/>
            <w:right w:w="108" w:type="dxa"/>
          </w:tblCellMar>
        </w:tblPrEx>
        <w:tc>
          <w:tcPr>
            <w:tcW w:w="5654" w:type="dxa"/>
          </w:tcPr>
          <w:p>
            <w:pPr>
              <w:widowControl w:val="0"/>
              <w:tabs>
                <w:tab w:val="left" w:pos="2072"/>
                <w:tab w:val="right" w:pos="8460"/>
              </w:tabs>
              <w:jc w:val="right"/>
              <w:rPr>
                <w:rFonts w:ascii="Times New Roman" w:hAnsi="Times New Roman"/>
                <w:position w:val="-16"/>
                <w:sz w:val="28"/>
                <w:szCs w:val="28"/>
              </w:rPr>
            </w:pPr>
            <w:r>
              <w:rPr>
                <w:rFonts w:ascii="Times New Roman" w:hAnsi="Times New Roman"/>
                <w:position w:val="-16"/>
                <w:sz w:val="28"/>
                <w:szCs w:val="28"/>
              </w:rPr>
              <w:object>
                <v:shape id="_x0000_i1036" o:spt="75" type="#_x0000_t75" style="height:22.15pt;width:166.95pt;" o:ole="t" filled="f" coordsize="21600,21600">
                  <v:path/>
                  <v:fill on="f" focussize="0,0"/>
                  <v:stroke/>
                  <v:imagedata r:id="rId105" o:title=""/>
                  <o:lock v:ext="edit" aspectratio="t"/>
                  <w10:wrap type="none"/>
                  <w10:anchorlock/>
                </v:shape>
                <o:OLEObject Type="Embed" ProgID="Equation.3" ShapeID="_x0000_i1036" DrawAspect="Content" ObjectID="_1468075736" r:id="rId104">
                  <o:LockedField>false</o:LockedField>
                </o:OLEObject>
              </w:object>
            </w:r>
            <w:r>
              <w:rPr>
                <w:rFonts w:ascii="Times New Roman" w:hAnsi="Times New Roman"/>
                <w:sz w:val="28"/>
                <w:szCs w:val="28"/>
              </w:rPr>
              <w:t xml:space="preserve"> </w:t>
            </w:r>
          </w:p>
        </w:tc>
        <w:tc>
          <w:tcPr>
            <w:tcW w:w="4200" w:type="dxa"/>
          </w:tcPr>
          <w:p>
            <w:pPr>
              <w:widowControl w:val="0"/>
              <w:tabs>
                <w:tab w:val="left" w:pos="2072"/>
                <w:tab w:val="right" w:pos="8460"/>
              </w:tabs>
              <w:spacing w:line="480" w:lineRule="auto"/>
              <w:jc w:val="right"/>
              <w:rPr>
                <w:rFonts w:ascii="Times New Roman" w:hAnsi="Times New Roman"/>
                <w:position w:val="-16"/>
                <w:sz w:val="28"/>
                <w:szCs w:val="28"/>
              </w:rPr>
            </w:pPr>
            <w:r>
              <w:rPr>
                <w:rFonts w:hint="eastAsia" w:ascii="Times New Roman" w:hAnsi="Times New Roman"/>
              </w:rPr>
              <w:t>（</w:t>
            </w:r>
            <w:r>
              <w:rPr>
                <w:rFonts w:ascii="Times New Roman" w:hAnsi="Times New Roman"/>
              </w:rPr>
              <w:t>5.5.1-5</w:t>
            </w:r>
            <w:r>
              <w:rPr>
                <w:rFonts w:hint="eastAsia" w:ascii="Times New Roman" w:hAnsi="Times New Roman"/>
              </w:rPr>
              <w:t>）</w:t>
            </w:r>
          </w:p>
        </w:tc>
      </w:tr>
      <w:tr>
        <w:tblPrEx>
          <w:tblCellMar>
            <w:top w:w="0" w:type="dxa"/>
            <w:left w:w="108" w:type="dxa"/>
            <w:bottom w:w="0" w:type="dxa"/>
            <w:right w:w="108" w:type="dxa"/>
          </w:tblCellMar>
        </w:tblPrEx>
        <w:tc>
          <w:tcPr>
            <w:tcW w:w="5654" w:type="dxa"/>
          </w:tcPr>
          <w:p>
            <w:pPr>
              <w:widowControl w:val="0"/>
              <w:tabs>
                <w:tab w:val="left" w:pos="2072"/>
                <w:tab w:val="right" w:pos="8460"/>
              </w:tabs>
              <w:jc w:val="right"/>
              <w:rPr>
                <w:rFonts w:ascii="Times New Roman" w:hAnsi="Times New Roman"/>
                <w:position w:val="-16"/>
                <w:sz w:val="28"/>
                <w:szCs w:val="28"/>
              </w:rPr>
            </w:pPr>
            <w:r>
              <w:rPr>
                <w:rFonts w:ascii="Times New Roman" w:hAnsi="Times New Roman"/>
                <w:position w:val="-16"/>
                <w:sz w:val="28"/>
                <w:szCs w:val="28"/>
              </w:rPr>
              <w:object>
                <v:shape id="_x0000_i1037" o:spt="75" type="#_x0000_t75" style="height:22.15pt;width:169.3pt;" o:ole="t" filled="f" coordsize="21600,21600">
                  <v:path/>
                  <v:fill on="f" focussize="0,0"/>
                  <v:stroke/>
                  <v:imagedata r:id="rId107" o:title=""/>
                  <o:lock v:ext="edit" aspectratio="t"/>
                  <w10:wrap type="none"/>
                  <w10:anchorlock/>
                </v:shape>
                <o:OLEObject Type="Embed" ProgID="Equation.3" ShapeID="_x0000_i1037" DrawAspect="Content" ObjectID="_1468075737" r:id="rId106">
                  <o:LockedField>false</o:LockedField>
                </o:OLEObject>
              </w:object>
            </w:r>
          </w:p>
        </w:tc>
        <w:tc>
          <w:tcPr>
            <w:tcW w:w="4200" w:type="dxa"/>
          </w:tcPr>
          <w:p>
            <w:pPr>
              <w:widowControl w:val="0"/>
              <w:tabs>
                <w:tab w:val="left" w:pos="2072"/>
                <w:tab w:val="right" w:pos="8460"/>
              </w:tabs>
              <w:spacing w:line="480" w:lineRule="auto"/>
              <w:jc w:val="right"/>
              <w:rPr>
                <w:rFonts w:ascii="Times New Roman" w:hAnsi="Times New Roman"/>
                <w:color w:val="FF0000"/>
                <w:position w:val="-16"/>
                <w:sz w:val="28"/>
                <w:szCs w:val="28"/>
              </w:rPr>
            </w:pPr>
            <w:r>
              <w:rPr>
                <w:rFonts w:hint="eastAsia" w:ascii="Times New Roman" w:hAnsi="Times New Roman"/>
              </w:rPr>
              <w:t>（</w:t>
            </w:r>
            <w:r>
              <w:rPr>
                <w:rFonts w:ascii="Times New Roman" w:hAnsi="Times New Roman"/>
              </w:rPr>
              <w:t>5.5.1-6</w:t>
            </w:r>
            <w:r>
              <w:rPr>
                <w:rFonts w:hint="eastAsia" w:ascii="Times New Roman" w:hAnsi="Times New Roman"/>
              </w:rPr>
              <w:t>）</w:t>
            </w:r>
          </w:p>
        </w:tc>
      </w:tr>
    </w:tbl>
    <w:p>
      <w:pPr>
        <w:widowControl w:val="0"/>
        <w:tabs>
          <w:tab w:val="left" w:pos="812"/>
          <w:tab w:val="left" w:pos="1620"/>
          <w:tab w:val="left" w:pos="7020"/>
        </w:tabs>
        <w:spacing w:line="480" w:lineRule="exact"/>
        <w:ind w:left="2261" w:leftChars="-1" w:hanging="2263" w:hangingChars="943"/>
        <w:rPr>
          <w:rFonts w:ascii="Times New Roman" w:hAnsi="Times New Roman"/>
        </w:rPr>
      </w:pPr>
      <w:r>
        <w:rPr>
          <w:rFonts w:hint="eastAsia" w:ascii="Times New Roman" w:hAnsi="Times New Roman"/>
        </w:rPr>
        <w:t>式中：</w:t>
      </w:r>
      <w:r>
        <w:rPr>
          <w:rFonts w:ascii="Times New Roman" w:hAnsi="Times New Roman"/>
          <w:position w:val="-14"/>
        </w:rPr>
        <w:object>
          <v:shape id="_x0000_i1038" o:spt="75" type="#_x0000_t75" style="height:19pt;width:34.8pt;" o:ole="t" filled="f" coordsize="21600,21600">
            <v:path/>
            <v:fill on="f" focussize="0,0"/>
            <v:stroke/>
            <v:imagedata r:id="rId109" o:title=""/>
            <o:lock v:ext="edit" aspectratio="t"/>
            <w10:wrap type="none"/>
            <w10:anchorlock/>
          </v:shape>
          <o:OLEObject Type="Embed" ProgID="Equation.3" ShapeID="_x0000_i1038" DrawAspect="Content" ObjectID="_1468075738" r:id="rId108">
            <o:LockedField>false</o:LockedField>
          </o:OLEObject>
        </w:object>
      </w:r>
      <w:r>
        <w:rPr>
          <w:rFonts w:ascii="Times New Roman" w:hAnsi="Times New Roman"/>
          <w:szCs w:val="24"/>
        </w:rPr>
        <w:t>——</w:t>
      </w:r>
      <w:r>
        <w:rPr>
          <w:rFonts w:hint="eastAsia" w:ascii="Times New Roman" w:hAnsi="Times New Roman"/>
        </w:rPr>
        <w:t>分别为支护结构外侧、内侧计算点的水压力</w:t>
      </w:r>
      <w:r>
        <w:rPr>
          <w:rFonts w:ascii="Times New Roman" w:hAnsi="Times New Roman"/>
        </w:rPr>
        <w:t>(kPa)。</w:t>
      </w:r>
    </w:p>
    <w:p>
      <w:pPr>
        <w:widowControl w:val="0"/>
        <w:spacing w:line="480" w:lineRule="exact"/>
        <w:ind w:firstLine="480" w:firstLineChars="200"/>
        <w:rPr>
          <w:rFonts w:ascii="Times New Roman" w:hAnsi="Times New Roman"/>
        </w:rPr>
      </w:pPr>
      <w:r>
        <w:rPr>
          <w:rFonts w:ascii="Times New Roman" w:hAnsi="Times New Roman"/>
        </w:rPr>
        <w:br w:type="page"/>
      </w:r>
      <w:r>
        <w:rPr>
          <w:rFonts w:ascii="Times New Roman" w:hAnsi="Times New Roman"/>
        </w:rPr>
        <w:t xml:space="preserve">3 </w:t>
      </w:r>
      <w:r>
        <w:rPr>
          <w:rFonts w:hint="eastAsia" w:ascii="Times New Roman" w:hAnsi="Times New Roman"/>
        </w:rPr>
        <w:t>静止土压力</w:t>
      </w:r>
    </w:p>
    <w:p>
      <w:pPr>
        <w:widowControl w:val="0"/>
        <w:spacing w:line="480" w:lineRule="exact"/>
        <w:ind w:firstLine="480" w:firstLineChars="200"/>
        <w:rPr>
          <w:rFonts w:ascii="Times New Roman" w:hAnsi="Times New Roman"/>
        </w:rPr>
      </w:pPr>
      <w:r>
        <w:rPr>
          <w:rFonts w:hint="eastAsia" w:ascii="Times New Roman" w:hAnsi="Times New Roman"/>
        </w:rPr>
        <w:t>静止土压力强度，可按下式计算：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auto"/>
              <w:jc w:val="right"/>
              <w:rPr>
                <w:rFonts w:ascii="Times New Roman" w:hAnsi="Times New Roman"/>
              </w:rPr>
            </w:pPr>
            <w:r>
              <w:rPr>
                <w:rFonts w:ascii="Times New Roman" w:hAnsi="Times New Roman"/>
                <w:position w:val="-14"/>
              </w:rPr>
              <w:object>
                <v:shape id="_x0000_i1039" o:spt="75" type="#_x0000_t75" style="height:19.8pt;width:73.6pt;" o:ole="t" filled="f" coordsize="21600,21600">
                  <v:path/>
                  <v:fill on="f" focussize="0,0"/>
                  <v:stroke/>
                  <v:imagedata r:id="rId111" o:title=""/>
                  <o:lock v:ext="edit" aspectratio="t"/>
                  <w10:wrap type="none"/>
                  <w10:anchorlock/>
                </v:shape>
                <o:OLEObject Type="Embed" ProgID="Equation.3" ShapeID="_x0000_i1039" DrawAspect="Content" ObjectID="_1468075739" r:id="rId110">
                  <o:LockedField>false</o:LockedField>
                </o:OLEObject>
              </w:object>
            </w:r>
          </w:p>
        </w:tc>
        <w:tc>
          <w:tcPr>
            <w:tcW w:w="4927" w:type="dxa"/>
          </w:tcPr>
          <w:p>
            <w:pPr>
              <w:widowControl w:val="0"/>
              <w:spacing w:line="480" w:lineRule="auto"/>
              <w:jc w:val="right"/>
              <w:rPr>
                <w:rFonts w:ascii="Times New Roman" w:hAnsi="Times New Roman"/>
              </w:rPr>
            </w:pPr>
            <w:r>
              <w:rPr>
                <w:rFonts w:hint="eastAsia" w:ascii="Times New Roman" w:hAnsi="Times New Roman"/>
              </w:rPr>
              <w:t>（</w:t>
            </w:r>
            <w:r>
              <w:rPr>
                <w:rFonts w:ascii="Times New Roman" w:hAnsi="Times New Roman"/>
              </w:rPr>
              <w:t>5.5.1-7</w:t>
            </w:r>
            <w:r>
              <w:rPr>
                <w:rFonts w:hint="eastAsia" w:ascii="Times New Roman" w:hAnsi="Times New Roman"/>
              </w:rPr>
              <w:t>）</w:t>
            </w:r>
          </w:p>
        </w:tc>
      </w:tr>
    </w:tbl>
    <w:p>
      <w:pPr>
        <w:widowControl w:val="0"/>
        <w:spacing w:line="480" w:lineRule="exact"/>
        <w:rPr>
          <w:rFonts w:ascii="Times New Roman" w:hAnsi="Times New Roman"/>
        </w:rPr>
      </w:pPr>
      <w:r>
        <w:rPr>
          <w:rFonts w:hint="eastAsia" w:ascii="Times New Roman" w:hAnsi="Times New Roman"/>
        </w:rPr>
        <w:t>式中：</w:t>
      </w:r>
      <w:r>
        <w:rPr>
          <w:rFonts w:hint="eastAsia" w:ascii="Times New Roman" w:hAnsi="Times New Roman"/>
          <w:position w:val="-12"/>
        </w:rPr>
        <w:object>
          <v:shape id="_x0000_i1040" o:spt="75" type="#_x0000_t75" style="height:18.2pt;width:15.05pt;" o:ole="t" filled="f" coordsize="21600,21600">
            <v:path/>
            <v:fill on="f" focussize="0,0"/>
            <v:stroke/>
            <v:imagedata r:id="rId113" o:title=""/>
            <o:lock v:ext="edit" aspectratio="t"/>
            <w10:wrap type="none"/>
            <w10:anchorlock/>
          </v:shape>
          <o:OLEObject Type="Embed" ProgID="Equation.3" ShapeID="_x0000_i1040" DrawAspect="Content" ObjectID="_1468075740" r:id="rId112">
            <o:LockedField>false</o:LockedField>
          </o:OLEObject>
        </w:object>
      </w:r>
      <w:r>
        <w:rPr>
          <w:rFonts w:ascii="Times New Roman" w:hAnsi="Times New Roman"/>
          <w:szCs w:val="24"/>
        </w:rPr>
        <w:t>——</w:t>
      </w:r>
      <w:r>
        <w:rPr>
          <w:rFonts w:hint="eastAsia" w:ascii="Times New Roman" w:hAnsi="Times New Roman"/>
        </w:rPr>
        <w:t>计算点处静止土压力强度标准值（</w:t>
      </w:r>
      <w:r>
        <w:rPr>
          <w:rFonts w:ascii="Times New Roman" w:hAnsi="Times New Roman"/>
        </w:rPr>
        <w:t>kPa</w:t>
      </w:r>
      <w:r>
        <w:rPr>
          <w:rFonts w:hint="eastAsia" w:ascii="Times New Roman" w:hAnsi="Times New Roman"/>
        </w:rPr>
        <w:t>）；</w:t>
      </w:r>
    </w:p>
    <w:p>
      <w:pPr>
        <w:widowControl w:val="0"/>
        <w:spacing w:line="480" w:lineRule="exact"/>
        <w:ind w:left="790" w:leftChars="329"/>
        <w:rPr>
          <w:rFonts w:ascii="Times New Roman" w:hAnsi="Times New Roman"/>
        </w:rPr>
      </w:pPr>
      <w:r>
        <w:rPr>
          <w:rFonts w:ascii="Times New Roman" w:hAnsi="Times New Roman"/>
          <w:position w:val="-12"/>
        </w:rPr>
        <w:object>
          <v:shape id="_x0000_i1041" o:spt="75" type="#_x0000_t75" style="height:18.2pt;width:11.85pt;" o:ole="t" filled="f" coordsize="21600,21600">
            <v:path/>
            <v:fill on="f" focussize="0,0"/>
            <v:stroke/>
            <v:imagedata r:id="rId115" o:title=""/>
            <o:lock v:ext="edit" aspectratio="t"/>
            <w10:wrap type="none"/>
            <w10:anchorlock/>
          </v:shape>
          <o:OLEObject Type="Embed" ProgID="Equation.3" ShapeID="_x0000_i1041" DrawAspect="Content" ObjectID="_1468075741" r:id="rId114">
            <o:LockedField>false</o:LockedField>
          </o:OLEObject>
        </w:object>
      </w:r>
      <w:r>
        <w:rPr>
          <w:rFonts w:ascii="Times New Roman" w:hAnsi="Times New Roman"/>
          <w:szCs w:val="24"/>
        </w:rPr>
        <w:t>——</w:t>
      </w:r>
      <w:r>
        <w:rPr>
          <w:rFonts w:hint="eastAsia" w:ascii="Times New Roman" w:hAnsi="Times New Roman"/>
        </w:rPr>
        <w:t>第</w:t>
      </w:r>
      <w:r>
        <w:rPr>
          <w:rFonts w:ascii="Times New Roman" w:hAnsi="Times New Roman"/>
          <w:i/>
          <w:iCs/>
        </w:rPr>
        <w:t>i</w:t>
      </w:r>
      <w:r>
        <w:rPr>
          <w:rFonts w:hint="eastAsia" w:ascii="Times New Roman" w:hAnsi="Times New Roman"/>
        </w:rPr>
        <w:t>层土的重度（</w:t>
      </w:r>
      <w:r>
        <w:rPr>
          <w:rFonts w:ascii="Times New Roman" w:hAnsi="Times New Roman"/>
        </w:rPr>
        <w:t>kN/m</w:t>
      </w:r>
      <w:r>
        <w:rPr>
          <w:rFonts w:ascii="Times New Roman" w:hAnsi="Times New Roman"/>
          <w:vertAlign w:val="superscript"/>
        </w:rPr>
        <w:t>3</w:t>
      </w:r>
      <w:r>
        <w:rPr>
          <w:rFonts w:hint="eastAsia" w:ascii="Times New Roman" w:hAnsi="Times New Roman"/>
        </w:rPr>
        <w:t>）；</w:t>
      </w:r>
    </w:p>
    <w:p>
      <w:pPr>
        <w:widowControl w:val="0"/>
        <w:spacing w:line="480" w:lineRule="exact"/>
        <w:ind w:left="790" w:leftChars="329"/>
        <w:rPr>
          <w:rFonts w:ascii="Times New Roman" w:hAnsi="Times New Roman"/>
        </w:rPr>
      </w:pPr>
      <w:r>
        <w:rPr>
          <w:rFonts w:ascii="Times New Roman" w:hAnsi="Times New Roman"/>
          <w:position w:val="-12"/>
          <w:vertAlign w:val="superscript"/>
        </w:rPr>
        <w:object>
          <v:shape id="_x0000_i1042" o:spt="75" type="#_x0000_t75" style="height:18.2pt;width:11.85pt;" o:ole="t" filled="f" coordsize="21600,21600">
            <v:path/>
            <v:fill on="f" focussize="0,0"/>
            <v:stroke/>
            <v:imagedata r:id="rId117" o:title=""/>
            <o:lock v:ext="edit" aspectratio="t"/>
            <w10:wrap type="none"/>
            <w10:anchorlock/>
          </v:shape>
          <o:OLEObject Type="Embed" ProgID="Equation.3" ShapeID="_x0000_i1042" DrawAspect="Content" ObjectID="_1468075742" r:id="rId116">
            <o:LockedField>false</o:LockedField>
          </o:OLEObject>
        </w:object>
      </w:r>
      <w:r>
        <w:rPr>
          <w:rFonts w:ascii="Times New Roman" w:hAnsi="Times New Roman"/>
          <w:szCs w:val="24"/>
        </w:rPr>
        <w:t>——</w:t>
      </w:r>
      <w:r>
        <w:rPr>
          <w:rFonts w:hint="eastAsia" w:ascii="Times New Roman" w:hAnsi="Times New Roman"/>
        </w:rPr>
        <w:t>第</w:t>
      </w:r>
      <w:r>
        <w:rPr>
          <w:rFonts w:ascii="Times New Roman" w:hAnsi="Times New Roman"/>
          <w:i/>
          <w:iCs/>
        </w:rPr>
        <w:t>i</w:t>
      </w:r>
      <w:r>
        <w:rPr>
          <w:rFonts w:hint="eastAsia" w:ascii="Times New Roman" w:hAnsi="Times New Roman"/>
        </w:rPr>
        <w:t>层土的厚度（</w:t>
      </w:r>
      <w:r>
        <w:rPr>
          <w:rFonts w:ascii="Times New Roman" w:hAnsi="Times New Roman"/>
        </w:rPr>
        <w:t>m</w:t>
      </w:r>
      <w:r>
        <w:rPr>
          <w:rFonts w:hint="eastAsia" w:ascii="Times New Roman" w:hAnsi="Times New Roman"/>
        </w:rPr>
        <w:t>）；</w:t>
      </w:r>
    </w:p>
    <w:p>
      <w:pPr>
        <w:widowControl w:val="0"/>
        <w:spacing w:line="480" w:lineRule="exact"/>
        <w:ind w:left="720" w:leftChars="300"/>
        <w:rPr>
          <w:rFonts w:ascii="Times New Roman" w:hAnsi="Times New Roman"/>
        </w:rPr>
      </w:pPr>
      <w:r>
        <w:rPr>
          <w:rFonts w:ascii="Times New Roman" w:hAnsi="Times New Roman"/>
          <w:position w:val="-12"/>
        </w:rPr>
        <w:object>
          <v:shape id="_x0000_i1043" o:spt="75" type="#_x0000_t75" style="height:18.2pt;width:16.6pt;" o:ole="t" filled="f" coordsize="21600,21600">
            <v:path/>
            <v:fill on="f" focussize="0,0"/>
            <v:stroke/>
            <v:imagedata r:id="rId119" o:title=""/>
            <o:lock v:ext="edit" aspectratio="t"/>
            <w10:wrap type="none"/>
            <w10:anchorlock/>
          </v:shape>
          <o:OLEObject Type="Embed" ProgID="Equation.3" ShapeID="_x0000_i1043" DrawAspect="Content" ObjectID="_1468075743" r:id="rId118">
            <o:LockedField>false</o:LockedField>
          </o:OLEObject>
        </w:object>
      </w:r>
      <w:r>
        <w:rPr>
          <w:rFonts w:ascii="Times New Roman" w:hAnsi="Times New Roman"/>
          <w:szCs w:val="24"/>
        </w:rPr>
        <w:t>——</w:t>
      </w:r>
      <w:r>
        <w:rPr>
          <w:rFonts w:hint="eastAsia" w:ascii="Times New Roman" w:hAnsi="Times New Roman"/>
        </w:rPr>
        <w:t>静止土压力系数。</w:t>
      </w:r>
    </w:p>
    <w:p>
      <w:pPr>
        <w:widowControl w:val="0"/>
        <w:spacing w:line="480" w:lineRule="exact"/>
        <w:rPr>
          <w:rFonts w:hint="eastAsia" w:ascii="Times New Roman" w:hAnsi="Times New Roman"/>
        </w:rPr>
      </w:pPr>
      <w:bookmarkStart w:id="263" w:name="_Toc10632"/>
      <w:bookmarkStart w:id="264" w:name="_Toc25337"/>
      <w:r>
        <w:rPr>
          <w:rFonts w:hint="eastAsia" w:ascii="Times New Roman" w:hAnsi="Times New Roman"/>
          <w:b/>
          <w:bCs/>
        </w:rPr>
        <w:t>5.5.2</w:t>
      </w:r>
      <w:r>
        <w:rPr>
          <w:rFonts w:hint="eastAsia" w:ascii="Times New Roman" w:hAnsi="Times New Roman"/>
        </w:rPr>
        <w:t xml:space="preserve"> 静止水压力计算：</w:t>
      </w:r>
      <w:bookmarkEnd w:id="263"/>
      <w:bookmarkEnd w:id="264"/>
    </w:p>
    <w:p>
      <w:pPr>
        <w:widowControl w:val="0"/>
        <w:tabs>
          <w:tab w:val="left" w:pos="1620"/>
          <w:tab w:val="left" w:pos="7020"/>
        </w:tabs>
        <w:spacing w:line="480" w:lineRule="exact"/>
        <w:ind w:firstLine="480" w:firstLineChars="200"/>
        <w:rPr>
          <w:rFonts w:ascii="Times New Roman" w:hAnsi="Times New Roman"/>
        </w:rPr>
      </w:pPr>
      <w:r>
        <w:rPr>
          <w:rFonts w:hint="eastAsia" w:ascii="Times New Roman" w:hAnsi="Times New Roman"/>
        </w:rPr>
        <w:t>地下水无渗流时，作用在支护结构上的静止水压力，对地下水位以下的砂质粉土、砂土和碎石土，在基坑内、外侧按静止水压力三角形分布计算，黏性土、黏质粉土可取零。</w:t>
      </w:r>
    </w:p>
    <w:p>
      <w:pPr>
        <w:widowControl w:val="0"/>
        <w:tabs>
          <w:tab w:val="left" w:pos="1620"/>
          <w:tab w:val="left" w:pos="7020"/>
        </w:tabs>
        <w:spacing w:line="360" w:lineRule="auto"/>
        <w:ind w:firstLine="480" w:firstLineChars="200"/>
      </w:pPr>
      <w:r>
        <w:rPr>
          <w:rFonts w:hint="eastAsia"/>
        </w:rPr>
        <w:t>地下水有稳定渗流时，对安全等级为一级的基坑，宜用流网法分析，计算作用于支护结构上的水压力。</w:t>
      </w:r>
    </w:p>
    <w:p>
      <w:pPr>
        <w:widowControl w:val="0"/>
        <w:spacing w:line="480" w:lineRule="exact"/>
        <w:rPr>
          <w:rFonts w:hint="eastAsia" w:ascii="Times New Roman" w:hAnsi="Times New Roman"/>
          <w:b w:val="0"/>
          <w:bCs w:val="0"/>
        </w:rPr>
      </w:pPr>
      <w:bookmarkStart w:id="265" w:name="_Toc22295"/>
      <w:bookmarkStart w:id="266" w:name="_Toc20623"/>
      <w:r>
        <w:rPr>
          <w:rFonts w:hint="eastAsia" w:ascii="Times New Roman" w:hAnsi="Times New Roman"/>
          <w:b/>
          <w:bCs/>
        </w:rPr>
        <w:t xml:space="preserve">5.5.3 </w:t>
      </w:r>
      <w:r>
        <w:rPr>
          <w:rFonts w:hint="eastAsia" w:ascii="Times New Roman" w:hAnsi="Times New Roman"/>
          <w:b w:val="0"/>
          <w:bCs w:val="0"/>
        </w:rPr>
        <w:t>土中竖向应力标准值应按下式计算：</w:t>
      </w:r>
      <w:bookmarkEnd w:id="265"/>
      <w:bookmarkEnd w:id="266"/>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1620"/>
                <w:tab w:val="left" w:pos="7020"/>
              </w:tabs>
              <w:spacing w:line="480" w:lineRule="exact"/>
              <w:jc w:val="right"/>
              <w:rPr>
                <w:rFonts w:ascii="Times New Roman" w:hAnsi="Times New Roman"/>
                <w:position w:val="-12"/>
              </w:rPr>
            </w:pPr>
            <w:r>
              <w:rPr>
                <w:rFonts w:ascii="Times New Roman" w:hAnsi="Times New Roman"/>
                <w:position w:val="-14"/>
              </w:rPr>
              <w:object>
                <v:shape id="_x0000_i1044" o:spt="75" type="#_x0000_t75" style="height:19.8pt;width:98.9pt;" o:ole="t" filled="f" coordsize="21600,21600">
                  <v:path/>
                  <v:fill on="f" focussize="0,0"/>
                  <v:stroke/>
                  <v:imagedata r:id="rId121" o:title=""/>
                  <o:lock v:ext="edit" aspectratio="t"/>
                  <w10:wrap type="none"/>
                  <w10:anchorlock/>
                </v:shape>
                <o:OLEObject Type="Embed" ProgID="Equation.3" ShapeID="_x0000_i1044" DrawAspect="Content" ObjectID="_1468075744" r:id="rId120">
                  <o:LockedField>false</o:LockedField>
                </o:OLEObject>
              </w:object>
            </w:r>
          </w:p>
        </w:tc>
        <w:tc>
          <w:tcPr>
            <w:tcW w:w="4927" w:type="dxa"/>
          </w:tcPr>
          <w:p>
            <w:pPr>
              <w:widowControl w:val="0"/>
              <w:tabs>
                <w:tab w:val="left" w:pos="1620"/>
                <w:tab w:val="left" w:pos="7020"/>
              </w:tabs>
              <w:spacing w:line="480" w:lineRule="exact"/>
              <w:jc w:val="right"/>
              <w:rPr>
                <w:rFonts w:ascii="Times New Roman" w:hAnsi="Times New Roman"/>
                <w:position w:val="-12"/>
              </w:rPr>
            </w:pPr>
            <w:r>
              <w:rPr>
                <w:rFonts w:hint="eastAsia" w:ascii="Times New Roman" w:hAnsi="Times New Roman"/>
              </w:rPr>
              <w:t>（</w:t>
            </w:r>
            <w:r>
              <w:rPr>
                <w:rFonts w:ascii="Times New Roman" w:hAnsi="Times New Roman"/>
              </w:rPr>
              <w:t>5.5.3-1</w:t>
            </w:r>
            <w:r>
              <w:rPr>
                <w:rFonts w:hint="eastAsia" w:ascii="Times New Roman" w:hAnsi="Times New Roman"/>
              </w:rPr>
              <w:t>）</w:t>
            </w:r>
          </w:p>
        </w:tc>
      </w:tr>
      <w:tr>
        <w:tblPrEx>
          <w:tblCellMar>
            <w:top w:w="0" w:type="dxa"/>
            <w:left w:w="108" w:type="dxa"/>
            <w:bottom w:w="0" w:type="dxa"/>
            <w:right w:w="108" w:type="dxa"/>
          </w:tblCellMar>
        </w:tblPrEx>
        <w:tc>
          <w:tcPr>
            <w:tcW w:w="4927" w:type="dxa"/>
          </w:tcPr>
          <w:p>
            <w:pPr>
              <w:widowControl w:val="0"/>
              <w:tabs>
                <w:tab w:val="left" w:pos="1620"/>
                <w:tab w:val="left" w:pos="7020"/>
              </w:tabs>
              <w:spacing w:line="480" w:lineRule="exact"/>
              <w:ind w:right="420" w:firstLine="2880" w:firstLineChars="1200"/>
              <w:jc w:val="right"/>
              <w:rPr>
                <w:rFonts w:ascii="Times New Roman" w:hAnsi="Times New Roman"/>
                <w:position w:val="-12"/>
              </w:rPr>
            </w:pPr>
            <w:r>
              <w:rPr>
                <w:rFonts w:ascii="Times New Roman" w:hAnsi="Times New Roman"/>
                <w:position w:val="-14"/>
              </w:rPr>
              <w:object>
                <v:shape id="_x0000_i1045" o:spt="75" type="#_x0000_t75" style="height:19pt;width:46.7pt;" o:ole="t" filled="f" coordsize="21600,21600">
                  <v:path/>
                  <v:fill on="f" focussize="0,0"/>
                  <v:stroke/>
                  <v:imagedata r:id="rId123" o:title=""/>
                  <o:lock v:ext="edit" aspectratio="t"/>
                  <w10:wrap type="none"/>
                  <w10:anchorlock/>
                </v:shape>
                <o:OLEObject Type="Embed" ProgID="Equation.3" ShapeID="_x0000_i1045" DrawAspect="Content" ObjectID="_1468075745" r:id="rId122">
                  <o:LockedField>false</o:LockedField>
                </o:OLEObject>
              </w:object>
            </w:r>
          </w:p>
        </w:tc>
        <w:tc>
          <w:tcPr>
            <w:tcW w:w="4927" w:type="dxa"/>
          </w:tcPr>
          <w:p>
            <w:pPr>
              <w:widowControl w:val="0"/>
              <w:tabs>
                <w:tab w:val="left" w:pos="1620"/>
                <w:tab w:val="left" w:pos="7020"/>
              </w:tabs>
              <w:spacing w:line="480" w:lineRule="exact"/>
              <w:jc w:val="right"/>
              <w:rPr>
                <w:rFonts w:ascii="Times New Roman" w:hAnsi="Times New Roman"/>
                <w:position w:val="-12"/>
              </w:rPr>
            </w:pPr>
            <w:r>
              <w:rPr>
                <w:rFonts w:hint="eastAsia" w:ascii="Times New Roman" w:hAnsi="Times New Roman"/>
              </w:rPr>
              <w:t>（</w:t>
            </w:r>
            <w:r>
              <w:rPr>
                <w:rFonts w:ascii="Times New Roman" w:hAnsi="Times New Roman"/>
              </w:rPr>
              <w:t>5.5.3-2</w:t>
            </w:r>
            <w:r>
              <w:rPr>
                <w:rFonts w:hint="eastAsia" w:ascii="Times New Roman" w:hAnsi="Times New Roman"/>
              </w:rPr>
              <w:t>）</w:t>
            </w:r>
          </w:p>
        </w:tc>
      </w:tr>
    </w:tbl>
    <w:p>
      <w:pPr>
        <w:widowControl w:val="0"/>
        <w:tabs>
          <w:tab w:val="left" w:pos="1620"/>
          <w:tab w:val="left" w:pos="7020"/>
        </w:tabs>
        <w:spacing w:line="480" w:lineRule="exact"/>
        <w:rPr>
          <w:rFonts w:ascii="Times New Roman" w:hAnsi="Times New Roman"/>
        </w:rPr>
      </w:pPr>
      <w:r>
        <w:rPr>
          <w:rFonts w:hint="eastAsia" w:ascii="Times New Roman" w:hAnsi="Times New Roman"/>
        </w:rPr>
        <w:t>式中：</w:t>
      </w:r>
      <w:r>
        <w:rPr>
          <w:rFonts w:hint="eastAsia" w:ascii="Times New Roman" w:hAnsi="Times New Roman"/>
          <w:position w:val="-12"/>
        </w:rPr>
        <w:object>
          <v:shape id="_x0000_i1046" o:spt="75" type="#_x0000_t75" style="height:18.2pt;width:18.2pt;" o:ole="t" filled="f" coordsize="21600,21600">
            <v:path/>
            <v:fill on="f" focussize="0,0"/>
            <v:stroke/>
            <v:imagedata r:id="rId125" o:title=""/>
            <o:lock v:ext="edit" aspectratio="t"/>
            <w10:wrap type="none"/>
            <w10:anchorlock/>
          </v:shape>
          <o:OLEObject Type="Embed" ProgID="Equation.3" ShapeID="_x0000_i1046" DrawAspect="Content" ObjectID="_1468075746" r:id="rId124">
            <o:LockedField>false</o:LockedField>
          </o:OLEObject>
        </w:object>
      </w:r>
      <w:r>
        <w:rPr>
          <w:rFonts w:ascii="Times New Roman" w:hAnsi="Times New Roman"/>
          <w:szCs w:val="24"/>
        </w:rPr>
        <w:t>——</w:t>
      </w:r>
      <w:r>
        <w:rPr>
          <w:rFonts w:hint="eastAsia" w:ascii="Times New Roman" w:hAnsi="Times New Roman"/>
        </w:rPr>
        <w:t>支护结构外侧由土自重产生的竖向总应力；</w:t>
      </w:r>
    </w:p>
    <w:p>
      <w:pPr>
        <w:widowControl w:val="0"/>
        <w:tabs>
          <w:tab w:val="left" w:pos="1620"/>
          <w:tab w:val="left" w:pos="7020"/>
        </w:tabs>
        <w:spacing w:line="480" w:lineRule="exact"/>
        <w:ind w:firstLine="528" w:firstLineChars="220"/>
        <w:rPr>
          <w:rFonts w:ascii="Times New Roman" w:hAnsi="Times New Roman"/>
        </w:rPr>
      </w:pPr>
      <w:r>
        <w:rPr>
          <w:rFonts w:hint="eastAsia" w:ascii="Times New Roman" w:hAnsi="Times New Roman"/>
          <w:color w:val="FF0000"/>
          <w:position w:val="-14"/>
        </w:rPr>
        <w:object>
          <v:shape id="_x0000_i1047" o:spt="75" type="#_x0000_t75" style="height:19pt;width:28.5pt;" o:ole="t" filled="f" coordsize="21600,21600">
            <v:path/>
            <v:fill on="f" focussize="0,0"/>
            <v:stroke/>
            <v:imagedata r:id="rId127" o:title=""/>
            <o:lock v:ext="edit" aspectratio="t"/>
            <w10:wrap type="none"/>
            <w10:anchorlock/>
          </v:shape>
          <o:OLEObject Type="Embed" ProgID="Equation.3" ShapeID="_x0000_i1047" DrawAspect="Content" ObjectID="_1468075747" r:id="rId126">
            <o:LockedField>false</o:LockedField>
          </o:OLEObject>
        </w:object>
      </w:r>
      <w:r>
        <w:rPr>
          <w:rFonts w:ascii="Times New Roman" w:hAnsi="Times New Roman"/>
          <w:szCs w:val="24"/>
        </w:rPr>
        <w:t>——</w:t>
      </w:r>
      <w:r>
        <w:rPr>
          <w:rFonts w:hint="eastAsia" w:ascii="Times New Roman" w:hAnsi="Times New Roman"/>
        </w:rPr>
        <w:t>支护结构外侧由第</w:t>
      </w:r>
      <w:r>
        <w:rPr>
          <w:rFonts w:hint="eastAsia" w:ascii="Times New Roman" w:hAnsi="Times New Roman"/>
          <w:i/>
          <w:iCs/>
        </w:rPr>
        <w:t>j</w:t>
      </w:r>
      <w:r>
        <w:rPr>
          <w:rFonts w:hint="eastAsia" w:ascii="Times New Roman" w:hAnsi="Times New Roman"/>
        </w:rPr>
        <w:t>个附加荷载作用下产生的土中竖向应力标准值；</w:t>
      </w:r>
    </w:p>
    <w:p>
      <w:pPr>
        <w:widowControl w:val="0"/>
        <w:tabs>
          <w:tab w:val="left" w:pos="1620"/>
          <w:tab w:val="left" w:pos="7020"/>
        </w:tabs>
        <w:spacing w:line="480" w:lineRule="exact"/>
        <w:ind w:firstLine="720" w:firstLineChars="300"/>
        <w:rPr>
          <w:rFonts w:hint="eastAsia" w:eastAsia="宋体"/>
          <w:lang w:eastAsia="zh-CN"/>
        </w:rPr>
      </w:pPr>
      <w:r>
        <w:rPr>
          <w:position w:val="-14"/>
        </w:rPr>
        <w:object>
          <v:shape id="_x0000_i1048" o:spt="75" type="#_x0000_t75" style="height:19pt;width:18.2pt;" o:ole="t" filled="f" coordsize="21600,21600">
            <v:path/>
            <v:fill on="f" focussize="0,0"/>
            <v:stroke/>
            <v:imagedata r:id="rId129" o:title=""/>
            <o:lock v:ext="edit" aspectratio="t"/>
            <w10:wrap type="none"/>
            <w10:anchorlock/>
          </v:shape>
          <o:OLEObject Type="Embed" ProgID="Equation.3" ShapeID="_x0000_i1048" DrawAspect="Content" ObjectID="_1468075748" r:id="rId128">
            <o:LockedField>false</o:LockedField>
          </o:OLEObject>
        </w:object>
      </w:r>
      <w:r>
        <w:rPr>
          <w:rFonts w:ascii="Times New Roman" w:hAnsi="Times New Roman"/>
          <w:szCs w:val="24"/>
        </w:rPr>
        <w:t>——</w:t>
      </w:r>
      <w:r>
        <w:rPr>
          <w:rFonts w:hint="eastAsia"/>
        </w:rPr>
        <w:t>支护结构内侧由土自重产生的竖向总应力</w:t>
      </w:r>
      <w:r>
        <w:rPr>
          <w:rFonts w:hint="eastAsia" w:eastAsia="宋体"/>
          <w:lang w:eastAsia="zh-CN"/>
        </w:rPr>
        <w:t>。</w:t>
      </w:r>
    </w:p>
    <w:p>
      <w:pPr>
        <w:widowControl w:val="0"/>
        <w:tabs>
          <w:tab w:val="left" w:pos="1620"/>
          <w:tab w:val="left" w:pos="7020"/>
        </w:tabs>
        <w:spacing w:line="480" w:lineRule="exact"/>
        <w:rPr>
          <w:rFonts w:ascii="Times New Roman" w:hAnsi="Times New Roman"/>
        </w:rPr>
      </w:pPr>
      <w:r>
        <w:rPr>
          <w:rFonts w:ascii="Times New Roman" w:hAnsi="Times New Roman"/>
          <w:b/>
        </w:rPr>
        <w:t>5.5.4</w:t>
      </w:r>
      <w:r>
        <w:rPr>
          <w:rFonts w:hint="eastAsia" w:ascii="Times New Roman" w:hAnsi="Times New Roman"/>
          <w:b/>
        </w:rPr>
        <w:t xml:space="preserve"> </w:t>
      </w:r>
      <w:r>
        <w:rPr>
          <w:rFonts w:hint="eastAsia" w:ascii="Times New Roman" w:hAnsi="Times New Roman"/>
        </w:rPr>
        <w:t>附加荷载作用下土中附加竖向应力标准值按下列规定计算（图</w:t>
      </w:r>
      <w:r>
        <w:rPr>
          <w:rFonts w:ascii="Times New Roman" w:hAnsi="Times New Roman"/>
        </w:rPr>
        <w:t>5.5.4-</w:t>
      </w:r>
      <w:r>
        <w:rPr>
          <w:rFonts w:hint="eastAsia" w:ascii="Times New Roman" w:hAnsi="Times New Roman"/>
        </w:rPr>
        <w:t>1）：</w:t>
      </w:r>
    </w:p>
    <w:p>
      <w:pPr>
        <w:widowControl w:val="0"/>
        <w:spacing w:line="480" w:lineRule="exact"/>
        <w:ind w:firstLine="480" w:firstLineChars="200"/>
        <w:rPr>
          <w:rFonts w:ascii="Times New Roman" w:hAnsi="Times New Roman"/>
        </w:rPr>
      </w:pPr>
      <w:bookmarkStart w:id="267" w:name="_Toc4566"/>
      <w:bookmarkStart w:id="268" w:name="_Toc23944"/>
      <w:r>
        <w:rPr>
          <w:rFonts w:ascii="Times New Roman" w:hAnsi="Times New Roman"/>
        </w:rPr>
        <w:t>1</w:t>
      </w:r>
      <w:r>
        <w:rPr>
          <w:rFonts w:hint="eastAsia" w:ascii="Times New Roman" w:hAnsi="Times New Roman"/>
        </w:rPr>
        <w:t xml:space="preserve"> 均布荷载：</w:t>
      </w:r>
      <w:bookmarkEnd w:id="267"/>
      <w:bookmarkEnd w:id="268"/>
    </w:p>
    <w:p>
      <w:pPr>
        <w:widowControl w:val="0"/>
        <w:numPr>
          <w:ilvl w:val="0"/>
          <w:numId w:val="2"/>
        </w:numPr>
        <w:spacing w:line="480" w:lineRule="exact"/>
        <w:ind w:firstLine="480" w:firstLineChars="200"/>
        <w:rPr>
          <w:rFonts w:ascii="宋体" w:hAnsi="宋体"/>
        </w:rPr>
      </w:pPr>
      <w:r>
        <w:rPr>
          <w:rFonts w:hint="eastAsia" w:ascii="宋体" w:hAnsi="宋体"/>
          <w:color w:val="FF0000"/>
        </w:rPr>
        <w:t xml:space="preserve">                 </w:t>
      </w:r>
      <w:r>
        <w:rPr>
          <w:rFonts w:hint="eastAsia" w:ascii="宋体" w:hAnsi="宋体"/>
          <w:color w:val="FF0000"/>
          <w:position w:val="-12"/>
        </w:rPr>
        <w:object>
          <v:shape id="_x0000_i1049" o:spt="75" type="#_x0000_t75" style="height:18.2pt;width:80.7pt;" o:ole="t" filled="f" coordsize="21600,21600">
            <v:path/>
            <v:fill on="f" focussize="0,0"/>
            <v:stroke/>
            <v:imagedata r:id="rId131" o:title=""/>
            <o:lock v:ext="edit" aspectratio="t"/>
            <w10:wrap type="none"/>
            <w10:anchorlock/>
          </v:shape>
          <o:OLEObject Type="Embed" ProgID="Equation.3" ShapeID="_x0000_i1049" DrawAspect="Content" ObjectID="_1468075749" r:id="rId130">
            <o:LockedField>false</o:LockedField>
          </o:OLEObject>
        </w:object>
      </w:r>
      <w:r>
        <w:rPr>
          <w:rFonts w:hint="eastAsia" w:ascii="Times New Roman" w:hAnsi="Times New Roman"/>
          <w:color w:val="FF0000"/>
        </w:rPr>
        <w:t xml:space="preserve">                         </w:t>
      </w:r>
      <w:r>
        <w:rPr>
          <w:rFonts w:hint="eastAsia" w:ascii="Times New Roman" w:hAnsi="Times New Roman"/>
          <w:bCs/>
        </w:rPr>
        <w:t>（5.5.4-1）</w:t>
      </w:r>
    </w:p>
    <w:p>
      <w:pPr>
        <w:widowControl w:val="0"/>
        <w:numPr>
          <w:ilvl w:val="0"/>
          <w:numId w:val="2"/>
        </w:numPr>
        <w:spacing w:line="480" w:lineRule="exact"/>
        <w:ind w:firstLine="480" w:firstLineChars="200"/>
        <w:rPr>
          <w:rFonts w:ascii="Times New Roman" w:hAnsi="Times New Roman"/>
          <w:color w:val="FF0000"/>
        </w:rPr>
      </w:pPr>
      <w:r>
        <w:rPr>
          <w:rFonts w:hint="eastAsia" w:ascii="宋体" w:hAnsi="宋体"/>
          <w:color w:val="FF0000"/>
        </w:rPr>
        <w:t xml:space="preserve">                </w:t>
      </w:r>
      <w:r>
        <w:rPr>
          <w:rFonts w:hint="eastAsia" w:ascii="宋体" w:hAnsi="宋体"/>
          <w:color w:val="FF0000"/>
          <w:position w:val="-12"/>
        </w:rPr>
        <w:object>
          <v:shape id="_x0000_i1050" o:spt="75" type="#_x0000_t75" style="height:18.2pt;width:91pt;" o:ole="t" filled="f" coordsize="21600,21600">
            <v:path/>
            <v:fill on="f" focussize="0,0"/>
            <v:stroke/>
            <v:imagedata r:id="rId133" o:title=""/>
            <o:lock v:ext="edit" aspectratio="t"/>
            <w10:wrap type="none"/>
            <w10:anchorlock/>
          </v:shape>
          <o:OLEObject Type="Embed" ProgID="Equation.3" ShapeID="_x0000_i1050" DrawAspect="Content" ObjectID="_1468075750" r:id="rId132">
            <o:LockedField>false</o:LockedField>
          </o:OLEObject>
        </w:object>
      </w:r>
      <w:r>
        <w:rPr>
          <w:rFonts w:hint="eastAsia" w:ascii="Times New Roman" w:hAnsi="Times New Roman"/>
          <w:color w:val="FF0000"/>
        </w:rPr>
        <w:t xml:space="preserve">                         </w:t>
      </w:r>
      <w:r>
        <w:rPr>
          <w:rFonts w:hint="eastAsia" w:ascii="Times New Roman" w:hAnsi="Times New Roman"/>
          <w:bCs/>
        </w:rPr>
        <w:t>（5.5.4-2）</w:t>
      </w:r>
    </w:p>
    <w:p>
      <w:pPr>
        <w:widowControl w:val="0"/>
        <w:jc w:val="center"/>
        <w:rPr>
          <w:rFonts w:ascii="Times New Roman" w:hAnsi="Times New Roman"/>
          <w:szCs w:val="21"/>
        </w:rPr>
      </w:pPr>
      <w:r>
        <w:rPr>
          <w:rFonts w:ascii="Times New Roman" w:hAnsi="Times New Roman"/>
        </w:rPr>
        <w:drawing>
          <wp:inline distT="0" distB="0" distL="0" distR="0">
            <wp:extent cx="2316480" cy="2263140"/>
            <wp:effectExtent l="0" t="0" r="0" b="7620"/>
            <wp:docPr id="350" name="图片 3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true" noChangeArrowheads="true"/>
                    </pic:cNvPicPr>
                  </pic:nvPicPr>
                  <pic:blipFill>
                    <a:blip r:embed="rId134">
                      <a:extLst>
                        <a:ext uri="{28A0092B-C50C-407E-A947-70E740481C1C}">
                          <a14:useLocalDpi xmlns:a14="http://schemas.microsoft.com/office/drawing/2010/main" val="false"/>
                        </a:ext>
                      </a:extLst>
                    </a:blip>
                    <a:srcRect/>
                    <a:stretch>
                      <a:fillRect/>
                    </a:stretch>
                  </pic:blipFill>
                  <pic:spPr>
                    <a:xfrm>
                      <a:off x="0" y="0"/>
                      <a:ext cx="2316480" cy="2263140"/>
                    </a:xfrm>
                    <a:prstGeom prst="rect">
                      <a:avLst/>
                    </a:prstGeom>
                    <a:noFill/>
                    <a:ln>
                      <a:noFill/>
                    </a:ln>
                  </pic:spPr>
                </pic:pic>
              </a:graphicData>
            </a:graphic>
          </wp:inline>
        </w:drawing>
      </w:r>
    </w:p>
    <w:p>
      <w:pPr>
        <w:widowControl w:val="0"/>
        <w:ind w:firstLine="316" w:firstLineChars="150"/>
        <w:jc w:val="center"/>
        <w:rPr>
          <w:rFonts w:ascii="Times New Roman" w:hAnsi="Times New Roman"/>
          <w:sz w:val="21"/>
          <w:szCs w:val="21"/>
        </w:rPr>
      </w:pPr>
      <w:r>
        <w:rPr>
          <w:rFonts w:hint="eastAsia" w:ascii="Times New Roman" w:hAnsi="Times New Roman"/>
          <w:b/>
          <w:bCs/>
          <w:sz w:val="21"/>
          <w:szCs w:val="21"/>
        </w:rPr>
        <w:t>图</w:t>
      </w:r>
      <w:r>
        <w:rPr>
          <w:rFonts w:ascii="Times New Roman" w:hAnsi="Times New Roman"/>
          <w:b/>
          <w:bCs/>
          <w:sz w:val="21"/>
          <w:szCs w:val="21"/>
        </w:rPr>
        <w:t xml:space="preserve">5.5.4-1 </w:t>
      </w:r>
      <w:r>
        <w:rPr>
          <w:rFonts w:hint="eastAsia" w:ascii="Times New Roman" w:hAnsi="Times New Roman"/>
          <w:b/>
          <w:bCs/>
          <w:sz w:val="21"/>
          <w:szCs w:val="21"/>
        </w:rPr>
        <w:t>均布荷载产生附加竖向应力简图</w:t>
      </w:r>
    </w:p>
    <w:p>
      <w:pPr>
        <w:widowControl w:val="0"/>
        <w:spacing w:line="480" w:lineRule="exact"/>
        <w:rPr>
          <w:rFonts w:hint="eastAsia" w:ascii="Times New Roman" w:hAnsi="Times New Roman" w:eastAsia="宋体"/>
          <w:lang w:eastAsia="zh-CN"/>
        </w:rPr>
      </w:pPr>
      <w:r>
        <w:rPr>
          <w:rFonts w:hint="eastAsia" w:ascii="Times New Roman" w:hAnsi="Times New Roman"/>
        </w:rPr>
        <w:t>式中：</w:t>
      </w:r>
      <w:r>
        <w:rPr>
          <w:rFonts w:hint="eastAsia" w:ascii="Times New Roman" w:hAnsi="Times New Roman"/>
          <w:position w:val="-12"/>
        </w:rPr>
        <w:object>
          <v:shape id="_x0000_i1051" o:spt="75" type="#_x0000_t75" style="height:18.2pt;width:15.05pt;" o:ole="t" filled="f" coordsize="21600,21600">
            <v:path/>
            <v:fill on="f" focussize="0,0"/>
            <v:stroke/>
            <v:imagedata r:id="rId136" o:title=""/>
            <o:lock v:ext="edit" aspectratio="t"/>
            <w10:wrap type="none"/>
            <w10:anchorlock/>
          </v:shape>
          <o:OLEObject Type="Embed" ProgID="Equation.3" ShapeID="_x0000_i1051" DrawAspect="Content" ObjectID="_1468075751" r:id="rId135">
            <o:LockedField>false</o:LockedField>
          </o:OLEObject>
        </w:object>
      </w:r>
      <w:r>
        <w:rPr>
          <w:rFonts w:ascii="Times New Roman" w:hAnsi="Times New Roman"/>
          <w:szCs w:val="24"/>
        </w:rPr>
        <w:t>——</w:t>
      </w:r>
      <w:r>
        <w:rPr>
          <w:rFonts w:hint="eastAsia" w:ascii="Times New Roman" w:hAnsi="Times New Roman"/>
        </w:rPr>
        <w:t>支护结构顶面至土中附加竖向应力计算点的竖向距离（</w:t>
      </w:r>
      <w:r>
        <w:rPr>
          <w:rFonts w:ascii="Times New Roman" w:hAnsi="Times New Roman"/>
        </w:rPr>
        <w:t>m</w:t>
      </w:r>
      <w:r>
        <w:rPr>
          <w:rFonts w:hint="eastAsia" w:ascii="Times New Roman" w:hAnsi="Times New Roman"/>
        </w:rPr>
        <w:t>）</w:t>
      </w:r>
      <w:r>
        <w:rPr>
          <w:rFonts w:hint="eastAsia" w:ascii="Times New Roman" w:hAnsi="Times New Roman"/>
          <w:lang w:eastAsia="zh-CN"/>
        </w:rPr>
        <w:t>。</w:t>
      </w:r>
    </w:p>
    <w:p>
      <w:pPr>
        <w:widowControl w:val="0"/>
        <w:spacing w:line="480" w:lineRule="exact"/>
        <w:ind w:firstLine="480" w:firstLineChars="200"/>
        <w:rPr>
          <w:rFonts w:ascii="Times New Roman" w:hAnsi="Times New Roman"/>
        </w:rPr>
      </w:pPr>
      <w:bookmarkStart w:id="269" w:name="_Toc9564"/>
      <w:bookmarkStart w:id="270" w:name="_Toc15560"/>
      <w:r>
        <w:rPr>
          <w:rFonts w:ascii="Times New Roman" w:hAnsi="Times New Roman"/>
        </w:rPr>
        <w:t xml:space="preserve">2 </w:t>
      </w:r>
      <w:r>
        <w:rPr>
          <w:rFonts w:hint="eastAsia" w:ascii="Times New Roman" w:hAnsi="Times New Roman"/>
        </w:rPr>
        <w:t>条形与矩形荷载：</w:t>
      </w:r>
      <w:bookmarkEnd w:id="269"/>
      <w:bookmarkEnd w:id="270"/>
    </w:p>
    <w:p>
      <w:pPr>
        <w:widowControl w:val="0"/>
        <w:tabs>
          <w:tab w:val="left" w:pos="1620"/>
          <w:tab w:val="left" w:pos="7020"/>
        </w:tabs>
        <w:spacing w:line="480" w:lineRule="exact"/>
        <w:ind w:firstLine="480" w:firstLineChars="200"/>
        <w:rPr>
          <w:rFonts w:ascii="Times New Roman" w:hAnsi="Times New Roman"/>
        </w:rPr>
      </w:pPr>
      <w:r>
        <w:rPr>
          <w:rFonts w:hint="eastAsia" w:ascii="Times New Roman" w:hAnsi="Times New Roman"/>
        </w:rPr>
        <w:t>1）对条形基础下的附加荷载（图</w:t>
      </w:r>
      <w:r>
        <w:rPr>
          <w:rFonts w:ascii="Times New Roman" w:hAnsi="Times New Roman"/>
        </w:rPr>
        <w:t>5.5.4-2</w:t>
      </w:r>
      <w:r>
        <w:rPr>
          <w:rFonts w:hint="eastAsia" w:ascii="Times New Roman" w:hAnsi="Times New Roman"/>
        </w:rPr>
        <w:t>）：</w:t>
      </w:r>
    </w:p>
    <w:p>
      <w:pPr>
        <w:widowControl w:val="0"/>
        <w:spacing w:line="480" w:lineRule="exact"/>
        <w:ind w:firstLine="480" w:firstLineChars="200"/>
        <w:rPr>
          <w:rFonts w:ascii="Times New Roman" w:hAnsi="Times New Roman"/>
          <w:bCs/>
        </w:rPr>
      </w:pPr>
      <w:r>
        <w:rPr>
          <w:rFonts w:hint="eastAsia" w:ascii="Times New Roman" w:hAnsi="Times New Roman"/>
          <w:bCs/>
        </w:rPr>
        <w:t>当</w:t>
      </w:r>
      <w:r>
        <w:rPr>
          <w:rFonts w:ascii="Times New Roman" w:hAnsi="Times New Roman"/>
          <w:bCs/>
          <w:i/>
        </w:rPr>
        <w:t>d</w:t>
      </w:r>
      <w:r>
        <w:rPr>
          <w:rFonts w:hint="eastAsia" w:ascii="Times New Roman" w:hAnsi="Times New Roman"/>
          <w:bCs/>
        </w:rPr>
        <w:t>＋</w:t>
      </w:r>
      <w:r>
        <w:rPr>
          <w:rFonts w:ascii="Times New Roman" w:hAnsi="Times New Roman"/>
          <w:bCs/>
          <w:i/>
        </w:rPr>
        <w:t>a</w:t>
      </w:r>
      <w:r>
        <w:rPr>
          <w:rFonts w:ascii="Times New Roman" w:hAnsi="Times New Roman"/>
          <w:bCs/>
        </w:rPr>
        <w:t>/tan</w:t>
      </w:r>
      <w:r>
        <w:rPr>
          <w:rFonts w:ascii="Times New Roman" w:hAnsi="Times New Roman"/>
          <w:bCs/>
          <w:i/>
          <w:iCs/>
        </w:rPr>
        <w:t>θ</w:t>
      </w:r>
      <w:r>
        <w:rPr>
          <w:rFonts w:hint="eastAsia" w:ascii="Times New Roman" w:hAnsi="Times New Roman"/>
          <w:bCs/>
        </w:rPr>
        <w:t>≤</w:t>
      </w:r>
      <w:r>
        <w:rPr>
          <w:rFonts w:hint="eastAsia" w:ascii="Times New Roman" w:hAnsi="Times New Roman"/>
          <w:bCs/>
          <w:position w:val="-12"/>
        </w:rPr>
        <w:object>
          <v:shape id="_x0000_i1052" o:spt="75" type="#_x0000_t75" style="height:18.2pt;width:15.05pt;" o:ole="t" filled="f" coordsize="21600,21600">
            <v:path/>
            <v:fill on="f" focussize="0,0"/>
            <v:stroke/>
            <v:imagedata r:id="rId138" o:title=""/>
            <o:lock v:ext="edit" aspectratio="t"/>
            <w10:wrap type="none"/>
            <w10:anchorlock/>
          </v:shape>
          <o:OLEObject Type="Embed" ProgID="Equation.3" ShapeID="_x0000_i1052" DrawAspect="Content" ObjectID="_1468075752" r:id="rId137">
            <o:LockedField>false</o:LockedField>
          </o:OLEObject>
        </w:object>
      </w:r>
      <w:r>
        <w:rPr>
          <w:rFonts w:hint="eastAsia" w:ascii="Times New Roman" w:hAnsi="Times New Roman"/>
          <w:bCs/>
        </w:rPr>
        <w:t>≤</w:t>
      </w:r>
      <w:r>
        <w:rPr>
          <w:rFonts w:ascii="Times New Roman" w:hAnsi="Times New Roman"/>
          <w:bCs/>
          <w:i/>
        </w:rPr>
        <w:t>d</w:t>
      </w:r>
      <w:r>
        <w:rPr>
          <w:rFonts w:hint="eastAsia" w:ascii="Times New Roman" w:hAnsi="Times New Roman"/>
          <w:bCs/>
          <w:i/>
        </w:rPr>
        <w:t>+</w:t>
      </w:r>
      <w:r>
        <w:rPr>
          <w:rFonts w:ascii="Times New Roman" w:hAnsi="Times New Roman"/>
          <w:bCs/>
        </w:rPr>
        <w:t>(3</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)/tan</w:t>
      </w:r>
      <w:r>
        <w:rPr>
          <w:rFonts w:ascii="Times New Roman" w:hAnsi="Times New Roman"/>
          <w:bCs/>
          <w:i/>
          <w:iCs/>
        </w:rPr>
        <w:t>θ</w:t>
      </w:r>
      <w:r>
        <w:rPr>
          <w:rFonts w:hint="eastAsia" w:ascii="Times New Roman" w:hAnsi="Times New Roman"/>
          <w:bCs/>
        </w:rPr>
        <w:t>时</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360" w:lineRule="auto"/>
              <w:jc w:val="right"/>
              <w:rPr>
                <w:rFonts w:ascii="Times New Roman" w:hAnsi="Times New Roman"/>
                <w:bCs/>
              </w:rPr>
            </w:pPr>
            <w:r>
              <w:rPr>
                <w:rFonts w:ascii="Times New Roman" w:hAnsi="Times New Roman"/>
                <w:bCs/>
                <w:position w:val="-24"/>
              </w:rPr>
              <w:object>
                <v:shape id="_x0000_i1053" o:spt="75" type="#_x0000_t75" style="height:30.85pt;width:68.05pt;" o:ole="t" filled="f" coordsize="21600,21600">
                  <v:path/>
                  <v:fill on="f" focussize="0,0"/>
                  <v:stroke/>
                  <v:imagedata r:id="rId140" o:title=""/>
                  <o:lock v:ext="edit" aspectratio="t"/>
                  <w10:wrap type="none"/>
                  <w10:anchorlock/>
                </v:shape>
                <o:OLEObject Type="Embed" ProgID="Equation.3" ShapeID="_x0000_i1053" DrawAspect="Content" ObjectID="_1468075753" r:id="rId139">
                  <o:LockedField>false</o:LockedField>
                </o:OLEObject>
              </w:object>
            </w:r>
          </w:p>
        </w:tc>
        <w:tc>
          <w:tcPr>
            <w:tcW w:w="4927" w:type="dxa"/>
          </w:tcPr>
          <w:p>
            <w:pPr>
              <w:widowControl w:val="0"/>
              <w:spacing w:line="480" w:lineRule="exact"/>
              <w:jc w:val="right"/>
              <w:rPr>
                <w:rFonts w:ascii="Times New Roman" w:hAnsi="Times New Roman"/>
                <w:bCs/>
              </w:rPr>
            </w:pPr>
            <w:r>
              <w:rPr>
                <w:rFonts w:hint="eastAsia" w:ascii="Times New Roman" w:hAnsi="Times New Roman"/>
                <w:bCs/>
              </w:rPr>
              <w:t>（5.5.4-3）</w:t>
            </w:r>
          </w:p>
        </w:tc>
      </w:tr>
    </w:tbl>
    <w:p>
      <w:pPr>
        <w:widowControl w:val="0"/>
        <w:spacing w:line="480" w:lineRule="exact"/>
        <w:jc w:val="left"/>
        <w:rPr>
          <w:rFonts w:ascii="Times New Roman" w:hAnsi="Times New Roman"/>
          <w:bCs/>
        </w:rPr>
      </w:pPr>
      <w:r>
        <w:rPr>
          <w:rFonts w:hint="eastAsia" w:ascii="Times New Roman" w:hAnsi="Times New Roman"/>
          <w:bCs/>
        </w:rPr>
        <w:t>式中：</w:t>
      </w:r>
      <w:r>
        <w:rPr>
          <w:rFonts w:hint="eastAsia" w:ascii="Times New Roman" w:hAnsi="Times New Roman"/>
          <w:bCs/>
          <w:position w:val="-12"/>
        </w:rPr>
        <w:object>
          <v:shape id="_x0000_i1054" o:spt="75" type="#_x0000_t75" style="height:18.2pt;width:15.05pt;" o:ole="t" filled="f" coordsize="21600,21600">
            <v:path/>
            <v:fill on="f" focussize="0,0"/>
            <v:stroke/>
            <v:imagedata r:id="rId142" o:title=""/>
            <o:lock v:ext="edit" aspectratio="t"/>
            <w10:wrap type="none"/>
            <w10:anchorlock/>
          </v:shape>
          <o:OLEObject Type="Embed" ProgID="Equation.3" ShapeID="_x0000_i1054" DrawAspect="Content" ObjectID="_1468075754" r:id="rId141">
            <o:LockedField>false</o:LockedField>
          </o:OLEObject>
        </w:object>
      </w:r>
      <w:r>
        <w:rPr>
          <w:rFonts w:ascii="Times New Roman" w:hAnsi="Times New Roman"/>
          <w:szCs w:val="24"/>
        </w:rPr>
        <w:t>——</w:t>
      </w:r>
      <w:r>
        <w:rPr>
          <w:rFonts w:hint="eastAsia" w:ascii="Times New Roman" w:hAnsi="Times New Roman"/>
          <w:bCs/>
        </w:rPr>
        <w:t>基础底面附加压力标准值（kPa）；</w:t>
      </w:r>
    </w:p>
    <w:p>
      <w:pPr>
        <w:widowControl w:val="0"/>
        <w:spacing w:line="360" w:lineRule="auto"/>
        <w:ind w:firstLine="861" w:firstLineChars="359"/>
        <w:jc w:val="left"/>
        <w:rPr>
          <w:rFonts w:ascii="Times New Roman" w:hAnsi="Times New Roman"/>
          <w:sz w:val="28"/>
          <w:szCs w:val="28"/>
        </w:rPr>
      </w:pPr>
      <w:r>
        <w:rPr>
          <w:rFonts w:hint="eastAsia" w:ascii="Times New Roman" w:hAnsi="Times New Roman"/>
          <w:bCs/>
          <w:i/>
          <w:iCs/>
        </w:rPr>
        <w:t>d</w:t>
      </w:r>
      <w:r>
        <w:rPr>
          <w:rFonts w:hint="eastAsia" w:ascii="Times New Roman" w:hAnsi="Times New Roman"/>
          <w:bCs/>
        </w:rPr>
        <w:t xml:space="preserve"> </w:t>
      </w:r>
      <w:r>
        <w:rPr>
          <w:rFonts w:ascii="Times New Roman" w:hAnsi="Times New Roman"/>
          <w:szCs w:val="24"/>
        </w:rPr>
        <w:t>——</w:t>
      </w:r>
      <w:r>
        <w:rPr>
          <w:rFonts w:hint="eastAsia" w:ascii="Times New Roman" w:hAnsi="Times New Roman"/>
          <w:bCs/>
        </w:rPr>
        <w:t>基础埋置深度（m），对作用在地面的条形、矩形附加荷载</w:t>
      </w:r>
      <w:r>
        <w:rPr>
          <w:rFonts w:hint="eastAsia" w:ascii="Times New Roman" w:hAnsi="Times New Roman"/>
          <w:sz w:val="28"/>
          <w:szCs w:val="28"/>
        </w:rPr>
        <w:t>，</w:t>
      </w:r>
      <w:r>
        <w:rPr>
          <w:rFonts w:hint="eastAsia" w:ascii="Times New Roman" w:hAnsi="Times New Roman"/>
          <w:szCs w:val="24"/>
        </w:rPr>
        <w:t>取</w:t>
      </w:r>
      <w:r>
        <w:rPr>
          <w:rFonts w:hint="eastAsia" w:ascii="Times New Roman" w:hAnsi="Times New Roman"/>
          <w:i/>
          <w:iCs/>
          <w:szCs w:val="24"/>
        </w:rPr>
        <w:t>d</w:t>
      </w:r>
      <w:r>
        <w:rPr>
          <w:rFonts w:hint="eastAsia" w:ascii="Times New Roman" w:hAnsi="Times New Roman"/>
          <w:szCs w:val="24"/>
        </w:rPr>
        <w:t>=0；</w:t>
      </w:r>
    </w:p>
    <w:p>
      <w:pPr>
        <w:widowControl w:val="0"/>
        <w:spacing w:line="360" w:lineRule="auto"/>
        <w:ind w:firstLine="861" w:firstLineChars="359"/>
        <w:jc w:val="left"/>
        <w:rPr>
          <w:rFonts w:ascii="Times New Roman" w:hAnsi="Times New Roman"/>
          <w:bCs/>
        </w:rPr>
      </w:pPr>
      <w:r>
        <w:rPr>
          <w:rFonts w:hint="eastAsia" w:ascii="Times New Roman" w:hAnsi="Times New Roman"/>
          <w:bCs/>
          <w:i/>
          <w:iCs/>
        </w:rPr>
        <w:t>b</w:t>
      </w:r>
      <w:r>
        <w:rPr>
          <w:rFonts w:hint="eastAsia" w:ascii="Times New Roman" w:hAnsi="Times New Roman"/>
          <w:bCs/>
        </w:rPr>
        <w:t xml:space="preserve"> </w:t>
      </w:r>
      <w:r>
        <w:rPr>
          <w:rFonts w:ascii="Times New Roman" w:hAnsi="Times New Roman"/>
          <w:szCs w:val="24"/>
        </w:rPr>
        <w:t>——</w:t>
      </w:r>
      <w:r>
        <w:rPr>
          <w:rFonts w:hint="eastAsia" w:ascii="Times New Roman" w:hAnsi="Times New Roman"/>
          <w:bCs/>
        </w:rPr>
        <w:t>基础宽度（m）；</w:t>
      </w:r>
    </w:p>
    <w:p>
      <w:pPr>
        <w:widowControl w:val="0"/>
        <w:spacing w:line="360" w:lineRule="auto"/>
        <w:ind w:firstLine="861" w:firstLineChars="359"/>
        <w:jc w:val="left"/>
        <w:rPr>
          <w:rFonts w:ascii="Times New Roman" w:hAnsi="Times New Roman"/>
          <w:bCs/>
        </w:rPr>
      </w:pPr>
      <w:r>
        <w:rPr>
          <w:rFonts w:hint="eastAsia" w:ascii="Times New Roman" w:hAnsi="Times New Roman"/>
          <w:bCs/>
          <w:i/>
          <w:iCs/>
        </w:rPr>
        <w:t>a</w:t>
      </w:r>
      <w:r>
        <w:rPr>
          <w:rFonts w:hint="eastAsia" w:ascii="Times New Roman" w:hAnsi="Times New Roman"/>
          <w:bCs/>
        </w:rPr>
        <w:t xml:space="preserve"> </w:t>
      </w:r>
      <w:r>
        <w:rPr>
          <w:rFonts w:ascii="Times New Roman" w:hAnsi="Times New Roman"/>
          <w:szCs w:val="24"/>
        </w:rPr>
        <w:t>——</w:t>
      </w:r>
      <w:r>
        <w:rPr>
          <w:rFonts w:hint="eastAsia" w:ascii="Times New Roman" w:hAnsi="Times New Roman"/>
          <w:bCs/>
        </w:rPr>
        <w:t>支护结构外边缘至基础的水平距离（m）；</w:t>
      </w:r>
    </w:p>
    <w:p>
      <w:pPr>
        <w:widowControl w:val="0"/>
        <w:spacing w:line="360" w:lineRule="auto"/>
        <w:ind w:firstLine="861" w:firstLineChars="359"/>
        <w:jc w:val="left"/>
        <w:rPr>
          <w:rFonts w:ascii="Times New Roman" w:hAnsi="Times New Roman"/>
          <w:bCs/>
        </w:rPr>
      </w:pPr>
      <w:r>
        <w:rPr>
          <w:rFonts w:ascii="Times New Roman" w:hAnsi="Times New Roman"/>
          <w:bCs/>
          <w:i/>
          <w:iCs/>
        </w:rPr>
        <w:t>θ</w:t>
      </w:r>
      <w:r>
        <w:rPr>
          <w:rFonts w:hint="eastAsia" w:ascii="Times New Roman" w:hAnsi="Times New Roman"/>
          <w:bCs/>
          <w:i/>
          <w:iCs/>
        </w:rPr>
        <w:t xml:space="preserve"> </w:t>
      </w:r>
      <w:r>
        <w:rPr>
          <w:rFonts w:ascii="Times New Roman" w:hAnsi="Times New Roman"/>
          <w:szCs w:val="24"/>
        </w:rPr>
        <w:t>——</w:t>
      </w:r>
      <w:r>
        <w:rPr>
          <w:rFonts w:hint="eastAsia" w:ascii="Times New Roman" w:hAnsi="Times New Roman"/>
          <w:bCs/>
        </w:rPr>
        <w:t>附加荷载的扩散角（</w:t>
      </w:r>
      <w:r>
        <w:rPr>
          <w:rFonts w:ascii="Times New Roman" w:hAnsi="Times New Roman"/>
        </w:rPr>
        <w:t>°</w:t>
      </w:r>
      <w:r>
        <w:rPr>
          <w:rFonts w:hint="eastAsia" w:ascii="Times New Roman" w:hAnsi="Times New Roman"/>
          <w:bCs/>
        </w:rPr>
        <w:t>），宜取</w:t>
      </w:r>
      <w:r>
        <w:rPr>
          <w:rFonts w:ascii="Times New Roman" w:hAnsi="Times New Roman"/>
          <w:bCs/>
          <w:i/>
          <w:iCs/>
        </w:rPr>
        <w:t>θ</w:t>
      </w:r>
      <w:r>
        <w:rPr>
          <w:rFonts w:hint="eastAsia" w:ascii="Times New Roman" w:hAnsi="Times New Roman"/>
          <w:bCs/>
          <w:i/>
        </w:rPr>
        <w:t>=</w:t>
      </w:r>
      <w:r>
        <w:rPr>
          <w:rFonts w:hint="eastAsia" w:ascii="Times New Roman" w:hAnsi="Times New Roman"/>
          <w:bCs/>
          <w:iCs/>
        </w:rPr>
        <w:t>45</w:t>
      </w:r>
      <w:r>
        <w:rPr>
          <w:rFonts w:ascii="Times New Roman" w:hAnsi="Times New Roman"/>
        </w:rPr>
        <w:t>°</w:t>
      </w:r>
      <w:r>
        <w:rPr>
          <w:rFonts w:hint="eastAsia" w:ascii="Times New Roman" w:hAnsi="Times New Roman"/>
          <w:bCs/>
        </w:rPr>
        <w:t>；</w:t>
      </w:r>
    </w:p>
    <w:p>
      <w:pPr>
        <w:widowControl w:val="0"/>
        <w:spacing w:line="360" w:lineRule="auto"/>
        <w:ind w:firstLine="720" w:firstLineChars="300"/>
        <w:jc w:val="left"/>
        <w:rPr>
          <w:rFonts w:ascii="Times New Roman" w:hAnsi="Times New Roman"/>
          <w:bCs/>
        </w:rPr>
      </w:pPr>
      <w:r>
        <w:rPr>
          <w:rFonts w:ascii="Times New Roman" w:hAnsi="Times New Roman"/>
          <w:i/>
          <w:iCs/>
          <w:position w:val="-12"/>
        </w:rPr>
        <w:object>
          <v:shape id="_x0000_i1055" o:spt="75" type="#_x0000_t75" style="height:18.2pt;width:15.05pt;" o:ole="t" filled="f" coordsize="21600,21600">
            <v:path/>
            <v:fill on="f" focussize="0,0"/>
            <v:stroke/>
            <v:imagedata r:id="rId144" o:title=""/>
            <o:lock v:ext="edit" aspectratio="t"/>
            <w10:wrap type="none"/>
            <w10:anchorlock/>
          </v:shape>
          <o:OLEObject Type="Embed" ProgID="Equation.3" ShapeID="_x0000_i1055" DrawAspect="Content" ObjectID="_1468075755" r:id="rId143">
            <o:LockedField>false</o:LockedField>
          </o:OLEObject>
        </w:object>
      </w:r>
      <w:r>
        <w:rPr>
          <w:rFonts w:ascii="Times New Roman" w:hAnsi="Times New Roman"/>
          <w:szCs w:val="24"/>
        </w:rPr>
        <w:t>——</w:t>
      </w:r>
      <w:r>
        <w:rPr>
          <w:rFonts w:hint="eastAsia" w:ascii="Times New Roman" w:hAnsi="Times New Roman"/>
          <w:bCs/>
        </w:rPr>
        <w:t>支护结构顶面至土中附加竖向应力计算点的竖向距离（m）。</w:t>
      </w:r>
    </w:p>
    <w:p>
      <w:pPr>
        <w:widowControl w:val="0"/>
        <w:spacing w:line="360" w:lineRule="auto"/>
        <w:ind w:firstLine="480" w:firstLineChars="200"/>
        <w:rPr>
          <w:rFonts w:ascii="Times New Roman" w:hAnsi="Times New Roman"/>
          <w:bCs/>
        </w:rPr>
      </w:pPr>
      <w:r>
        <w:rPr>
          <w:rFonts w:hint="eastAsia" w:ascii="Times New Roman" w:hAnsi="Times New Roman"/>
          <w:bCs/>
        </w:rPr>
        <w:t>当</w:t>
      </w:r>
      <w:r>
        <w:rPr>
          <w:rFonts w:ascii="Times New Roman" w:hAnsi="Times New Roman"/>
          <w:i/>
          <w:iCs/>
          <w:position w:val="-12"/>
        </w:rPr>
        <w:object>
          <v:shape id="_x0000_i1056" o:spt="75" type="#_x0000_t75" style="height:18.2pt;width:15.05pt;" o:ole="t" filled="f" coordsize="21600,21600">
            <v:path/>
            <v:fill on="f" focussize="0,0"/>
            <v:stroke/>
            <v:imagedata r:id="rId144" o:title=""/>
            <o:lock v:ext="edit" aspectratio="t"/>
            <w10:wrap type="none"/>
            <w10:anchorlock/>
          </v:shape>
          <o:OLEObject Type="Embed" ProgID="Equation.3" ShapeID="_x0000_i1056" DrawAspect="Content" ObjectID="_1468075756" r:id="rId145">
            <o:LockedField>false</o:LockedField>
          </o:OLEObject>
        </w:object>
      </w:r>
      <w:r>
        <w:rPr>
          <w:rFonts w:ascii="Times New Roman" w:hAnsi="Times New Roman"/>
          <w:bCs/>
        </w:rPr>
        <w:t>&lt;</w:t>
      </w:r>
      <w:r>
        <w:rPr>
          <w:rFonts w:ascii="Times New Roman" w:hAnsi="Times New Roman"/>
          <w:bCs/>
          <w:i/>
        </w:rPr>
        <w:t>d</w:t>
      </w:r>
      <w:r>
        <w:rPr>
          <w:rFonts w:hint="eastAsia" w:ascii="Times New Roman" w:hAnsi="Times New Roman"/>
          <w:bCs/>
        </w:rPr>
        <w:t>＋</w:t>
      </w:r>
      <w:r>
        <w:rPr>
          <w:rFonts w:ascii="Times New Roman" w:hAnsi="Times New Roman"/>
          <w:bCs/>
          <w:i/>
        </w:rPr>
        <w:t>a</w:t>
      </w:r>
      <w:r>
        <w:rPr>
          <w:rFonts w:ascii="Times New Roman" w:hAnsi="Times New Roman"/>
          <w:bCs/>
        </w:rPr>
        <w:t>/tan45</w:t>
      </w:r>
      <w:r>
        <w:rPr>
          <w:rFonts w:ascii="Times New Roman" w:hAnsi="Times New Roman"/>
        </w:rPr>
        <w:t>°</w:t>
      </w:r>
      <w:r>
        <w:rPr>
          <w:rFonts w:hint="eastAsia" w:ascii="Times New Roman" w:hAnsi="Times New Roman"/>
          <w:bCs/>
        </w:rPr>
        <w:t>或</w:t>
      </w:r>
      <w:r>
        <w:rPr>
          <w:rFonts w:ascii="Times New Roman" w:hAnsi="Times New Roman"/>
          <w:i/>
          <w:iCs/>
          <w:position w:val="-12"/>
        </w:rPr>
        <w:object>
          <v:shape id="_x0000_i1057" o:spt="75" type="#_x0000_t75" style="height:18.2pt;width:15.05pt;" o:ole="t" filled="f" coordsize="21600,21600">
            <v:path/>
            <v:fill on="f" focussize="0,0"/>
            <v:stroke/>
            <v:imagedata r:id="rId144" o:title=""/>
            <o:lock v:ext="edit" aspectratio="t"/>
            <w10:wrap type="none"/>
            <w10:anchorlock/>
          </v:shape>
          <o:OLEObject Type="Embed" ProgID="Equation.3" ShapeID="_x0000_i1057" DrawAspect="Content" ObjectID="_1468075757" r:id="rId146">
            <o:LockedField>false</o:LockedField>
          </o:OLEObject>
        </w:object>
      </w:r>
      <w:r>
        <w:rPr>
          <w:rFonts w:ascii="Times New Roman" w:hAnsi="Times New Roman"/>
          <w:bCs/>
        </w:rPr>
        <w:t>&gt;</w:t>
      </w:r>
      <w:r>
        <w:rPr>
          <w:rFonts w:ascii="Times New Roman" w:hAnsi="Times New Roman"/>
          <w:bCs/>
          <w:i/>
        </w:rPr>
        <w:t>d</w:t>
      </w:r>
      <w:r>
        <w:rPr>
          <w:rFonts w:hint="eastAsia" w:ascii="Times New Roman" w:hAnsi="Times New Roman"/>
          <w:bCs/>
        </w:rPr>
        <w:t>＋</w:t>
      </w:r>
      <w:r>
        <w:rPr>
          <w:rFonts w:ascii="Times New Roman" w:hAnsi="Times New Roman"/>
          <w:bCs/>
        </w:rPr>
        <w:t>(3</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)/tan45</w:t>
      </w:r>
      <w:r>
        <w:rPr>
          <w:rFonts w:ascii="Times New Roman" w:hAnsi="Times New Roman"/>
        </w:rPr>
        <w:t>°</w:t>
      </w:r>
      <w:r>
        <w:rPr>
          <w:rFonts w:hint="eastAsia" w:ascii="Times New Roman" w:hAnsi="Times New Roman"/>
          <w:bCs/>
        </w:rPr>
        <w:t>时，取</w:t>
      </w:r>
      <w:r>
        <w:rPr>
          <w:rFonts w:ascii="Times New Roman" w:hAnsi="Times New Roman"/>
          <w:position w:val="-10"/>
          <w:sz w:val="28"/>
          <w:szCs w:val="28"/>
          <w:vertAlign w:val="subscript"/>
        </w:rPr>
        <w:object>
          <v:shape id="_x0000_i1058" o:spt="75" type="#_x0000_t75" style="height:16.6pt;width:43.5pt;" o:ole="t" filled="f" coordsize="21600,21600">
            <v:path/>
            <v:fill on="f" focussize="0,0"/>
            <v:stroke/>
            <v:imagedata r:id="rId148" o:title=""/>
            <o:lock v:ext="edit" aspectratio="t"/>
            <w10:wrap type="none"/>
            <w10:anchorlock/>
          </v:shape>
          <o:OLEObject Type="Embed" ProgID="Equation.3" ShapeID="_x0000_i1058" DrawAspect="Content" ObjectID="_1468075758" r:id="rId147">
            <o:LockedField>false</o:LockedField>
          </o:OLEObject>
        </w:object>
      </w:r>
      <w:r>
        <w:rPr>
          <w:rFonts w:hint="eastAsia" w:ascii="Times New Roman" w:hAnsi="Times New Roman"/>
          <w:bCs/>
        </w:rPr>
        <w:t>。</w:t>
      </w:r>
    </w:p>
    <w:p>
      <w:pPr>
        <w:widowControl w:val="0"/>
        <w:spacing w:line="360" w:lineRule="auto"/>
        <w:ind w:firstLine="480" w:firstLineChars="200"/>
        <w:jc w:val="left"/>
        <w:rPr>
          <w:rFonts w:ascii="Times New Roman" w:hAnsi="Times New Roman"/>
          <w:bCs/>
        </w:rPr>
      </w:pPr>
      <w:r>
        <w:rPr>
          <w:rFonts w:hint="eastAsia" w:ascii="Times New Roman" w:hAnsi="Times New Roman"/>
          <w:bCs/>
        </w:rPr>
        <w:t>2）对矩形基础下的附加荷载（图</w:t>
      </w:r>
      <w:r>
        <w:rPr>
          <w:rFonts w:ascii="Times New Roman" w:hAnsi="Times New Roman"/>
          <w:bCs/>
        </w:rPr>
        <w:t>5.5.4-2</w:t>
      </w:r>
      <w:r>
        <w:rPr>
          <w:rFonts w:hint="eastAsia" w:ascii="Times New Roman" w:hAnsi="Times New Roman"/>
          <w:bCs/>
        </w:rPr>
        <w:t>）</w:t>
      </w:r>
      <w:r>
        <w:rPr>
          <w:rFonts w:hint="eastAsia" w:ascii="Times New Roman" w:hAnsi="Times New Roman"/>
        </w:rPr>
        <w:t>：</w:t>
      </w:r>
    </w:p>
    <w:p>
      <w:pPr>
        <w:widowControl w:val="0"/>
        <w:spacing w:line="480" w:lineRule="exact"/>
        <w:ind w:firstLine="480" w:firstLineChars="200"/>
        <w:rPr>
          <w:rFonts w:ascii="Times New Roman" w:hAnsi="Times New Roman"/>
          <w:bCs/>
        </w:rPr>
      </w:pPr>
      <w:r>
        <w:rPr>
          <w:rFonts w:hint="eastAsia" w:ascii="Times New Roman" w:hAnsi="Times New Roman"/>
          <w:bCs/>
        </w:rPr>
        <w:t>当</w:t>
      </w:r>
      <w:r>
        <w:rPr>
          <w:rFonts w:ascii="Times New Roman" w:hAnsi="Times New Roman"/>
          <w:bCs/>
          <w:i/>
        </w:rPr>
        <w:t>d</w:t>
      </w:r>
      <w:r>
        <w:rPr>
          <w:rFonts w:hint="eastAsia" w:ascii="Times New Roman" w:hAnsi="Times New Roman"/>
          <w:bCs/>
        </w:rPr>
        <w:t>＋</w:t>
      </w:r>
      <w:r>
        <w:rPr>
          <w:rFonts w:ascii="Times New Roman" w:hAnsi="Times New Roman"/>
          <w:bCs/>
          <w:i/>
        </w:rPr>
        <w:t>a</w:t>
      </w:r>
      <w:r>
        <w:rPr>
          <w:rFonts w:ascii="Times New Roman" w:hAnsi="Times New Roman"/>
          <w:bCs/>
        </w:rPr>
        <w:t>/tan</w:t>
      </w:r>
      <w:r>
        <w:rPr>
          <w:rFonts w:ascii="Times New Roman" w:hAnsi="Times New Roman"/>
          <w:bCs/>
          <w:i/>
          <w:iCs/>
        </w:rPr>
        <w:t>θ</w:t>
      </w:r>
      <w:r>
        <w:rPr>
          <w:rFonts w:hint="eastAsia" w:ascii="Times New Roman" w:hAnsi="Times New Roman"/>
          <w:bCs/>
        </w:rPr>
        <w:t>≤</w:t>
      </w:r>
      <w:r>
        <w:rPr>
          <w:rFonts w:ascii="Times New Roman" w:hAnsi="Times New Roman"/>
          <w:i/>
          <w:iCs/>
          <w:position w:val="-12"/>
        </w:rPr>
        <w:object>
          <v:shape id="_x0000_i1059" o:spt="75" type="#_x0000_t75" style="height:18.2pt;width:15.05pt;" o:ole="t" filled="f" coordsize="21600,21600">
            <v:path/>
            <v:fill on="f" focussize="0,0"/>
            <v:stroke/>
            <v:imagedata r:id="rId144" o:title=""/>
            <o:lock v:ext="edit" aspectratio="t"/>
            <w10:wrap type="none"/>
            <w10:anchorlock/>
          </v:shape>
          <o:OLEObject Type="Embed" ProgID="Equation.3" ShapeID="_x0000_i1059" DrawAspect="Content" ObjectID="_1468075759" r:id="rId149">
            <o:LockedField>false</o:LockedField>
          </o:OLEObject>
        </w:object>
      </w:r>
      <w:r>
        <w:rPr>
          <w:rFonts w:hint="eastAsia" w:ascii="Times New Roman" w:hAnsi="Times New Roman"/>
          <w:bCs/>
        </w:rPr>
        <w:t>≤</w:t>
      </w:r>
      <w:r>
        <w:rPr>
          <w:rFonts w:ascii="Times New Roman" w:hAnsi="Times New Roman"/>
          <w:bCs/>
          <w:i/>
        </w:rPr>
        <w:t>d</w:t>
      </w:r>
      <w:r>
        <w:rPr>
          <w:rFonts w:hint="eastAsia" w:ascii="Times New Roman" w:hAnsi="Times New Roman"/>
          <w:bCs/>
          <w:i/>
        </w:rPr>
        <w:t>+</w:t>
      </w:r>
      <w:r>
        <w:rPr>
          <w:rFonts w:ascii="Times New Roman" w:hAnsi="Times New Roman"/>
          <w:bCs/>
        </w:rPr>
        <w:t>(3</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)/tan</w:t>
      </w:r>
      <w:r>
        <w:rPr>
          <w:rFonts w:ascii="Times New Roman" w:hAnsi="Times New Roman"/>
          <w:bCs/>
          <w:i/>
          <w:iCs/>
        </w:rPr>
        <w:t>θ</w:t>
      </w:r>
      <w:r>
        <w:rPr>
          <w:rFonts w:hint="eastAsia" w:ascii="Times New Roman" w:hAnsi="Times New Roman"/>
          <w:bCs/>
        </w:rPr>
        <w:t>时</w:t>
      </w:r>
    </w:p>
    <w:tbl>
      <w:tblPr>
        <w:tblStyle w:val="32"/>
        <w:tblW w:w="0" w:type="auto"/>
        <w:tblInd w:w="0" w:type="dxa"/>
        <w:tblLayout w:type="fixed"/>
        <w:tblCellMar>
          <w:top w:w="0" w:type="dxa"/>
          <w:left w:w="108" w:type="dxa"/>
          <w:bottom w:w="0" w:type="dxa"/>
          <w:right w:w="108" w:type="dxa"/>
        </w:tblCellMar>
      </w:tblPr>
      <w:tblGrid>
        <w:gridCol w:w="5253"/>
        <w:gridCol w:w="4601"/>
      </w:tblGrid>
      <w:tr>
        <w:tblPrEx>
          <w:tblCellMar>
            <w:top w:w="0" w:type="dxa"/>
            <w:left w:w="108" w:type="dxa"/>
            <w:bottom w:w="0" w:type="dxa"/>
            <w:right w:w="108" w:type="dxa"/>
          </w:tblCellMar>
        </w:tblPrEx>
        <w:tc>
          <w:tcPr>
            <w:tcW w:w="5253" w:type="dxa"/>
          </w:tcPr>
          <w:p>
            <w:pPr>
              <w:widowControl w:val="0"/>
              <w:jc w:val="right"/>
              <w:rPr>
                <w:rFonts w:ascii="Times New Roman" w:hAnsi="Times New Roman"/>
                <w:position w:val="-28"/>
                <w:sz w:val="28"/>
                <w:szCs w:val="28"/>
              </w:rPr>
            </w:pPr>
            <w:r>
              <w:rPr>
                <w:rFonts w:ascii="宋体" w:hAnsi="宋体"/>
                <w:position w:val="-28"/>
                <w:sz w:val="28"/>
                <w:szCs w:val="28"/>
              </w:rPr>
              <w:object>
                <v:shape id="_x0000_i1060" o:spt="75" type="#_x0000_t75" style="height:33.25pt;width:112.35pt;" o:ole="t" filled="f" coordsize="21600,21600">
                  <v:path/>
                  <v:fill on="f" focussize="0,0"/>
                  <v:stroke/>
                  <v:imagedata r:id="rId151" o:title=""/>
                  <o:lock v:ext="edit" aspectratio="t"/>
                  <w10:wrap type="none"/>
                  <w10:anchorlock/>
                </v:shape>
                <o:OLEObject Type="Embed" ProgID="Equation.3" ShapeID="_x0000_i1060" DrawAspect="Content" ObjectID="_1468075760" r:id="rId150">
                  <o:LockedField>false</o:LockedField>
                </o:OLEObject>
              </w:object>
            </w:r>
          </w:p>
        </w:tc>
        <w:tc>
          <w:tcPr>
            <w:tcW w:w="4601" w:type="dxa"/>
          </w:tcPr>
          <w:p>
            <w:pPr>
              <w:widowControl w:val="0"/>
              <w:spacing w:line="720" w:lineRule="auto"/>
              <w:jc w:val="right"/>
              <w:rPr>
                <w:rFonts w:ascii="Times New Roman" w:hAnsi="Times New Roman"/>
                <w:position w:val="-28"/>
                <w:sz w:val="28"/>
                <w:szCs w:val="28"/>
              </w:rPr>
            </w:pPr>
            <w:r>
              <w:rPr>
                <w:rFonts w:hint="eastAsia" w:ascii="Times New Roman" w:hAnsi="Times New Roman"/>
              </w:rPr>
              <w:t>（</w:t>
            </w:r>
            <w:r>
              <w:rPr>
                <w:rFonts w:ascii="Times New Roman" w:hAnsi="Times New Roman"/>
              </w:rPr>
              <w:t>5.5.4-</w:t>
            </w:r>
            <w:r>
              <w:rPr>
                <w:rFonts w:hint="eastAsia" w:ascii="Times New Roman" w:hAnsi="Times New Roman"/>
              </w:rPr>
              <w:t>4）</w:t>
            </w:r>
          </w:p>
        </w:tc>
      </w:tr>
    </w:tbl>
    <w:p>
      <w:pPr>
        <w:widowControl w:val="0"/>
        <w:spacing w:line="480" w:lineRule="exact"/>
        <w:rPr>
          <w:rFonts w:ascii="Times New Roman" w:hAnsi="Times New Roman"/>
        </w:rPr>
      </w:pPr>
      <w:r>
        <w:rPr>
          <w:rFonts w:hint="eastAsia" w:ascii="Times New Roman" w:hAnsi="Times New Roman"/>
        </w:rPr>
        <w:t>式中：</w:t>
      </w:r>
      <w:r>
        <w:rPr>
          <w:rFonts w:ascii="Times New Roman" w:hAnsi="Times New Roman"/>
          <w:i/>
        </w:rPr>
        <w:t>b</w:t>
      </w:r>
      <w:r>
        <w:rPr>
          <w:rFonts w:hint="eastAsia" w:ascii="Times New Roman" w:hAnsi="Times New Roman"/>
          <w:bCs/>
        </w:rPr>
        <w:t xml:space="preserve"> </w:t>
      </w:r>
      <w:r>
        <w:rPr>
          <w:rFonts w:ascii="Times New Roman" w:hAnsi="Times New Roman"/>
          <w:szCs w:val="24"/>
        </w:rPr>
        <w:t>——</w:t>
      </w:r>
      <w:r>
        <w:rPr>
          <w:rFonts w:hint="eastAsia" w:ascii="Times New Roman" w:hAnsi="Times New Roman"/>
          <w:bCs/>
        </w:rPr>
        <w:t>与基坑边垂直方向上的基础尺寸</w:t>
      </w:r>
      <w:r>
        <w:rPr>
          <w:rFonts w:ascii="Times New Roman" w:hAnsi="Times New Roman"/>
        </w:rPr>
        <w:t>(m)</w:t>
      </w:r>
      <w:r>
        <w:rPr>
          <w:rFonts w:hint="eastAsia" w:ascii="Times New Roman" w:hAnsi="Times New Roman"/>
        </w:rPr>
        <w:t>；</w:t>
      </w:r>
    </w:p>
    <w:p>
      <w:pPr>
        <w:widowControl w:val="0"/>
        <w:spacing w:line="480" w:lineRule="exact"/>
        <w:ind w:firstLine="789" w:firstLineChars="329"/>
        <w:rPr>
          <w:rFonts w:hint="eastAsia" w:ascii="Times New Roman" w:hAnsi="Times New Roman" w:eastAsia="宋体"/>
          <w:lang w:eastAsia="zh-CN"/>
        </w:rPr>
      </w:pPr>
      <w:r>
        <w:rPr>
          <w:rFonts w:ascii="Times New Roman" w:hAnsi="Times New Roman"/>
          <w:i/>
          <w:iCs/>
        </w:rPr>
        <w:t>l</w:t>
      </w:r>
      <w:r>
        <w:rPr>
          <w:rFonts w:hint="eastAsia" w:ascii="Times New Roman" w:hAnsi="Times New Roman"/>
          <w:bCs/>
        </w:rPr>
        <w:t xml:space="preserve"> </w:t>
      </w:r>
      <w:r>
        <w:rPr>
          <w:rFonts w:ascii="Times New Roman" w:hAnsi="Times New Roman"/>
          <w:szCs w:val="24"/>
        </w:rPr>
        <w:t>——</w:t>
      </w:r>
      <w:r>
        <w:rPr>
          <w:rFonts w:hint="eastAsia" w:ascii="Times New Roman" w:hAnsi="Times New Roman"/>
          <w:bCs/>
        </w:rPr>
        <w:t>与基坑边平行方向上</w:t>
      </w:r>
      <w:r>
        <w:rPr>
          <w:rFonts w:hint="eastAsia" w:ascii="Times New Roman" w:hAnsi="Times New Roman"/>
        </w:rPr>
        <w:t>的基础尺寸</w:t>
      </w:r>
      <w:r>
        <w:rPr>
          <w:rFonts w:ascii="Times New Roman" w:hAnsi="Times New Roman"/>
        </w:rPr>
        <w:t>(m)</w:t>
      </w:r>
      <w:r>
        <w:rPr>
          <w:rFonts w:hint="eastAsia" w:ascii="Times New Roman" w:hAnsi="Times New Roman"/>
          <w:lang w:eastAsia="zh-CN"/>
        </w:rPr>
        <w:t>。</w:t>
      </w:r>
    </w:p>
    <w:p>
      <w:pPr>
        <w:widowControl w:val="0"/>
        <w:spacing w:line="360" w:lineRule="auto"/>
        <w:ind w:firstLine="480" w:firstLineChars="200"/>
        <w:rPr>
          <w:rFonts w:ascii="Times New Roman" w:hAnsi="Times New Roman"/>
          <w:bCs/>
        </w:rPr>
      </w:pPr>
      <w:r>
        <w:rPr>
          <w:rFonts w:hint="eastAsia" w:ascii="Times New Roman" w:hAnsi="Times New Roman"/>
          <w:bCs/>
        </w:rPr>
        <w:t>当</w:t>
      </w:r>
      <w:r>
        <w:rPr>
          <w:rFonts w:ascii="Times New Roman" w:hAnsi="Times New Roman"/>
          <w:i/>
          <w:iCs/>
          <w:position w:val="-12"/>
        </w:rPr>
        <w:object>
          <v:shape id="_x0000_i1061" o:spt="75" type="#_x0000_t75" style="height:18.2pt;width:15.05pt;" o:ole="t" filled="f" coordsize="21600,21600">
            <v:path/>
            <v:fill on="f" focussize="0,0"/>
            <v:stroke/>
            <v:imagedata r:id="rId144" o:title=""/>
            <o:lock v:ext="edit" aspectratio="t"/>
            <w10:wrap type="none"/>
            <w10:anchorlock/>
          </v:shape>
          <o:OLEObject Type="Embed" ProgID="Equation.3" ShapeID="_x0000_i1061" DrawAspect="Content" ObjectID="_1468075761" r:id="rId152">
            <o:LockedField>false</o:LockedField>
          </o:OLEObject>
        </w:object>
      </w:r>
      <w:r>
        <w:rPr>
          <w:rFonts w:ascii="Times New Roman" w:hAnsi="Times New Roman"/>
          <w:bCs/>
        </w:rPr>
        <w:t>&lt;</w:t>
      </w:r>
      <w:r>
        <w:rPr>
          <w:rFonts w:ascii="Times New Roman" w:hAnsi="Times New Roman"/>
          <w:bCs/>
          <w:i/>
        </w:rPr>
        <w:t>d</w:t>
      </w:r>
      <w:r>
        <w:rPr>
          <w:rFonts w:hint="eastAsia" w:ascii="Times New Roman" w:hAnsi="Times New Roman"/>
          <w:bCs/>
        </w:rPr>
        <w:t>＋</w:t>
      </w:r>
      <w:r>
        <w:rPr>
          <w:rFonts w:ascii="Times New Roman" w:hAnsi="Times New Roman"/>
          <w:bCs/>
          <w:i/>
        </w:rPr>
        <w:t>a</w:t>
      </w:r>
      <w:r>
        <w:rPr>
          <w:rFonts w:ascii="Times New Roman" w:hAnsi="Times New Roman"/>
          <w:bCs/>
        </w:rPr>
        <w:t>/tan45</w:t>
      </w:r>
      <w:r>
        <w:rPr>
          <w:rFonts w:ascii="Times New Roman" w:hAnsi="Times New Roman"/>
        </w:rPr>
        <w:t>°</w:t>
      </w:r>
      <w:r>
        <w:rPr>
          <w:rFonts w:hint="eastAsia" w:ascii="Times New Roman" w:hAnsi="Times New Roman"/>
          <w:bCs/>
        </w:rPr>
        <w:t>或</w:t>
      </w:r>
      <w:r>
        <w:rPr>
          <w:rFonts w:ascii="Times New Roman" w:hAnsi="Times New Roman"/>
          <w:i/>
          <w:iCs/>
          <w:position w:val="-12"/>
        </w:rPr>
        <w:object>
          <v:shape id="_x0000_i1062" o:spt="75" type="#_x0000_t75" style="height:18.2pt;width:15.05pt;" o:ole="t" filled="f" coordsize="21600,21600">
            <v:path/>
            <v:fill on="f" focussize="0,0"/>
            <v:stroke/>
            <v:imagedata r:id="rId144" o:title=""/>
            <o:lock v:ext="edit" aspectratio="t"/>
            <w10:wrap type="none"/>
            <w10:anchorlock/>
          </v:shape>
          <o:OLEObject Type="Embed" ProgID="Equation.3" ShapeID="_x0000_i1062" DrawAspect="Content" ObjectID="_1468075762" r:id="rId153">
            <o:LockedField>false</o:LockedField>
          </o:OLEObject>
        </w:object>
      </w:r>
      <w:r>
        <w:rPr>
          <w:rFonts w:ascii="Times New Roman" w:hAnsi="Times New Roman"/>
          <w:bCs/>
        </w:rPr>
        <w:t>&gt;</w:t>
      </w:r>
      <w:r>
        <w:rPr>
          <w:rFonts w:ascii="Times New Roman" w:hAnsi="Times New Roman"/>
          <w:bCs/>
          <w:i/>
        </w:rPr>
        <w:t>d</w:t>
      </w:r>
      <w:r>
        <w:rPr>
          <w:rFonts w:hint="eastAsia" w:ascii="Times New Roman" w:hAnsi="Times New Roman"/>
          <w:bCs/>
        </w:rPr>
        <w:t>＋</w:t>
      </w:r>
      <w:r>
        <w:rPr>
          <w:rFonts w:ascii="Times New Roman" w:hAnsi="Times New Roman"/>
          <w:bCs/>
        </w:rPr>
        <w:t>(3</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)/tan45</w:t>
      </w:r>
      <w:r>
        <w:rPr>
          <w:rFonts w:ascii="Times New Roman" w:hAnsi="Times New Roman"/>
        </w:rPr>
        <w:t>°</w:t>
      </w:r>
      <w:r>
        <w:rPr>
          <w:rFonts w:hint="eastAsia" w:ascii="Times New Roman" w:hAnsi="Times New Roman"/>
          <w:bCs/>
        </w:rPr>
        <w:t>时，取</w:t>
      </w:r>
      <w:r>
        <w:rPr>
          <w:rFonts w:ascii="Times New Roman" w:hAnsi="Times New Roman"/>
          <w:position w:val="-10"/>
          <w:sz w:val="28"/>
          <w:szCs w:val="28"/>
          <w:vertAlign w:val="subscript"/>
        </w:rPr>
        <w:object>
          <v:shape id="_x0000_i1063" o:spt="75" type="#_x0000_t75" style="height:16.6pt;width:43.5pt;" o:ole="t" filled="f" coordsize="21600,21600">
            <v:path/>
            <v:fill on="f" focussize="0,0"/>
            <v:stroke/>
            <v:imagedata r:id="rId148" o:title=""/>
            <o:lock v:ext="edit" aspectratio="t"/>
            <w10:wrap type="none"/>
            <w10:anchorlock/>
          </v:shape>
          <o:OLEObject Type="Embed" ProgID="Equation.3" ShapeID="_x0000_i1063" DrawAspect="Content" ObjectID="_1468075763" r:id="rId154">
            <o:LockedField>false</o:LockedField>
          </o:OLEObject>
        </w:object>
      </w:r>
      <w:r>
        <w:rPr>
          <w:rFonts w:hint="eastAsia" w:ascii="Times New Roman" w:hAnsi="Times New Roman"/>
          <w:bCs/>
        </w:rPr>
        <w:t>。</w:t>
      </w:r>
    </w:p>
    <w:p>
      <w:pPr>
        <w:widowControl w:val="0"/>
        <w:jc w:val="center"/>
        <w:rPr>
          <w:rFonts w:ascii="Times New Roman" w:hAnsi="Times New Roman"/>
        </w:rPr>
      </w:pPr>
      <w:r>
        <w:rPr>
          <w:rFonts w:ascii="Times New Roman" w:hAnsi="Times New Roman"/>
        </w:rPr>
        <w:drawing>
          <wp:inline distT="0" distB="0" distL="0" distR="0">
            <wp:extent cx="2849880" cy="2484120"/>
            <wp:effectExtent l="0" t="0" r="0" b="0"/>
            <wp:docPr id="349" name="图片 3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true" noChangeArrowheads="true"/>
                    </pic:cNvPicPr>
                  </pic:nvPicPr>
                  <pic:blipFill>
                    <a:blip r:embed="rId155">
                      <a:extLst>
                        <a:ext uri="{28A0092B-C50C-407E-A947-70E740481C1C}">
                          <a14:useLocalDpi xmlns:a14="http://schemas.microsoft.com/office/drawing/2010/main" val="false"/>
                        </a:ext>
                      </a:extLst>
                    </a:blip>
                    <a:srcRect/>
                    <a:stretch>
                      <a:fillRect/>
                    </a:stretch>
                  </pic:blipFill>
                  <pic:spPr>
                    <a:xfrm>
                      <a:off x="0" y="0"/>
                      <a:ext cx="2849880" cy="2484120"/>
                    </a:xfrm>
                    <a:prstGeom prst="rect">
                      <a:avLst/>
                    </a:prstGeom>
                    <a:noFill/>
                    <a:ln>
                      <a:noFill/>
                    </a:ln>
                  </pic:spPr>
                </pic:pic>
              </a:graphicData>
            </a:graphic>
          </wp:inline>
        </w:drawing>
      </w:r>
    </w:p>
    <w:p>
      <w:pPr>
        <w:widowControl w:val="0"/>
        <w:jc w:val="center"/>
        <w:rPr>
          <w:rFonts w:ascii="Times New Roman" w:hAnsi="Times New Roman"/>
          <w:sz w:val="21"/>
          <w:szCs w:val="21"/>
        </w:rPr>
      </w:pPr>
      <w:r>
        <w:rPr>
          <w:rFonts w:hint="eastAsia" w:ascii="Times New Roman" w:hAnsi="Times New Roman"/>
          <w:b/>
          <w:bCs/>
          <w:sz w:val="21"/>
          <w:szCs w:val="21"/>
        </w:rPr>
        <w:t>图</w:t>
      </w:r>
      <w:r>
        <w:rPr>
          <w:rFonts w:ascii="Times New Roman" w:hAnsi="Times New Roman"/>
          <w:b/>
          <w:bCs/>
          <w:sz w:val="21"/>
          <w:szCs w:val="21"/>
        </w:rPr>
        <w:t xml:space="preserve">5.5.4-2 </w:t>
      </w:r>
      <w:r>
        <w:rPr>
          <w:rFonts w:hint="eastAsia" w:ascii="Times New Roman" w:hAnsi="Times New Roman"/>
          <w:b/>
          <w:bCs/>
          <w:sz w:val="21"/>
          <w:szCs w:val="21"/>
        </w:rPr>
        <w:t>条形或矩形基础产生附加竖向应力简图</w:t>
      </w:r>
    </w:p>
    <w:p>
      <w:pPr>
        <w:widowControl w:val="0"/>
        <w:spacing w:line="480" w:lineRule="exact"/>
        <w:ind w:firstLine="480" w:firstLineChars="200"/>
        <w:rPr>
          <w:rFonts w:ascii="Times New Roman" w:hAnsi="Times New Roman"/>
        </w:rPr>
      </w:pPr>
      <w:r>
        <w:rPr>
          <w:rFonts w:ascii="Times New Roman" w:hAnsi="Times New Roman"/>
        </w:rPr>
        <w:t xml:space="preserve">3 </w:t>
      </w:r>
      <w:r>
        <w:rPr>
          <w:rFonts w:hint="eastAsia" w:ascii="Times New Roman" w:hAnsi="Times New Roman"/>
        </w:rPr>
        <w:t>支护结构上部土体放坡时，可将上部放坡看做附加荷载</w:t>
      </w:r>
      <w:r>
        <w:rPr>
          <w:rFonts w:hint="eastAsia" w:ascii="Times New Roman" w:hAnsi="Times New Roman"/>
          <w:position w:val="-12"/>
        </w:rPr>
        <w:object>
          <v:shape id="_x0000_i1064" o:spt="75" type="#_x0000_t75" style="height:18.2pt;width:60.9pt;" o:ole="t" filled="f" coordsize="21600,21600">
            <v:path/>
            <v:fill on="f" focussize="0,0"/>
            <v:stroke/>
            <v:imagedata r:id="rId157" o:title=""/>
            <o:lock v:ext="edit" aspectratio="t"/>
            <w10:wrap type="none"/>
            <w10:anchorlock/>
          </v:shape>
          <o:OLEObject Type="Embed" ProgID="Equation.3" ShapeID="_x0000_i1064" DrawAspect="Content" ObjectID="_1468075764" r:id="rId156">
            <o:LockedField>false</o:LockedField>
          </o:OLEObject>
        </w:object>
      </w:r>
      <w:r>
        <w:rPr>
          <w:rFonts w:hint="eastAsia" w:ascii="Times New Roman" w:hAnsi="Times New Roman"/>
        </w:rPr>
        <w:t>（图</w:t>
      </w:r>
      <w:r>
        <w:rPr>
          <w:rFonts w:ascii="Times New Roman" w:hAnsi="Times New Roman"/>
        </w:rPr>
        <w:t>5.5.4-</w:t>
      </w:r>
      <w:r>
        <w:rPr>
          <w:rFonts w:hint="eastAsia" w:ascii="Times New Roman" w:hAnsi="Times New Roman"/>
        </w:rPr>
        <w:t>3）：</w:t>
      </w:r>
    </w:p>
    <w:p>
      <w:pPr>
        <w:widowControl w:val="0"/>
        <w:ind w:firstLine="480" w:firstLineChars="200"/>
        <w:jc w:val="left"/>
        <w:rPr>
          <w:rFonts w:ascii="Times New Roman" w:hAnsi="Times New Roman"/>
        </w:rPr>
      </w:pPr>
      <w:r>
        <w:rPr>
          <w:rFonts w:ascii="Times New Roman" w:hAnsi="Times New Roman"/>
        </w:rPr>
        <w:t xml:space="preserve">1)  </w:t>
      </w:r>
      <w:r>
        <w:rPr>
          <w:rFonts w:ascii="Times New Roman" w:hAnsi="Times New Roman"/>
          <w:i/>
          <w:iCs/>
          <w:position w:val="-12"/>
        </w:rPr>
        <w:object>
          <v:shape id="_x0000_i1065" o:spt="75" type="#_x0000_t75" style="height:18.2pt;width:15.05pt;" o:ole="t" filled="f" coordsize="21600,21600">
            <v:path/>
            <v:fill on="f" focussize="0,0"/>
            <v:stroke/>
            <v:imagedata r:id="rId144" o:title=""/>
            <o:lock v:ext="edit" aspectratio="t"/>
            <w10:wrap type="none"/>
            <w10:anchorlock/>
          </v:shape>
          <o:OLEObject Type="Embed" ProgID="Equation.3" ShapeID="_x0000_i1065" DrawAspect="Content" ObjectID="_1468075765" r:id="rId158">
            <o:LockedField>false</o:LockedField>
          </o:OLEObject>
        </w:object>
      </w:r>
      <w:r>
        <w:rPr>
          <w:rFonts w:hint="eastAsia" w:ascii="Times New Roman" w:hAnsi="Times New Roman"/>
        </w:rPr>
        <w:t>≤</w:t>
      </w:r>
      <w:r>
        <w:rPr>
          <w:rFonts w:ascii="Times New Roman" w:hAnsi="Times New Roman"/>
          <w:i/>
          <w:iCs/>
        </w:rPr>
        <w:t>a</w:t>
      </w:r>
      <w:r>
        <w:rPr>
          <w:rFonts w:hint="eastAsia" w:ascii="Times New Roman" w:hAnsi="Times New Roman"/>
        </w:rPr>
        <w:t>时，</w:t>
      </w:r>
      <w:r>
        <w:rPr>
          <w:rFonts w:ascii="Times New Roman" w:hAnsi="Times New Roman"/>
          <w:position w:val="-10"/>
          <w:sz w:val="28"/>
          <w:szCs w:val="28"/>
          <w:vertAlign w:val="subscript"/>
        </w:rPr>
        <w:object>
          <v:shape id="_x0000_i1066" o:spt="75" type="#_x0000_t75" style="height:16.6pt;width:43.5pt;" o:ole="t" filled="f" coordsize="21600,21600">
            <v:path/>
            <v:fill on="f" focussize="0,0"/>
            <v:stroke/>
            <v:imagedata r:id="rId148" o:title=""/>
            <o:lock v:ext="edit" aspectratio="t"/>
            <w10:wrap type="none"/>
            <w10:anchorlock/>
          </v:shape>
          <o:OLEObject Type="Embed" ProgID="Equation.3" ShapeID="_x0000_i1066" DrawAspect="Content" ObjectID="_1468075766" r:id="rId159">
            <o:LockedField>false</o:LockedField>
          </o:OLEObject>
        </w:object>
      </w:r>
      <w:r>
        <w:rPr>
          <w:rFonts w:hint="eastAsia" w:ascii="Times New Roman" w:hAnsi="Times New Roman"/>
        </w:rPr>
        <w:t xml:space="preserve">                               （5.5.4-5）</w:t>
      </w:r>
    </w:p>
    <w:p>
      <w:pPr>
        <w:widowControl w:val="0"/>
        <w:ind w:firstLine="480" w:firstLineChars="200"/>
        <w:jc w:val="left"/>
        <w:rPr>
          <w:rFonts w:ascii="Times New Roman" w:hAnsi="Times New Roman"/>
        </w:rPr>
      </w:pPr>
      <w:r>
        <w:rPr>
          <w:rFonts w:ascii="Times New Roman" w:hAnsi="Times New Roman"/>
        </w:rPr>
        <w:t xml:space="preserve">2)  </w:t>
      </w:r>
      <w:r>
        <w:rPr>
          <w:rFonts w:ascii="Times New Roman" w:hAnsi="Times New Roman"/>
          <w:i/>
          <w:iCs/>
        </w:rPr>
        <w:t>a</w:t>
      </w:r>
      <w:r>
        <w:rPr>
          <w:rFonts w:hint="eastAsia" w:ascii="Times New Roman" w:hAnsi="Times New Roman"/>
        </w:rPr>
        <w:t>≤</w:t>
      </w:r>
      <w:r>
        <w:rPr>
          <w:rFonts w:ascii="Times New Roman" w:hAnsi="Times New Roman"/>
          <w:i/>
          <w:iCs/>
          <w:position w:val="-12"/>
        </w:rPr>
        <w:object>
          <v:shape id="_x0000_i1067" o:spt="75" type="#_x0000_t75" style="height:18.2pt;width:15.05pt;" o:ole="t" filled="f" coordsize="21600,21600">
            <v:path/>
            <v:fill on="f" focussize="0,0"/>
            <v:stroke/>
            <v:imagedata r:id="rId144" o:title=""/>
            <o:lock v:ext="edit" aspectratio="t"/>
            <w10:wrap type="none"/>
            <w10:anchorlock/>
          </v:shape>
          <o:OLEObject Type="Embed" ProgID="Equation.3" ShapeID="_x0000_i1067" DrawAspect="Content" ObjectID="_1468075767" r:id="rId160">
            <o:LockedField>false</o:LockedField>
          </o:OLEObject>
        </w:object>
      </w:r>
      <w:r>
        <w:rPr>
          <w:rFonts w:hint="eastAsia" w:ascii="Times New Roman" w:hAnsi="Times New Roman"/>
        </w:rPr>
        <w:t>≤（</w:t>
      </w:r>
      <w:r>
        <w:rPr>
          <w:rFonts w:ascii="Times New Roman" w:hAnsi="Times New Roman"/>
          <w:i/>
          <w:iCs/>
        </w:rPr>
        <w:t>a</w:t>
      </w:r>
      <w:r>
        <w:rPr>
          <w:rFonts w:ascii="Times New Roman" w:hAnsi="Times New Roman"/>
        </w:rPr>
        <w:t>+</w:t>
      </w:r>
      <w:r>
        <w:rPr>
          <w:rFonts w:ascii="Times New Roman" w:hAnsi="Times New Roman"/>
          <w:i/>
          <w:iCs/>
        </w:rPr>
        <w:t>b</w:t>
      </w:r>
      <w:r>
        <w:rPr>
          <w:rFonts w:hint="eastAsia" w:ascii="Times New Roman" w:hAnsi="Times New Roman"/>
        </w:rPr>
        <w:t>）时，</w:t>
      </w:r>
      <w:r>
        <w:rPr>
          <w:rFonts w:hint="eastAsia" w:ascii="Times New Roman" w:hAnsi="Times New Roman"/>
          <w:position w:val="-24"/>
        </w:rPr>
        <w:object>
          <v:shape id="_x0000_i1068" o:spt="75" type="#_x0000_t75" style="height:30.85pt;width:80.7pt;" o:ole="t" filled="f" coordsize="21600,21600">
            <v:path/>
            <v:fill on="f" focussize="0,0"/>
            <v:stroke/>
            <v:imagedata r:id="rId162" o:title=""/>
            <o:lock v:ext="edit" aspectratio="t"/>
            <w10:wrap type="none"/>
            <w10:anchorlock/>
          </v:shape>
          <o:OLEObject Type="Embed" ProgID="Equation.3" ShapeID="_x0000_i1068" DrawAspect="Content" ObjectID="_1468075768" r:id="rId161">
            <o:LockedField>false</o:LockedField>
          </o:OLEObject>
        </w:object>
      </w:r>
      <w:r>
        <w:rPr>
          <w:rFonts w:hint="eastAsia" w:ascii="Times New Roman" w:hAnsi="Times New Roman"/>
        </w:rPr>
        <w:t xml:space="preserve">                （5.5.4-6）</w:t>
      </w:r>
    </w:p>
    <w:p>
      <w:pPr>
        <w:widowControl w:val="0"/>
        <w:ind w:firstLine="480" w:firstLineChars="200"/>
        <w:jc w:val="left"/>
        <w:rPr>
          <w:rFonts w:ascii="Times New Roman" w:hAnsi="Times New Roman"/>
        </w:rPr>
      </w:pPr>
      <w:r>
        <w:rPr>
          <w:rFonts w:ascii="Times New Roman" w:hAnsi="Times New Roman"/>
        </w:rPr>
        <w:t xml:space="preserve">3)  </w:t>
      </w:r>
      <w:r>
        <w:rPr>
          <w:rFonts w:ascii="Times New Roman" w:hAnsi="Times New Roman"/>
          <w:i/>
          <w:iCs/>
          <w:position w:val="-12"/>
        </w:rPr>
        <w:object>
          <v:shape id="_x0000_i1069" o:spt="75" type="#_x0000_t75" style="height:18.2pt;width:15.05pt;" o:ole="t" filled="f" coordsize="21600,21600">
            <v:path/>
            <v:fill on="f" focussize="0,0"/>
            <v:stroke/>
            <v:imagedata r:id="rId144" o:title=""/>
            <o:lock v:ext="edit" aspectratio="t"/>
            <w10:wrap type="none"/>
            <w10:anchorlock/>
          </v:shape>
          <o:OLEObject Type="Embed" ProgID="Equation.3" ShapeID="_x0000_i1069" DrawAspect="Content" ObjectID="_1468075769" r:id="rId163">
            <o:LockedField>false</o:LockedField>
          </o:OLEObject>
        </w:object>
      </w:r>
      <w:r>
        <w:rPr>
          <w:rFonts w:hint="eastAsia" w:ascii="Times New Roman" w:hAnsi="Times New Roman"/>
        </w:rPr>
        <w:t>＞（</w:t>
      </w:r>
      <w:r>
        <w:rPr>
          <w:rFonts w:ascii="Times New Roman" w:hAnsi="Times New Roman"/>
          <w:i/>
          <w:iCs/>
        </w:rPr>
        <w:t>a</w:t>
      </w:r>
      <w:r>
        <w:rPr>
          <w:rFonts w:ascii="Times New Roman" w:hAnsi="Times New Roman"/>
        </w:rPr>
        <w:t>+</w:t>
      </w:r>
      <w:r>
        <w:rPr>
          <w:rFonts w:ascii="Times New Roman" w:hAnsi="Times New Roman"/>
          <w:i/>
          <w:iCs/>
        </w:rPr>
        <w:t>b</w:t>
      </w:r>
      <w:r>
        <w:rPr>
          <w:rFonts w:hint="eastAsia" w:ascii="Times New Roman" w:hAnsi="Times New Roman"/>
        </w:rPr>
        <w:t>）时，</w:t>
      </w:r>
      <w:r>
        <w:rPr>
          <w:rFonts w:hint="eastAsia" w:ascii="Times New Roman" w:hAnsi="Times New Roman"/>
          <w:position w:val="-12"/>
        </w:rPr>
        <w:object>
          <v:shape id="_x0000_i1070" o:spt="75" type="#_x0000_t75" style="height:18.2pt;width:41.95pt;" o:ole="t" filled="f" coordsize="21600,21600">
            <v:path/>
            <v:fill on="f" focussize="0,0"/>
            <v:stroke/>
            <v:imagedata r:id="rId165" o:title=""/>
            <o:lock v:ext="edit" aspectratio="t"/>
            <w10:wrap type="none"/>
            <w10:anchorlock/>
          </v:shape>
          <o:OLEObject Type="Embed" ProgID="Equation.3" ShapeID="_x0000_i1070" DrawAspect="Content" ObjectID="_1468075770" r:id="rId164">
            <o:LockedField>false</o:LockedField>
          </o:OLEObject>
        </w:object>
      </w:r>
      <w:r>
        <w:rPr>
          <w:rFonts w:ascii="Times New Roman" w:hAnsi="Times New Roman"/>
        </w:rPr>
        <w:t xml:space="preserve"> </w:t>
      </w:r>
      <w:r>
        <w:rPr>
          <w:rFonts w:hint="eastAsia" w:ascii="Times New Roman" w:hAnsi="Times New Roman"/>
        </w:rPr>
        <w:t xml:space="preserve">                         （5.5.4-7）</w:t>
      </w:r>
    </w:p>
    <w:p>
      <w:pPr>
        <w:widowControl w:val="0"/>
        <w:spacing w:line="360" w:lineRule="auto"/>
        <w:rPr>
          <w:rFonts w:ascii="Times New Roman" w:hAnsi="Times New Roman"/>
        </w:rPr>
      </w:pPr>
      <w:r>
        <w:rPr>
          <w:rFonts w:hint="eastAsia" w:ascii="Times New Roman" w:hAnsi="Times New Roman"/>
        </w:rPr>
        <w:t>式中：</w:t>
      </w:r>
      <w:r>
        <w:rPr>
          <w:rFonts w:ascii="Times New Roman" w:hAnsi="Times New Roman"/>
          <w:i/>
        </w:rPr>
        <w:t>b</w:t>
      </w:r>
      <w:r>
        <w:rPr>
          <w:rFonts w:hint="eastAsia" w:ascii="Times New Roman" w:hAnsi="Times New Roman"/>
          <w:i/>
        </w:rPr>
        <w:t xml:space="preserve"> </w:t>
      </w:r>
      <w:r>
        <w:rPr>
          <w:rFonts w:ascii="Times New Roman" w:hAnsi="Times New Roman"/>
          <w:szCs w:val="24"/>
        </w:rPr>
        <w:t>——</w:t>
      </w:r>
      <w:r>
        <w:rPr>
          <w:rFonts w:hint="eastAsia" w:ascii="Times New Roman" w:hAnsi="Times New Roman"/>
          <w:bCs/>
        </w:rPr>
        <w:t>与基坑边垂直方向上放坡宽度尺寸</w:t>
      </w:r>
      <w:r>
        <w:rPr>
          <w:rFonts w:hint="eastAsia" w:ascii="Times New Roman" w:hAnsi="Times New Roman"/>
        </w:rPr>
        <w:t>（</w:t>
      </w:r>
      <w:r>
        <w:rPr>
          <w:rFonts w:ascii="Times New Roman" w:hAnsi="Times New Roman"/>
        </w:rPr>
        <w:t>m</w:t>
      </w:r>
      <w:r>
        <w:rPr>
          <w:rFonts w:hint="eastAsia" w:ascii="Times New Roman" w:hAnsi="Times New Roman"/>
        </w:rPr>
        <w:t>）；</w:t>
      </w:r>
    </w:p>
    <w:p>
      <w:pPr>
        <w:widowControl w:val="0"/>
        <w:spacing w:line="360" w:lineRule="auto"/>
        <w:ind w:firstLine="669" w:firstLineChars="279"/>
        <w:rPr>
          <w:rFonts w:ascii="Times New Roman" w:hAnsi="Times New Roman"/>
        </w:rPr>
      </w:pPr>
      <w:r>
        <w:rPr>
          <w:rFonts w:ascii="Times New Roman" w:hAnsi="Times New Roman"/>
          <w:position w:val="-12"/>
        </w:rPr>
        <w:object>
          <v:shape id="_x0000_i1071" o:spt="75" type="#_x0000_t75" style="height:18.2pt;width:13.45pt;" o:ole="t" filled="f" coordsize="21600,21600">
            <v:path/>
            <v:fill on="f" focussize="0,0"/>
            <v:stroke/>
            <v:imagedata r:id="rId167" o:title=""/>
            <o:lock v:ext="edit" aspectratio="t"/>
            <w10:wrap type="none"/>
            <w10:anchorlock/>
          </v:shape>
          <o:OLEObject Type="Embed" ProgID="Equation.3" ShapeID="_x0000_i1071" DrawAspect="Content" ObjectID="_1468075771" r:id="rId166">
            <o:LockedField>false</o:LockedField>
          </o:OLEObject>
        </w:object>
      </w:r>
      <w:r>
        <w:rPr>
          <w:rFonts w:ascii="Times New Roman" w:hAnsi="Times New Roman"/>
          <w:szCs w:val="24"/>
        </w:rPr>
        <w:t>——</w:t>
      </w:r>
      <w:r>
        <w:rPr>
          <w:rFonts w:hint="eastAsia" w:ascii="Times New Roman" w:hAnsi="Times New Roman"/>
        </w:rPr>
        <w:t>放坡高度（</w:t>
      </w:r>
      <w:r>
        <w:rPr>
          <w:rFonts w:ascii="Times New Roman" w:hAnsi="Times New Roman"/>
        </w:rPr>
        <w:t>m</w:t>
      </w:r>
      <w:r>
        <w:rPr>
          <w:rFonts w:hint="eastAsia" w:ascii="Times New Roman" w:hAnsi="Times New Roman"/>
        </w:rPr>
        <w:t>）；</w:t>
      </w:r>
    </w:p>
    <w:p>
      <w:pPr>
        <w:widowControl w:val="0"/>
        <w:spacing w:line="360" w:lineRule="auto"/>
        <w:ind w:firstLine="720" w:firstLineChars="300"/>
        <w:rPr>
          <w:rFonts w:ascii="Times New Roman" w:hAnsi="Times New Roman"/>
        </w:rPr>
      </w:pPr>
      <w:r>
        <w:rPr>
          <w:rFonts w:ascii="Times New Roman" w:hAnsi="Times New Roman"/>
          <w:i/>
          <w:iCs/>
        </w:rPr>
        <w:t>a</w:t>
      </w:r>
      <w:r>
        <w:rPr>
          <w:rFonts w:hint="eastAsia" w:ascii="Times New Roman" w:hAnsi="Times New Roman"/>
          <w:i/>
          <w:iCs/>
        </w:rPr>
        <w:t xml:space="preserve"> </w:t>
      </w:r>
      <w:r>
        <w:rPr>
          <w:rFonts w:ascii="Times New Roman" w:hAnsi="Times New Roman"/>
          <w:szCs w:val="24"/>
        </w:rPr>
        <w:t>——</w:t>
      </w:r>
      <w:r>
        <w:rPr>
          <w:rFonts w:hint="eastAsia" w:ascii="Times New Roman" w:hAnsi="Times New Roman"/>
        </w:rPr>
        <w:t>支护结构外边至放坡坡脚的水平距离（</w:t>
      </w:r>
      <w:r>
        <w:rPr>
          <w:rFonts w:ascii="Times New Roman" w:hAnsi="Times New Roman"/>
        </w:rPr>
        <w:t>m</w:t>
      </w:r>
      <w:r>
        <w:rPr>
          <w:rFonts w:hint="eastAsia" w:ascii="Times New Roman" w:hAnsi="Times New Roman"/>
        </w:rPr>
        <w:t>）。</w:t>
      </w:r>
    </w:p>
    <w:p>
      <w:pPr>
        <w:widowControl w:val="0"/>
        <w:ind w:firstLine="360" w:firstLineChars="150"/>
        <w:jc w:val="center"/>
        <w:rPr>
          <w:rFonts w:ascii="Times New Roman" w:hAnsi="Times New Roman"/>
          <w:szCs w:val="28"/>
        </w:rPr>
      </w:pPr>
      <w:r>
        <w:rPr>
          <w:rFonts w:ascii="Times New Roman" w:hAnsi="Times New Roman"/>
        </w:rPr>
        <w:drawing>
          <wp:inline distT="0" distB="0" distL="0" distR="0">
            <wp:extent cx="2423160" cy="2453640"/>
            <wp:effectExtent l="0" t="0" r="0" b="0"/>
            <wp:docPr id="348" name="图片 3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true" noChangeArrowheads="true"/>
                    </pic:cNvPicPr>
                  </pic:nvPicPr>
                  <pic:blipFill>
                    <a:blip r:embed="rId168">
                      <a:extLst>
                        <a:ext uri="{28A0092B-C50C-407E-A947-70E740481C1C}">
                          <a14:useLocalDpi xmlns:a14="http://schemas.microsoft.com/office/drawing/2010/main" val="false"/>
                        </a:ext>
                      </a:extLst>
                    </a:blip>
                    <a:srcRect/>
                    <a:stretch>
                      <a:fillRect/>
                    </a:stretch>
                  </pic:blipFill>
                  <pic:spPr>
                    <a:xfrm>
                      <a:off x="0" y="0"/>
                      <a:ext cx="2423160" cy="2453640"/>
                    </a:xfrm>
                    <a:prstGeom prst="rect">
                      <a:avLst/>
                    </a:prstGeom>
                    <a:noFill/>
                    <a:ln>
                      <a:noFill/>
                    </a:ln>
                  </pic:spPr>
                </pic:pic>
              </a:graphicData>
            </a:graphic>
          </wp:inline>
        </w:drawing>
      </w:r>
    </w:p>
    <w:p>
      <w:pPr>
        <w:widowControl w:val="0"/>
        <w:ind w:firstLine="316" w:firstLineChars="150"/>
        <w:jc w:val="center"/>
      </w:pPr>
      <w:r>
        <w:rPr>
          <w:rFonts w:hint="eastAsia" w:ascii="Times New Roman" w:hAnsi="Times New Roman"/>
          <w:b/>
          <w:bCs/>
          <w:sz w:val="21"/>
          <w:szCs w:val="21"/>
        </w:rPr>
        <w:t>图</w:t>
      </w:r>
      <w:r>
        <w:rPr>
          <w:rFonts w:ascii="Times New Roman" w:hAnsi="Times New Roman"/>
          <w:b/>
          <w:bCs/>
          <w:sz w:val="21"/>
          <w:szCs w:val="21"/>
        </w:rPr>
        <w:t xml:space="preserve">5.5.4-3 </w:t>
      </w:r>
      <w:r>
        <w:rPr>
          <w:rFonts w:hint="eastAsia" w:ascii="Times New Roman" w:hAnsi="Times New Roman"/>
          <w:b/>
          <w:bCs/>
          <w:sz w:val="21"/>
          <w:szCs w:val="21"/>
        </w:rPr>
        <w:t>上部放坡产生附加竖向应力简图</w:t>
      </w:r>
    </w:p>
    <w:p>
      <w:pPr>
        <w:rPr>
          <w:rFonts w:ascii="Times New Roman" w:hAnsi="Times New Roman"/>
        </w:rPr>
      </w:pPr>
      <w:r>
        <w:rPr>
          <w:rFonts w:ascii="Times New Roman" w:hAnsi="Times New Roman"/>
        </w:rPr>
        <w:br w:type="page"/>
      </w:r>
    </w:p>
    <w:p>
      <w:pPr>
        <w:pStyle w:val="2"/>
        <w:bidi w:val="0"/>
      </w:pPr>
      <w:bookmarkStart w:id="271" w:name="_Toc18871"/>
      <w:bookmarkStart w:id="272" w:name="_Toc13953"/>
      <w:bookmarkStart w:id="273" w:name="_Toc5307"/>
      <w:bookmarkStart w:id="274" w:name="_Toc384309844"/>
      <w:bookmarkStart w:id="275" w:name="_Toc364431761"/>
      <w:bookmarkStart w:id="276" w:name="_Toc382559730"/>
      <w:bookmarkStart w:id="277" w:name="_Toc384304352"/>
      <w:bookmarkStart w:id="278" w:name="_Toc384310065"/>
      <w:bookmarkStart w:id="279" w:name="_Toc363547172"/>
      <w:bookmarkStart w:id="280" w:name="_Toc381951007"/>
      <w:bookmarkStart w:id="281" w:name="_Toc364930764"/>
      <w:bookmarkStart w:id="282" w:name="_Toc381950751"/>
      <w:bookmarkStart w:id="283" w:name="_Toc363548482"/>
      <w:bookmarkStart w:id="284" w:name="_Toc363566468"/>
      <w:bookmarkStart w:id="285" w:name="_Toc375039688"/>
      <w:bookmarkStart w:id="286" w:name="_Toc367261474"/>
      <w:bookmarkStart w:id="287" w:name="_Toc381951586"/>
      <w:bookmarkStart w:id="288" w:name="_Toc364680562"/>
      <w:bookmarkStart w:id="289" w:name="_Toc363803530"/>
      <w:bookmarkStart w:id="290" w:name="_Toc363199050"/>
      <w:bookmarkStart w:id="291" w:name="_Toc384300124"/>
      <w:bookmarkStart w:id="292" w:name="_Toc364772947"/>
      <w:bookmarkStart w:id="293" w:name="_Toc384300272"/>
      <w:bookmarkStart w:id="294" w:name="_Toc381951391"/>
      <w:bookmarkStart w:id="295" w:name="_Toc382559892"/>
      <w:bookmarkStart w:id="296" w:name="_Toc363133988"/>
      <w:r>
        <w:t>6</w:t>
      </w:r>
      <w:r>
        <w:rPr>
          <w:rFonts w:hint="eastAsia"/>
        </w:rPr>
        <w:t xml:space="preserve">  基坑稳定性</w:t>
      </w:r>
      <w:bookmarkEnd w:id="271"/>
      <w:bookmarkEnd w:id="272"/>
      <w:bookmarkEnd w:id="273"/>
    </w:p>
    <w:p>
      <w:pPr>
        <w:pStyle w:val="3"/>
        <w:bidi w:val="0"/>
      </w:pPr>
      <w:bookmarkStart w:id="297" w:name="_Toc388643547"/>
      <w:bookmarkStart w:id="298" w:name="_Toc4587"/>
      <w:bookmarkStart w:id="299" w:name="_Toc388643430"/>
      <w:bookmarkStart w:id="300" w:name="_Toc30042"/>
      <w:bookmarkStart w:id="301" w:name="_Toc813"/>
      <w:r>
        <w:rPr>
          <w:rFonts w:hint="eastAsia"/>
        </w:rPr>
        <w:t>6.1  一般规定</w:t>
      </w:r>
      <w:bookmarkEnd w:id="297"/>
      <w:bookmarkEnd w:id="298"/>
      <w:bookmarkEnd w:id="299"/>
      <w:bookmarkEnd w:id="300"/>
      <w:bookmarkEnd w:id="301"/>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Pr>
        <w:widowControl w:val="0"/>
        <w:spacing w:line="480" w:lineRule="exact"/>
        <w:rPr>
          <w:rFonts w:ascii="Times New Roman" w:hAnsi="Times New Roman"/>
          <w:color w:val="auto"/>
          <w:szCs w:val="28"/>
        </w:rPr>
      </w:pPr>
      <w:r>
        <w:rPr>
          <w:rFonts w:hint="eastAsia" w:ascii="Times New Roman" w:hAnsi="Times New Roman"/>
          <w:b/>
          <w:szCs w:val="28"/>
        </w:rPr>
        <w:t>6.1.1</w:t>
      </w:r>
      <w:r>
        <w:rPr>
          <w:rFonts w:hint="eastAsia" w:ascii="Times New Roman" w:hAnsi="Times New Roman"/>
          <w:szCs w:val="28"/>
        </w:rPr>
        <w:t xml:space="preserve"> 基坑支护工程应进行整体稳定性验算，必要时尚应进行基坑底抗隆起稳定性</w:t>
      </w:r>
      <w:r>
        <w:rPr>
          <w:rFonts w:hint="eastAsia" w:ascii="Times New Roman" w:hAnsi="Times New Roman"/>
          <w:szCs w:val="28"/>
          <w:lang w:val="en-US" w:eastAsia="zh-CN"/>
        </w:rPr>
        <w:t>和</w:t>
      </w:r>
      <w:r>
        <w:rPr>
          <w:rFonts w:hint="eastAsia" w:ascii="Times New Roman" w:hAnsi="Times New Roman"/>
          <w:szCs w:val="28"/>
        </w:rPr>
        <w:t>抗渗流稳定性验算。</w:t>
      </w:r>
      <w:r>
        <w:rPr>
          <w:rFonts w:hint="eastAsia" w:ascii="Times New Roman" w:hAnsi="Times New Roman"/>
          <w:color w:val="auto"/>
          <w:szCs w:val="28"/>
        </w:rPr>
        <w:t>不同支护结构类型应按如下规定验算相关的稳定性内容。</w:t>
      </w:r>
    </w:p>
    <w:p>
      <w:pPr>
        <w:widowControl w:val="0"/>
        <w:spacing w:line="480" w:lineRule="exact"/>
        <w:ind w:firstLine="480" w:firstLineChars="200"/>
        <w:rPr>
          <w:rFonts w:ascii="Times New Roman" w:hAnsi="Times New Roman"/>
          <w:color w:val="auto"/>
          <w:szCs w:val="28"/>
        </w:rPr>
      </w:pPr>
      <w:r>
        <w:rPr>
          <w:rFonts w:hint="eastAsia" w:ascii="Times New Roman" w:hAnsi="Times New Roman"/>
          <w:color w:val="auto"/>
          <w:szCs w:val="28"/>
        </w:rPr>
        <w:t>1板式支挡结构的稳定性验算内容包括整体稳定性、抗倾覆稳定性、坑底抗隆起稳定性</w:t>
      </w:r>
      <w:r>
        <w:rPr>
          <w:rFonts w:hint="eastAsia" w:ascii="Times New Roman" w:hAnsi="Times New Roman"/>
          <w:color w:val="auto"/>
          <w:szCs w:val="28"/>
          <w:lang w:val="en-US" w:eastAsia="zh-CN"/>
        </w:rPr>
        <w:t>和</w:t>
      </w:r>
      <w:r>
        <w:rPr>
          <w:rFonts w:hint="eastAsia" w:ascii="Times New Roman" w:hAnsi="Times New Roman"/>
          <w:color w:val="auto"/>
          <w:szCs w:val="28"/>
        </w:rPr>
        <w:t>抗渗流稳定性；</w:t>
      </w:r>
    </w:p>
    <w:p>
      <w:pPr>
        <w:widowControl w:val="0"/>
        <w:spacing w:line="480" w:lineRule="exact"/>
        <w:ind w:firstLine="480" w:firstLineChars="200"/>
        <w:rPr>
          <w:rFonts w:ascii="Times New Roman" w:hAnsi="Times New Roman"/>
          <w:color w:val="auto"/>
          <w:szCs w:val="28"/>
        </w:rPr>
      </w:pPr>
      <w:r>
        <w:rPr>
          <w:rFonts w:hint="eastAsia" w:ascii="Times New Roman" w:hAnsi="Times New Roman"/>
          <w:color w:val="auto"/>
          <w:szCs w:val="28"/>
        </w:rPr>
        <w:t>2 重力式水泥土墙的稳定性验算内容包括整体稳定性、抗倾覆稳定性、坑底抗隆起稳定性、抗滑移稳定性</w:t>
      </w:r>
      <w:r>
        <w:rPr>
          <w:rFonts w:hint="eastAsia" w:ascii="Times New Roman" w:hAnsi="Times New Roman"/>
          <w:color w:val="auto"/>
          <w:szCs w:val="28"/>
          <w:lang w:val="en-US" w:eastAsia="zh-CN"/>
        </w:rPr>
        <w:t>和</w:t>
      </w:r>
      <w:r>
        <w:rPr>
          <w:rFonts w:hint="eastAsia" w:ascii="Times New Roman" w:hAnsi="Times New Roman"/>
          <w:color w:val="auto"/>
          <w:szCs w:val="28"/>
        </w:rPr>
        <w:t>抗渗流稳定性，有关稳定性验算应符合本标准8.9相关规定；</w:t>
      </w:r>
    </w:p>
    <w:p>
      <w:pPr>
        <w:widowControl w:val="0"/>
        <w:spacing w:line="480" w:lineRule="exact"/>
        <w:ind w:firstLine="480" w:firstLineChars="200"/>
        <w:rPr>
          <w:rFonts w:hint="default" w:ascii="Times New Roman" w:hAnsi="Times New Roman" w:eastAsia="宋体"/>
          <w:color w:val="0000FF"/>
          <w:szCs w:val="28"/>
          <w:lang w:val="en-US" w:eastAsia="zh-CN"/>
        </w:rPr>
      </w:pPr>
      <w:r>
        <w:rPr>
          <w:rFonts w:hint="eastAsia" w:ascii="Times New Roman" w:hAnsi="Times New Roman"/>
          <w:color w:val="auto"/>
          <w:szCs w:val="28"/>
        </w:rPr>
        <w:t>3 土钉墙和复合土钉墙支护的有关稳定性验算应符合本标准8.8相关规定</w:t>
      </w:r>
      <w:r>
        <w:rPr>
          <w:rFonts w:hint="eastAsia" w:ascii="Times New Roman" w:hAnsi="Times New Roman"/>
          <w:color w:val="auto"/>
          <w:szCs w:val="28"/>
          <w:lang w:eastAsia="zh-CN"/>
        </w:rPr>
        <w:t>。</w:t>
      </w:r>
    </w:p>
    <w:p>
      <w:pPr>
        <w:widowControl w:val="0"/>
        <w:spacing w:line="480" w:lineRule="exact"/>
        <w:rPr>
          <w:rFonts w:ascii="Times New Roman" w:hAnsi="Times New Roman"/>
          <w:color w:val="0070C0"/>
          <w:szCs w:val="28"/>
        </w:rPr>
      </w:pPr>
      <w:r>
        <w:rPr>
          <w:rFonts w:hint="eastAsia" w:ascii="Times New Roman" w:hAnsi="Times New Roman"/>
          <w:b/>
          <w:szCs w:val="28"/>
        </w:rPr>
        <w:t xml:space="preserve">6.1.2 </w:t>
      </w:r>
      <w:r>
        <w:rPr>
          <w:rFonts w:hint="eastAsia" w:ascii="Times New Roman" w:hAnsi="Times New Roman"/>
          <w:szCs w:val="28"/>
        </w:rPr>
        <w:t>在基坑稳定性分析时，对于高灵敏度土场地需注意扰动对土体强度的影响</w:t>
      </w:r>
      <w:r>
        <w:rPr>
          <w:rFonts w:hint="eastAsia" w:ascii="Times New Roman" w:hAnsi="Times New Roman"/>
          <w:color w:val="0070C0"/>
          <w:szCs w:val="28"/>
        </w:rPr>
        <w:t>；</w:t>
      </w:r>
      <w:r>
        <w:rPr>
          <w:rFonts w:hint="eastAsia" w:ascii="Times New Roman" w:hAnsi="Times New Roman"/>
          <w:szCs w:val="28"/>
        </w:rPr>
        <w:t>湿陷性黄土场地则需注意雨水、渗水等外界水变化的影响</w:t>
      </w:r>
      <w:r>
        <w:rPr>
          <w:rFonts w:hint="eastAsia" w:ascii="Times New Roman" w:hAnsi="Times New Roman"/>
          <w:color w:val="0070C0"/>
          <w:szCs w:val="28"/>
        </w:rPr>
        <w:t>；</w:t>
      </w:r>
      <w:r>
        <w:rPr>
          <w:rFonts w:hint="eastAsia" w:ascii="Times New Roman" w:hAnsi="Times New Roman"/>
          <w:szCs w:val="28"/>
        </w:rPr>
        <w:t>软弱土场地需考虑基坑暴露时间对土体强度的影响</w:t>
      </w:r>
      <w:r>
        <w:rPr>
          <w:rFonts w:hint="eastAsia" w:ascii="Times New Roman" w:hAnsi="Times New Roman"/>
          <w:color w:val="0070C0"/>
          <w:szCs w:val="28"/>
        </w:rPr>
        <w:t>。</w:t>
      </w:r>
    </w:p>
    <w:p>
      <w:pPr>
        <w:widowControl w:val="0"/>
        <w:spacing w:line="480" w:lineRule="exact"/>
        <w:rPr>
          <w:rFonts w:ascii="Times New Roman" w:hAnsi="Times New Roman"/>
          <w:color w:val="0070C0"/>
          <w:szCs w:val="28"/>
        </w:rPr>
      </w:pPr>
    </w:p>
    <w:p>
      <w:pPr>
        <w:pStyle w:val="3"/>
        <w:bidi w:val="0"/>
      </w:pPr>
      <w:bookmarkStart w:id="302" w:name="_Toc7543"/>
      <w:bookmarkStart w:id="303" w:name="_Toc388643548"/>
      <w:bookmarkStart w:id="304" w:name="_Toc6727"/>
      <w:bookmarkStart w:id="305" w:name="_Toc10024"/>
      <w:bookmarkStart w:id="306" w:name="_Toc388643431"/>
      <w:r>
        <w:rPr>
          <w:rFonts w:hint="eastAsia"/>
        </w:rPr>
        <w:t>6.2  基坑整体稳定性验算</w:t>
      </w:r>
      <w:bookmarkEnd w:id="302"/>
      <w:bookmarkEnd w:id="303"/>
      <w:bookmarkEnd w:id="304"/>
      <w:bookmarkEnd w:id="305"/>
      <w:bookmarkEnd w:id="306"/>
    </w:p>
    <w:p>
      <w:pPr>
        <w:widowControl w:val="0"/>
        <w:tabs>
          <w:tab w:val="left" w:pos="672"/>
          <w:tab w:val="left" w:pos="1036"/>
          <w:tab w:val="left" w:pos="1620"/>
          <w:tab w:val="left" w:pos="2160"/>
          <w:tab w:val="left" w:pos="7020"/>
        </w:tabs>
        <w:spacing w:line="480" w:lineRule="exact"/>
        <w:rPr>
          <w:rFonts w:ascii="Times New Roman" w:hAnsi="Times New Roman"/>
          <w:color w:val="0000FF"/>
          <w:szCs w:val="28"/>
        </w:rPr>
      </w:pPr>
      <w:r>
        <w:rPr>
          <w:rFonts w:hint="eastAsia" w:ascii="Times New Roman" w:hAnsi="Times New Roman"/>
          <w:b/>
          <w:szCs w:val="28"/>
        </w:rPr>
        <w:t xml:space="preserve">6.2.1 </w:t>
      </w:r>
      <w:r>
        <w:rPr>
          <w:rFonts w:hint="eastAsia" w:ascii="Times New Roman" w:hAnsi="Times New Roman"/>
          <w:szCs w:val="28"/>
        </w:rPr>
        <w:t>板式支挡结构</w:t>
      </w:r>
      <w:r>
        <w:rPr>
          <w:rFonts w:hint="eastAsia" w:ascii="Times New Roman" w:hAnsi="Times New Roman"/>
          <w:color w:val="auto"/>
          <w:szCs w:val="28"/>
        </w:rPr>
        <w:t>和坡率法基坑整体稳定性可采用圆弧滑动条分法进行验算，</w:t>
      </w:r>
      <w:r>
        <w:rPr>
          <w:rFonts w:hint="eastAsia" w:ascii="Times New Roman" w:hAnsi="Times New Roman"/>
          <w:strike w:val="0"/>
          <w:color w:val="auto"/>
          <w:szCs w:val="28"/>
        </w:rPr>
        <w:t>应按下</w:t>
      </w:r>
      <w:r>
        <w:rPr>
          <w:rFonts w:hint="eastAsia" w:ascii="Times New Roman" w:hAnsi="Times New Roman"/>
          <w:strike w:val="0"/>
          <w:color w:val="auto"/>
          <w:szCs w:val="28"/>
          <w:lang w:val="en-US" w:eastAsia="zh-CN"/>
        </w:rPr>
        <w:t>式</w:t>
      </w:r>
      <w:r>
        <w:rPr>
          <w:rFonts w:hint="eastAsia" w:ascii="Times New Roman" w:hAnsi="Times New Roman"/>
          <w:strike w:val="0"/>
          <w:color w:val="auto"/>
          <w:szCs w:val="28"/>
        </w:rPr>
        <w:t>进行整体稳定性验算</w:t>
      </w:r>
      <w:r>
        <w:rPr>
          <w:rFonts w:hint="eastAsia" w:ascii="Times New Roman" w:hAnsi="Times New Roman"/>
          <w:szCs w:val="28"/>
        </w:rPr>
        <w:t>（图6.2.1）</w:t>
      </w:r>
      <w:r>
        <w:rPr>
          <w:rFonts w:hint="eastAsia" w:ascii="Times New Roman" w:hAnsi="Times New Roman"/>
          <w:strike w:val="0"/>
          <w:szCs w:val="28"/>
        </w:rPr>
        <w:t>：</w:t>
      </w:r>
    </w:p>
    <w:tbl>
      <w:tblPr>
        <w:tblStyle w:val="32"/>
        <w:tblW w:w="0" w:type="auto"/>
        <w:tblInd w:w="108" w:type="dxa"/>
        <w:tblLayout w:type="fixed"/>
        <w:tblCellMar>
          <w:top w:w="0" w:type="dxa"/>
          <w:left w:w="108" w:type="dxa"/>
          <w:bottom w:w="0" w:type="dxa"/>
          <w:right w:w="108" w:type="dxa"/>
        </w:tblCellMar>
      </w:tblPr>
      <w:tblGrid>
        <w:gridCol w:w="8210"/>
        <w:gridCol w:w="1536"/>
      </w:tblGrid>
      <w:tr>
        <w:tblPrEx>
          <w:tblCellMar>
            <w:top w:w="0" w:type="dxa"/>
            <w:left w:w="108" w:type="dxa"/>
            <w:bottom w:w="0" w:type="dxa"/>
            <w:right w:w="108" w:type="dxa"/>
          </w:tblCellMar>
        </w:tblPrEx>
        <w:tc>
          <w:tcPr>
            <w:tcW w:w="8210" w:type="dxa"/>
          </w:tcPr>
          <w:p>
            <w:pPr>
              <w:widowControl w:val="0"/>
              <w:tabs>
                <w:tab w:val="left" w:pos="672"/>
                <w:tab w:val="left" w:pos="1036"/>
                <w:tab w:val="left" w:pos="1620"/>
                <w:tab w:val="left" w:pos="2160"/>
                <w:tab w:val="left" w:pos="7020"/>
              </w:tabs>
              <w:ind w:right="480" w:firstLine="2160" w:firstLineChars="900"/>
              <w:rPr>
                <w:rFonts w:ascii="Times New Roman" w:hAnsi="Times New Roman"/>
                <w:szCs w:val="28"/>
              </w:rPr>
            </w:pPr>
            <w:r>
              <w:rPr>
                <w:position w:val="-14"/>
              </w:rPr>
              <w:object>
                <v:shape id="_x0000_i1072" o:spt="75" type="#_x0000_t75" style="height:19pt;width:148.75pt;" o:ole="t" filled="f" coordsize="21600,21600">
                  <v:path/>
                  <v:fill on="f" focussize="0,0"/>
                  <v:stroke/>
                  <v:imagedata r:id="rId170" o:title=""/>
                  <o:lock v:ext="edit" aspectratio="t"/>
                  <w10:wrap type="none"/>
                  <w10:anchorlock/>
                </v:shape>
                <o:OLEObject Type="Embed" ProgID="Equation.3" ShapeID="_x0000_i1072" DrawAspect="Content" ObjectID="_1468075772" r:id="rId169">
                  <o:LockedField>false</o:LockedField>
                </o:OLEObject>
              </w:object>
            </w:r>
          </w:p>
        </w:tc>
        <w:tc>
          <w:tcPr>
            <w:tcW w:w="1536" w:type="dxa"/>
          </w:tcPr>
          <w:p>
            <w:pPr>
              <w:widowControl w:val="0"/>
              <w:tabs>
                <w:tab w:val="left" w:pos="672"/>
                <w:tab w:val="left" w:pos="1036"/>
                <w:tab w:val="left" w:pos="1620"/>
                <w:tab w:val="left" w:pos="2160"/>
                <w:tab w:val="left" w:pos="7020"/>
              </w:tabs>
              <w:spacing w:line="480" w:lineRule="auto"/>
              <w:rPr>
                <w:rFonts w:ascii="Times New Roman" w:hAnsi="Times New Roman"/>
                <w:szCs w:val="28"/>
              </w:rPr>
            </w:pPr>
            <w:r>
              <w:rPr>
                <w:rFonts w:hint="eastAsia" w:ascii="Times New Roman" w:hAnsi="Times New Roman"/>
                <w:szCs w:val="28"/>
              </w:rPr>
              <w:t>（6.2.1-1）</w:t>
            </w:r>
          </w:p>
        </w:tc>
      </w:tr>
      <w:tr>
        <w:tblPrEx>
          <w:tblCellMar>
            <w:top w:w="0" w:type="dxa"/>
            <w:left w:w="108" w:type="dxa"/>
            <w:bottom w:w="0" w:type="dxa"/>
            <w:right w:w="108" w:type="dxa"/>
          </w:tblCellMar>
        </w:tblPrEx>
        <w:tc>
          <w:tcPr>
            <w:tcW w:w="8210" w:type="dxa"/>
          </w:tcPr>
          <w:p>
            <w:pPr>
              <w:widowControl w:val="0"/>
              <w:tabs>
                <w:tab w:val="left" w:pos="672"/>
                <w:tab w:val="left" w:pos="1036"/>
                <w:tab w:val="left" w:pos="1620"/>
                <w:tab w:val="left" w:pos="2160"/>
                <w:tab w:val="left" w:pos="7020"/>
              </w:tabs>
              <w:rPr>
                <w:rFonts w:ascii="Times New Roman" w:hAnsi="Times New Roman"/>
                <w:szCs w:val="28"/>
              </w:rPr>
            </w:pPr>
            <w:r>
              <w:rPr>
                <w:position w:val="-32"/>
              </w:rPr>
              <w:object>
                <v:shape id="_x0000_i1073" o:spt="75" type="#_x0000_t75" style="height:41.2pt;width:381.05pt;" o:ole="t" filled="f" o:preferrelative="t" stroked="f" coordsize="21600,21600">
                  <v:path/>
                  <v:fill on="f" focussize="0,0"/>
                  <v:stroke on="f"/>
                  <v:imagedata r:id="rId172" croptop="-6996f" o:title=""/>
                  <o:lock v:ext="edit" aspectratio="t"/>
                  <w10:wrap type="none"/>
                  <w10:anchorlock/>
                </v:shape>
                <o:OLEObject Type="Embed" ProgID="Equation.3" ShapeID="_x0000_i1073" DrawAspect="Content" ObjectID="_1468075773" r:id="rId171">
                  <o:LockedField>false</o:LockedField>
                </o:OLEObject>
              </w:object>
            </w:r>
          </w:p>
        </w:tc>
        <w:tc>
          <w:tcPr>
            <w:tcW w:w="1536" w:type="dxa"/>
          </w:tcPr>
          <w:p>
            <w:pPr>
              <w:widowControl w:val="0"/>
              <w:tabs>
                <w:tab w:val="left" w:pos="672"/>
                <w:tab w:val="left" w:pos="1036"/>
                <w:tab w:val="left" w:pos="1620"/>
                <w:tab w:val="left" w:pos="2160"/>
                <w:tab w:val="left" w:pos="7020"/>
              </w:tabs>
              <w:spacing w:line="720" w:lineRule="auto"/>
              <w:rPr>
                <w:rFonts w:ascii="Times New Roman" w:hAnsi="Times New Roman"/>
                <w:szCs w:val="28"/>
              </w:rPr>
            </w:pPr>
            <w:r>
              <w:rPr>
                <w:rFonts w:hint="eastAsia" w:ascii="Times New Roman" w:hAnsi="Times New Roman"/>
                <w:szCs w:val="28"/>
              </w:rPr>
              <w:t>（6.2.1-2）</w:t>
            </w:r>
          </w:p>
        </w:tc>
      </w:tr>
    </w:tbl>
    <w:p>
      <w:pPr>
        <w:widowControl w:val="0"/>
        <w:tabs>
          <w:tab w:val="left" w:pos="672"/>
          <w:tab w:val="left" w:pos="1036"/>
          <w:tab w:val="left" w:pos="1620"/>
          <w:tab w:val="left" w:pos="2160"/>
          <w:tab w:val="left" w:pos="7020"/>
        </w:tabs>
        <w:spacing w:line="480" w:lineRule="exact"/>
        <w:ind w:left="1644" w:hanging="1644" w:hangingChars="685"/>
        <w:rPr>
          <w:rFonts w:ascii="Times New Roman" w:hAnsi="Times New Roman"/>
        </w:rPr>
      </w:pPr>
      <w:r>
        <w:rPr>
          <w:rFonts w:hint="eastAsia" w:ascii="Times New Roman" w:hAnsi="Times New Roman"/>
        </w:rPr>
        <w:t>式中：</w:t>
      </w:r>
      <w:r>
        <w:rPr>
          <w:rFonts w:ascii="Times New Roman" w:hAnsi="Times New Roman"/>
          <w:position w:val="-12"/>
        </w:rPr>
        <w:object>
          <v:shape id="_x0000_i1074" o:spt="75" type="#_x0000_t75" style="height:18.2pt;width:16.6pt;" o:ole="t" filled="f" coordsize="21600,21600">
            <v:path/>
            <v:fill on="f" focussize="0,0"/>
            <v:stroke/>
            <v:imagedata r:id="rId174" o:title=""/>
            <o:lock v:ext="edit" aspectratio="t"/>
            <w10:wrap type="none"/>
            <w10:anchorlock/>
          </v:shape>
          <o:OLEObject Type="Embed" ProgID="Equation.3" ShapeID="_x0000_i1074" DrawAspect="Content" ObjectID="_1468075774" r:id="rId173">
            <o:LockedField>false</o:LockedField>
          </o:OLEObject>
        </w:object>
      </w:r>
      <w:r>
        <w:rPr>
          <w:rFonts w:ascii="Times New Roman" w:hAnsi="Times New Roman"/>
          <w:szCs w:val="24"/>
        </w:rPr>
        <w:t>——</w:t>
      </w:r>
      <w:r>
        <w:rPr>
          <w:rFonts w:hint="eastAsia" w:ascii="Times New Roman" w:hAnsi="Times New Roman"/>
        </w:rPr>
        <w:t>圆弧滑动整体稳定安全系数；基坑工程安全等级为一级、二级、三级的支挡结构，</w:t>
      </w:r>
      <w:r>
        <w:rPr>
          <w:rFonts w:hint="eastAsia" w:ascii="Times New Roman" w:hAnsi="Times New Roman"/>
          <w:i/>
        </w:rPr>
        <w:t>K</w:t>
      </w:r>
      <w:r>
        <w:rPr>
          <w:rFonts w:hint="eastAsia" w:ascii="Times New Roman" w:hAnsi="Times New Roman"/>
          <w:i/>
          <w:vertAlign w:val="subscript"/>
        </w:rPr>
        <w:t>s</w:t>
      </w:r>
      <w:r>
        <w:rPr>
          <w:rFonts w:hint="eastAsia" w:ascii="Times New Roman" w:hAnsi="Times New Roman"/>
        </w:rPr>
        <w:t>分别不应小于1.35、1.3、1.25；</w:t>
      </w:r>
    </w:p>
    <w:p>
      <w:pPr>
        <w:widowControl w:val="0"/>
        <w:tabs>
          <w:tab w:val="left" w:pos="672"/>
          <w:tab w:val="left" w:pos="1036"/>
          <w:tab w:val="left" w:pos="1620"/>
          <w:tab w:val="left" w:pos="2160"/>
          <w:tab w:val="left" w:pos="7020"/>
        </w:tabs>
        <w:spacing w:line="480" w:lineRule="exact"/>
        <w:ind w:left="1375" w:leftChars="273" w:hanging="720" w:hangingChars="300"/>
        <w:rPr>
          <w:rFonts w:ascii="Times New Roman" w:hAnsi="Times New Roman"/>
        </w:rPr>
      </w:pPr>
      <w:r>
        <w:rPr>
          <w:position w:val="-14"/>
        </w:rPr>
        <w:object>
          <v:shape id="_x0000_i1075" o:spt="75" type="#_x0000_t75" style="height:19pt;width:21.35pt;" o:ole="t" filled="f" coordsize="21600,21600">
            <v:path/>
            <v:fill on="f" focussize="0,0"/>
            <v:stroke/>
            <v:imagedata r:id="rId176" o:title=""/>
            <o:lock v:ext="edit" aspectratio="t"/>
            <w10:wrap type="none"/>
            <w10:anchorlock/>
          </v:shape>
          <o:OLEObject Type="Embed" ProgID="Equation.3" ShapeID="_x0000_i1075" DrawAspect="Content" ObjectID="_1468075775" r:id="rId175">
            <o:LockedField>false</o:LockedField>
          </o:OLEObject>
        </w:object>
      </w:r>
      <w:r>
        <w:rPr>
          <w:rFonts w:ascii="Times New Roman" w:hAnsi="Times New Roman"/>
          <w:szCs w:val="24"/>
        </w:rPr>
        <w:t>——</w:t>
      </w:r>
      <w:r>
        <w:rPr>
          <w:rFonts w:hint="eastAsia" w:ascii="Times New Roman" w:hAnsi="Times New Roman"/>
        </w:rPr>
        <w:t>第i个滑动圆弧的抗滑力矩与滑动力矩的比值；抗滑力矩与滑动力矩之比的最小值宜通过搜索不同圆心及半径的所有潜在滑动圆弧确定；</w:t>
      </w:r>
    </w:p>
    <w:p>
      <w:pPr>
        <w:widowControl w:val="0"/>
        <w:tabs>
          <w:tab w:val="left" w:pos="658"/>
          <w:tab w:val="left" w:pos="1036"/>
          <w:tab w:val="left" w:pos="1620"/>
          <w:tab w:val="left" w:pos="2160"/>
          <w:tab w:val="left" w:pos="7020"/>
        </w:tabs>
        <w:spacing w:line="480" w:lineRule="exact"/>
        <w:ind w:firstLine="600" w:firstLineChars="250"/>
        <w:rPr>
          <w:rFonts w:ascii="Times New Roman" w:hAnsi="Times New Roman"/>
        </w:rPr>
      </w:pPr>
      <w:r>
        <w:rPr>
          <w:rFonts w:ascii="Times New Roman" w:hAnsi="Times New Roman"/>
          <w:i/>
          <w:position w:val="-14"/>
        </w:rPr>
        <w:object>
          <v:shape id="_x0000_i1076" o:spt="75" type="#_x0000_t75" style="height:19pt;width:13.45pt;" o:ole="t" filled="f" coordsize="21600,21600">
            <v:path/>
            <v:fill on="f" focussize="0,0"/>
            <v:stroke/>
            <v:imagedata r:id="rId178" o:title=""/>
            <o:lock v:ext="edit" aspectratio="t"/>
            <w10:wrap type="none"/>
            <w10:anchorlock/>
          </v:shape>
          <o:OLEObject Type="Embed" ProgID="Equation.3" ShapeID="_x0000_i1076" DrawAspect="Content" ObjectID="_1468075776" r:id="rId177">
            <o:LockedField>false</o:LockedField>
          </o:OLEObject>
        </w:object>
      </w:r>
      <w:r>
        <w:rPr>
          <w:rFonts w:hint="eastAsia" w:ascii="Times New Roman" w:hAnsi="Times New Roman"/>
        </w:rPr>
        <w:t>、</w:t>
      </w:r>
      <w:r>
        <w:rPr>
          <w:rFonts w:ascii="Times New Roman" w:hAnsi="Times New Roman"/>
          <w:position w:val="-14"/>
        </w:rPr>
        <w:object>
          <v:shape id="_x0000_i1077" o:spt="75" type="#_x0000_t75" style="height:19pt;width:13.45pt;" o:ole="t" filled="f" coordsize="21600,21600">
            <v:path/>
            <v:fill on="f" focussize="0,0"/>
            <v:stroke/>
            <v:imagedata r:id="rId180" o:title=""/>
            <o:lock v:ext="edit" aspectratio="t"/>
            <w10:wrap type="none"/>
            <w10:anchorlock/>
          </v:shape>
          <o:OLEObject Type="Embed" ProgID="Equation.3" ShapeID="_x0000_i1077" DrawAspect="Content" ObjectID="_1468075777" r:id="rId179">
            <o:LockedField>false</o:LockedField>
          </o:OLEObject>
        </w:object>
      </w:r>
      <w:r>
        <w:rPr>
          <w:rFonts w:ascii="Times New Roman" w:hAnsi="Times New Roman"/>
          <w:szCs w:val="24"/>
        </w:rPr>
        <w:t>——</w:t>
      </w:r>
      <w:r>
        <w:rPr>
          <w:rFonts w:hint="eastAsia" w:ascii="Times New Roman" w:hAnsi="Times New Roman"/>
        </w:rPr>
        <w:t>第j土条滑弧面处土的粘聚力 (kPa)、内摩擦角 (°)，按</w:t>
      </w:r>
      <w:r>
        <w:rPr>
          <w:rFonts w:hint="eastAsia" w:ascii="Times New Roman" w:hAnsi="Times New Roman"/>
          <w:lang w:eastAsia="zh-CN"/>
        </w:rPr>
        <w:t>本标准</w:t>
      </w:r>
      <w:r>
        <w:rPr>
          <w:rFonts w:hint="eastAsia" w:ascii="Times New Roman" w:hAnsi="Times New Roman"/>
        </w:rPr>
        <w:t>相关规定取值；</w:t>
      </w:r>
    </w:p>
    <w:p>
      <w:pPr>
        <w:widowControl w:val="0"/>
        <w:tabs>
          <w:tab w:val="left" w:pos="658"/>
          <w:tab w:val="left" w:pos="1134"/>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rPr>
        <w:object>
          <v:shape id="_x0000_i1078" o:spt="75" type="#_x0000_t75" style="height:19pt;width:13.45pt;" o:ole="t" filled="f" coordsize="21600,21600">
            <v:path/>
            <v:fill on="f" focussize="0,0"/>
            <v:stroke/>
            <v:imagedata r:id="rId182" o:title=""/>
            <o:lock v:ext="edit" aspectratio="t"/>
            <w10:wrap type="none"/>
            <w10:anchorlock/>
          </v:shape>
          <o:OLEObject Type="Embed" ProgID="Equation.3" ShapeID="_x0000_i1078" DrawAspect="Content" ObjectID="_1468075778" r:id="rId181">
            <o:LockedField>false</o:LockedField>
          </o:OLEObject>
        </w:object>
      </w:r>
      <w:r>
        <w:rPr>
          <w:rFonts w:ascii="Times New Roman" w:hAnsi="Times New Roman"/>
          <w:szCs w:val="24"/>
        </w:rPr>
        <w:t>——</w:t>
      </w:r>
      <w:r>
        <w:rPr>
          <w:rFonts w:hint="eastAsia" w:ascii="Times New Roman" w:hAnsi="Times New Roman"/>
        </w:rPr>
        <w:t>第j土条的宽度 (m)；</w:t>
      </w:r>
    </w:p>
    <w:p>
      <w:pPr>
        <w:widowControl w:val="0"/>
        <w:tabs>
          <w:tab w:val="left" w:pos="750"/>
          <w:tab w:val="left" w:pos="1120"/>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rPr>
        <w:object>
          <v:shape id="_x0000_i1079" o:spt="75" type="#_x0000_t75" style="height:19pt;width:13.45pt;" o:ole="t" filled="f" coordsize="21600,21600">
            <v:path/>
            <v:fill on="f" focussize="0,0"/>
            <v:stroke/>
            <v:imagedata r:id="rId184" o:title=""/>
            <o:lock v:ext="edit" aspectratio="t"/>
            <w10:wrap type="none"/>
            <w10:anchorlock/>
          </v:shape>
          <o:OLEObject Type="Embed" ProgID="Equation.3" ShapeID="_x0000_i1079" DrawAspect="Content" ObjectID="_1468075779" r:id="rId183">
            <o:LockedField>false</o:LockedField>
          </o:OLEObject>
        </w:object>
      </w:r>
      <w:r>
        <w:rPr>
          <w:rFonts w:ascii="Times New Roman" w:hAnsi="Times New Roman"/>
          <w:szCs w:val="24"/>
        </w:rPr>
        <w:t>——</w:t>
      </w:r>
      <w:r>
        <w:rPr>
          <w:rFonts w:hint="eastAsia" w:ascii="Times New Roman" w:hAnsi="Times New Roman"/>
        </w:rPr>
        <w:t>第j土条滑弧面中点处的法线与垂直面的夹角 (°)；</w:t>
      </w:r>
    </w:p>
    <w:p>
      <w:pPr>
        <w:widowControl w:val="0"/>
        <w:tabs>
          <w:tab w:val="left" w:pos="658"/>
          <w:tab w:val="left" w:pos="1134"/>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rPr>
        <w:object>
          <v:shape id="_x0000_i1080" o:spt="75" type="#_x0000_t75" style="height:19pt;width:11.1pt;" o:ole="t" filled="f" coordsize="21600,21600">
            <v:path/>
            <v:fill on="f" focussize="0,0"/>
            <v:stroke/>
            <v:imagedata r:id="rId186" o:title=""/>
            <o:lock v:ext="edit" aspectratio="t"/>
            <w10:wrap type="none"/>
            <w10:anchorlock/>
          </v:shape>
          <o:OLEObject Type="Embed" ProgID="Equation.3" ShapeID="_x0000_i1080" DrawAspect="Content" ObjectID="_1468075780" r:id="rId185">
            <o:LockedField>false</o:LockedField>
          </o:OLEObject>
        </w:object>
      </w:r>
      <w:r>
        <w:rPr>
          <w:rFonts w:ascii="Times New Roman" w:hAnsi="Times New Roman"/>
          <w:szCs w:val="24"/>
        </w:rPr>
        <w:t>——</w:t>
      </w:r>
      <w:r>
        <w:rPr>
          <w:rFonts w:hint="eastAsia" w:ascii="Times New Roman" w:hAnsi="Times New Roman"/>
        </w:rPr>
        <w:t>第j土条的滑弧段长度 (m)，取</w:t>
      </w:r>
      <w:r>
        <w:rPr>
          <w:rFonts w:ascii="Times New Roman" w:hAnsi="Times New Roman"/>
          <w:position w:val="-14"/>
        </w:rPr>
        <w:object>
          <v:shape id="_x0000_i1081" o:spt="75" type="#_x0000_t75" style="height:19pt;width:67.25pt;" o:ole="t" filled="f" coordsize="21600,21600">
            <v:path/>
            <v:fill on="f" focussize="0,0"/>
            <v:stroke/>
            <v:imagedata r:id="rId188" o:title=""/>
            <o:lock v:ext="edit" aspectratio="t"/>
            <w10:wrap type="none"/>
            <w10:anchorlock/>
          </v:shape>
          <o:OLEObject Type="Embed" ProgID="Equation.3" ShapeID="_x0000_i1081" DrawAspect="Content" ObjectID="_1468075781" r:id="rId187">
            <o:LockedField>false</o:LockedField>
          </o:OLEObject>
        </w:object>
      </w:r>
      <w:r>
        <w:rPr>
          <w:rFonts w:hint="eastAsia" w:ascii="Times New Roman" w:hAnsi="Times New Roman"/>
        </w:rPr>
        <w:t>；</w:t>
      </w:r>
    </w:p>
    <w:p>
      <w:pPr>
        <w:widowControl w:val="0"/>
        <w:tabs>
          <w:tab w:val="left" w:pos="658"/>
          <w:tab w:val="left" w:pos="1134"/>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rPr>
        <w:object>
          <v:shape id="_x0000_i1082" o:spt="75" type="#_x0000_t75" style="height:19pt;width:13.45pt;" o:ole="t" filled="f" coordsize="21600,21600">
            <v:path/>
            <v:fill on="f" focussize="0,0"/>
            <v:stroke/>
            <v:imagedata r:id="rId190" o:title=""/>
            <o:lock v:ext="edit" aspectratio="t"/>
            <w10:wrap type="none"/>
            <w10:anchorlock/>
          </v:shape>
          <o:OLEObject Type="Embed" ProgID="Equation.3" ShapeID="_x0000_i1082" DrawAspect="Content" ObjectID="_1468075782" r:id="rId189">
            <o:LockedField>false</o:LockedField>
          </o:OLEObject>
        </w:object>
      </w:r>
      <w:r>
        <w:rPr>
          <w:rFonts w:ascii="Times New Roman" w:hAnsi="Times New Roman"/>
          <w:szCs w:val="24"/>
        </w:rPr>
        <w:t>——</w:t>
      </w:r>
      <w:r>
        <w:rPr>
          <w:rFonts w:hint="eastAsia" w:ascii="Times New Roman" w:hAnsi="Times New Roman"/>
        </w:rPr>
        <w:t>作用在第j土条上的附加分布荷载标准值 (kPa)；</w:t>
      </w:r>
    </w:p>
    <w:p>
      <w:pPr>
        <w:widowControl w:val="0"/>
        <w:tabs>
          <w:tab w:val="left" w:pos="660"/>
          <w:tab w:val="left" w:pos="1120"/>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rPr>
        <w:object>
          <v:shape id="_x0000_i1083" o:spt="75" type="#_x0000_t75" style="height:19pt;width:22.95pt;" o:ole="t" filled="f" coordsize="21600,21600">
            <v:path/>
            <v:fill on="f" focussize="0,0"/>
            <v:stroke/>
            <v:imagedata r:id="rId192" o:title=""/>
            <o:lock v:ext="edit" aspectratio="t"/>
            <w10:wrap type="none"/>
            <w10:anchorlock/>
          </v:shape>
          <o:OLEObject Type="Embed" ProgID="Equation.3" ShapeID="_x0000_i1083" DrawAspect="Content" ObjectID="_1468075783" r:id="rId191">
            <o:LockedField>false</o:LockedField>
          </o:OLEObject>
        </w:object>
      </w:r>
      <w:r>
        <w:rPr>
          <w:rFonts w:ascii="Times New Roman" w:hAnsi="Times New Roman"/>
          <w:szCs w:val="24"/>
        </w:rPr>
        <w:t>——</w:t>
      </w:r>
      <w:r>
        <w:rPr>
          <w:rFonts w:hint="eastAsia" w:ascii="Times New Roman" w:hAnsi="Times New Roman"/>
        </w:rPr>
        <w:t>第j土条的自重 (kN)，按天然重度计算；</w:t>
      </w:r>
      <w:r>
        <w:rPr>
          <w:rFonts w:hint="eastAsia" w:ascii="Times New Roman" w:hAnsi="Times New Roman"/>
          <w:kern w:val="0"/>
        </w:rPr>
        <w:t>分条时，</w:t>
      </w:r>
      <w:r>
        <w:rPr>
          <w:rFonts w:hint="eastAsia" w:ascii="Times New Roman" w:hAnsi="Times New Roman"/>
        </w:rPr>
        <w:t>格栅式重力挡</w:t>
      </w:r>
      <w:r>
        <w:rPr>
          <w:rFonts w:hint="eastAsia" w:ascii="Times New Roman" w:hAnsi="Times New Roman"/>
          <w:kern w:val="0"/>
        </w:rPr>
        <w:t>墙可按土体考虑；</w:t>
      </w:r>
    </w:p>
    <w:p>
      <w:pPr>
        <w:widowControl w:val="0"/>
        <w:tabs>
          <w:tab w:val="left" w:pos="1120"/>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rPr>
        <w:object>
          <v:shape id="_x0000_i1084" o:spt="75" type="#_x0000_t75" style="height:19pt;width:13.45pt;" o:ole="t" filled="f" coordsize="21600,21600">
            <v:path/>
            <v:fill on="f" focussize="0,0"/>
            <v:stroke/>
            <v:imagedata r:id="rId194" o:title=""/>
            <o:lock v:ext="edit" aspectratio="t"/>
            <w10:wrap type="none"/>
            <w10:anchorlock/>
          </v:shape>
          <o:OLEObject Type="Embed" ProgID="Equation.3" ShapeID="_x0000_i1084" DrawAspect="Content" ObjectID="_1468075784" r:id="rId193">
            <o:LockedField>false</o:LockedField>
          </o:OLEObject>
        </w:object>
      </w:r>
      <w:r>
        <w:rPr>
          <w:rFonts w:ascii="Times New Roman" w:hAnsi="Times New Roman"/>
          <w:szCs w:val="24"/>
        </w:rPr>
        <w:t>——</w:t>
      </w:r>
      <w:r>
        <w:rPr>
          <w:rFonts w:hint="eastAsia" w:ascii="Times New Roman" w:hAnsi="Times New Roman"/>
        </w:rPr>
        <w:t>第j土条在滑弧面上的孔隙水压力 (kPa)；渗流水力梯度可忽略不计时，对地下水位以下的砂土、碎石土、粉土，在基坑外侧，可取</w:t>
      </w:r>
      <w:r>
        <w:rPr>
          <w:position w:val="-14"/>
        </w:rPr>
        <w:object>
          <v:shape id="_x0000_i1085" o:spt="75" type="#_x0000_t75" style="height:19pt;width:58.55pt;" o:ole="t" filled="f" coordsize="21600,21600">
            <v:path/>
            <v:fill on="f" focussize="0,0"/>
            <v:stroke/>
            <v:imagedata r:id="rId196" o:title=""/>
            <o:lock v:ext="edit" aspectratio="t"/>
            <w10:wrap type="none"/>
            <w10:anchorlock/>
          </v:shape>
          <o:OLEObject Type="Embed" ProgID="Equation.3" ShapeID="_x0000_i1085" DrawAspect="Content" ObjectID="_1468075785" r:id="rId195">
            <o:LockedField>false</o:LockedField>
          </o:OLEObject>
        </w:object>
      </w:r>
      <w:r>
        <w:rPr>
          <w:rFonts w:hint="eastAsia" w:ascii="Times New Roman" w:hAnsi="Times New Roman"/>
        </w:rPr>
        <w:t>，在基坑内侧，可取</w:t>
      </w:r>
      <w:r>
        <w:rPr>
          <w:position w:val="-14"/>
        </w:rPr>
        <w:object>
          <v:shape id="_x0000_i1086" o:spt="75" type="#_x0000_t75" style="height:19pt;width:58.55pt;" o:ole="t" filled="f" coordsize="21600,21600">
            <v:path/>
            <v:fill on="f" focussize="0,0"/>
            <v:stroke/>
            <v:imagedata r:id="rId198" o:title=""/>
            <o:lock v:ext="edit" aspectratio="t"/>
            <w10:wrap type="none"/>
            <w10:anchorlock/>
          </v:shape>
          <o:OLEObject Type="Embed" ProgID="Equation.3" ShapeID="_x0000_i1086" DrawAspect="Content" ObjectID="_1468075786" r:id="rId197">
            <o:LockedField>false</o:LockedField>
          </o:OLEObject>
        </w:object>
      </w:r>
      <w:r>
        <w:rPr>
          <w:rFonts w:hint="eastAsia" w:ascii="Times New Roman" w:hAnsi="Times New Roman"/>
        </w:rPr>
        <w:t>；在地下水位以上或对地下水位以下的黏性土，取</w:t>
      </w:r>
      <w:r>
        <w:rPr>
          <w:position w:val="-14"/>
        </w:rPr>
        <w:object>
          <v:shape id="_x0000_i1087" o:spt="75" type="#_x0000_t75" style="height:19pt;width:31.65pt;" o:ole="t" filled="f" coordsize="21600,21600">
            <v:path/>
            <v:fill on="f" focussize="0,0"/>
            <v:stroke/>
            <v:imagedata r:id="rId200" o:title=""/>
            <o:lock v:ext="edit" aspectratio="t"/>
            <w10:wrap type="none"/>
            <w10:anchorlock/>
          </v:shape>
          <o:OLEObject Type="Embed" ProgID="Equation.3" ShapeID="_x0000_i1087" DrawAspect="Content" ObjectID="_1468075787" r:id="rId199">
            <o:LockedField>false</o:LockedField>
          </o:OLEObject>
        </w:object>
      </w:r>
      <w:r>
        <w:rPr>
          <w:rFonts w:hint="eastAsia" w:ascii="Times New Roman" w:hAnsi="Times New Roman"/>
        </w:rPr>
        <w:t>；</w:t>
      </w:r>
    </w:p>
    <w:p>
      <w:pPr>
        <w:widowControl w:val="0"/>
        <w:tabs>
          <w:tab w:val="left" w:pos="658"/>
          <w:tab w:val="left" w:pos="1372"/>
          <w:tab w:val="left" w:pos="2160"/>
          <w:tab w:val="left" w:pos="3060"/>
          <w:tab w:val="left" w:pos="4680"/>
          <w:tab w:val="left" w:pos="7020"/>
        </w:tabs>
        <w:spacing w:line="480" w:lineRule="exact"/>
        <w:ind w:firstLine="480" w:firstLineChars="200"/>
        <w:rPr>
          <w:rFonts w:ascii="Times New Roman" w:hAnsi="Times New Roman"/>
        </w:rPr>
      </w:pPr>
      <w:r>
        <w:rPr>
          <w:position w:val="-12"/>
        </w:rPr>
        <w:object>
          <v:shape id="_x0000_i1088" o:spt="75" type="#_x0000_t75" style="height:18.2pt;width:15.05pt;" o:ole="t" filled="f" coordsize="21600,21600">
            <v:path/>
            <v:fill on="f" focussize="0,0"/>
            <v:stroke/>
            <v:imagedata r:id="rId202" o:title=""/>
            <o:lock v:ext="edit" aspectratio="t"/>
            <w10:wrap type="none"/>
            <w10:anchorlock/>
          </v:shape>
          <o:OLEObject Type="Embed" ProgID="Equation.3" ShapeID="_x0000_i1088" DrawAspect="Content" ObjectID="_1468075788" r:id="rId201">
            <o:LockedField>false</o:LockedField>
          </o:OLEObject>
        </w:object>
      </w:r>
      <w:r>
        <w:rPr>
          <w:rFonts w:ascii="Times New Roman" w:hAnsi="Times New Roman"/>
          <w:szCs w:val="24"/>
        </w:rPr>
        <w:t>——</w:t>
      </w:r>
      <w:r>
        <w:rPr>
          <w:rFonts w:hint="eastAsia" w:ascii="Times New Roman" w:hAnsi="Times New Roman"/>
        </w:rPr>
        <w:t>地下水重度 (kN/m</w:t>
      </w:r>
      <w:r>
        <w:rPr>
          <w:rFonts w:hint="eastAsia" w:ascii="Times New Roman" w:hAnsi="Times New Roman"/>
          <w:vertAlign w:val="superscript"/>
        </w:rPr>
        <w:t>3</w:t>
      </w:r>
      <w:r>
        <w:rPr>
          <w:rFonts w:hint="eastAsia" w:ascii="Times New Roman" w:hAnsi="Times New Roman"/>
        </w:rPr>
        <w:t>)；</w:t>
      </w:r>
    </w:p>
    <w:p>
      <w:pPr>
        <w:widowControl w:val="0"/>
        <w:tabs>
          <w:tab w:val="left" w:pos="658"/>
          <w:tab w:val="left" w:pos="1134"/>
          <w:tab w:val="left" w:pos="1372"/>
          <w:tab w:val="left" w:pos="2160"/>
          <w:tab w:val="left" w:pos="3060"/>
          <w:tab w:val="left" w:pos="4680"/>
          <w:tab w:val="left" w:pos="7020"/>
        </w:tabs>
        <w:spacing w:line="480" w:lineRule="exact"/>
        <w:ind w:firstLine="480" w:firstLineChars="200"/>
        <w:rPr>
          <w:rFonts w:ascii="Times New Roman" w:hAnsi="Times New Roman"/>
        </w:rPr>
      </w:pPr>
      <w:r>
        <w:rPr>
          <w:position w:val="-14"/>
        </w:rPr>
        <w:object>
          <v:shape id="_x0000_i1089" o:spt="75" type="#_x0000_t75" style="height:19pt;width:23.75pt;" o:ole="t" filled="f" coordsize="21600,21600">
            <v:path/>
            <v:fill on="f" focussize="0,0"/>
            <v:stroke/>
            <v:imagedata r:id="rId204" o:title=""/>
            <o:lock v:ext="edit" aspectratio="t"/>
            <w10:wrap type="none"/>
            <w10:anchorlock/>
          </v:shape>
          <o:OLEObject Type="Embed" ProgID="Equation.3" ShapeID="_x0000_i1089" DrawAspect="Content" ObjectID="_1468075789" r:id="rId203">
            <o:LockedField>false</o:LockedField>
          </o:OLEObject>
        </w:object>
      </w:r>
      <w:r>
        <w:rPr>
          <w:rFonts w:ascii="Times New Roman" w:hAnsi="Times New Roman"/>
          <w:szCs w:val="24"/>
        </w:rPr>
        <w:t>——</w:t>
      </w:r>
      <w:r>
        <w:rPr>
          <w:rFonts w:hint="eastAsia" w:ascii="Times New Roman" w:hAnsi="Times New Roman"/>
        </w:rPr>
        <w:t>基坑外侧地下水位至第j土条滑弧面中点的垂直距离 (m)；</w:t>
      </w:r>
    </w:p>
    <w:p>
      <w:pPr>
        <w:widowControl w:val="0"/>
        <w:tabs>
          <w:tab w:val="left" w:pos="658"/>
          <w:tab w:val="left" w:pos="1134"/>
          <w:tab w:val="left" w:pos="1372"/>
          <w:tab w:val="left" w:pos="2160"/>
          <w:tab w:val="left" w:pos="3060"/>
          <w:tab w:val="left" w:pos="4680"/>
          <w:tab w:val="left" w:pos="7020"/>
        </w:tabs>
        <w:spacing w:line="480" w:lineRule="exact"/>
        <w:ind w:firstLine="480" w:firstLineChars="200"/>
        <w:rPr>
          <w:rFonts w:ascii="Times New Roman" w:hAnsi="Times New Roman"/>
        </w:rPr>
      </w:pPr>
      <w:r>
        <w:rPr>
          <w:position w:val="-14"/>
        </w:rPr>
        <w:object>
          <v:shape id="_x0000_i1090" o:spt="75" type="#_x0000_t75" style="height:19pt;width:23.75pt;" o:ole="t" filled="f" coordsize="21600,21600">
            <v:path/>
            <v:fill on="f" focussize="0,0"/>
            <v:stroke/>
            <v:imagedata r:id="rId206" o:title=""/>
            <o:lock v:ext="edit" aspectratio="t"/>
            <w10:wrap type="none"/>
            <w10:anchorlock/>
          </v:shape>
          <o:OLEObject Type="Embed" ProgID="Equation.3" ShapeID="_x0000_i1090" DrawAspect="Content" ObjectID="_1468075790" r:id="rId205">
            <o:LockedField>false</o:LockedField>
          </o:OLEObject>
        </w:object>
      </w:r>
      <w:r>
        <w:rPr>
          <w:rFonts w:ascii="Times New Roman" w:hAnsi="Times New Roman"/>
          <w:szCs w:val="24"/>
        </w:rPr>
        <w:t>——</w:t>
      </w:r>
      <w:r>
        <w:rPr>
          <w:rFonts w:hint="eastAsia" w:ascii="Times New Roman" w:hAnsi="Times New Roman"/>
        </w:rPr>
        <w:t>基坑内侧地下水位至第j土条滑弧面中点的垂直距离 (m)；</w:t>
      </w:r>
    </w:p>
    <w:p>
      <w:pPr>
        <w:widowControl w:val="0"/>
        <w:tabs>
          <w:tab w:val="left" w:pos="660"/>
          <w:tab w:val="left" w:pos="1440"/>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4"/>
          <w:szCs w:val="24"/>
        </w:rPr>
        <w:object>
          <v:shape id="_x0000_i1091" o:spt="75" type="#_x0000_t75" style="height:19pt;width:22.95pt;" o:ole="t" filled="f" coordsize="21600,21600">
            <v:path/>
            <v:fill on="f" focussize="0,0"/>
            <v:stroke/>
            <v:imagedata r:id="rId208" o:title=""/>
            <o:lock v:ext="edit" aspectratio="t"/>
            <w10:wrap type="none"/>
            <w10:anchorlock/>
          </v:shape>
          <o:OLEObject Type="Embed" ProgID="Equation.3" ShapeID="_x0000_i1091" DrawAspect="Content" ObjectID="_1468075791" r:id="rId207">
            <o:LockedField>false</o:LockedField>
          </o:OLEObject>
        </w:object>
      </w:r>
      <w:r>
        <w:rPr>
          <w:rFonts w:ascii="Times New Roman" w:hAnsi="Times New Roman"/>
          <w:szCs w:val="24"/>
        </w:rPr>
        <w:t>——</w:t>
      </w:r>
      <w:r>
        <w:rPr>
          <w:rFonts w:hint="eastAsia" w:ascii="Times New Roman" w:hAnsi="Times New Roman"/>
        </w:rPr>
        <w:t>第</w:t>
      </w:r>
      <w:r>
        <w:rPr>
          <w:rFonts w:hint="eastAsia"/>
        </w:rPr>
        <w:t>k</w:t>
      </w:r>
      <w:r>
        <w:rPr>
          <w:rFonts w:hint="eastAsia" w:ascii="Times New Roman" w:hAnsi="Times New Roman"/>
        </w:rPr>
        <w:t>层锚杆或土钉对圆弧滑动体的</w:t>
      </w:r>
      <w:r>
        <w:rPr>
          <w:rFonts w:hint="eastAsia"/>
        </w:rPr>
        <w:t xml:space="preserve">抗拔力值 </w:t>
      </w:r>
      <w:r>
        <w:rPr>
          <w:rFonts w:hint="eastAsia" w:ascii="Times New Roman" w:hAnsi="Times New Roman"/>
        </w:rPr>
        <w:t>(kN)；应取锚杆或土钉在滑动面以外的锚固段极限抗拔承载力标准值与锚杆或土钉杆体受拉承载力标准值（</w:t>
      </w:r>
      <w:r>
        <w:rPr>
          <w:rFonts w:ascii="Times New Roman" w:hAnsi="Times New Roman"/>
          <w:position w:val="-14"/>
        </w:rPr>
        <w:object>
          <v:shape id="_x0000_i1092" o:spt="75" type="#_x0000_t75" style="height:19pt;width:34pt;" o:ole="t" filled="f" coordsize="21600,21600">
            <v:path/>
            <v:fill on="f" focussize="0,0"/>
            <v:stroke/>
            <v:imagedata r:id="rId210" o:title=""/>
            <o:lock v:ext="edit" aspectratio="t"/>
            <w10:wrap type="none"/>
            <w10:anchorlock/>
          </v:shape>
          <o:OLEObject Type="Embed" ProgID="Equation.3" ShapeID="_x0000_i1092" DrawAspect="Content" ObjectID="_1468075792" r:id="rId209">
            <o:LockedField>false</o:LockedField>
          </o:OLEObject>
        </w:object>
      </w:r>
      <w:r>
        <w:rPr>
          <w:rFonts w:hint="eastAsia" w:ascii="Times New Roman" w:hAnsi="Times New Roman"/>
        </w:rPr>
        <w:t>或</w:t>
      </w:r>
      <w:r>
        <w:rPr>
          <w:rFonts w:ascii="Times New Roman" w:hAnsi="Times New Roman"/>
          <w:position w:val="-14"/>
        </w:rPr>
        <w:object>
          <v:shape id="_x0000_i1093" o:spt="75" type="#_x0000_t75" style="height:19pt;width:30.05pt;" o:ole="t" filled="f" coordsize="21600,21600">
            <v:path/>
            <v:fill on="f" focussize="0,0"/>
            <v:stroke/>
            <v:imagedata r:id="rId212" o:title=""/>
            <o:lock v:ext="edit" aspectratio="t"/>
            <w10:wrap type="none"/>
            <w10:anchorlock/>
          </v:shape>
          <o:OLEObject Type="Embed" ProgID="Equation.3" ShapeID="_x0000_i1093" DrawAspect="Content" ObjectID="_1468075793" r:id="rId211">
            <o:LockedField>false</o:LockedField>
          </o:OLEObject>
        </w:object>
      </w:r>
      <w:r>
        <w:rPr>
          <w:rFonts w:hint="eastAsia" w:ascii="Times New Roman" w:hAnsi="Times New Roman"/>
        </w:rPr>
        <w:t>）的较小值；锚固体的极限抗拔承载力应按</w:t>
      </w:r>
      <w:r>
        <w:rPr>
          <w:rFonts w:hint="eastAsia" w:ascii="Times New Roman" w:hAnsi="Times New Roman"/>
          <w:lang w:eastAsia="zh-CN"/>
        </w:rPr>
        <w:t>本标准</w:t>
      </w:r>
      <w:r>
        <w:rPr>
          <w:rFonts w:hint="eastAsia" w:ascii="Times New Roman" w:hAnsi="Times New Roman"/>
        </w:rPr>
        <w:t>相关规定计算，但锚固段应取滑动面以外的长度；对悬臂式、双排桩支挡结构、格栅式重力挡墙，不考虑</w:t>
      </w:r>
      <w:r>
        <w:rPr>
          <w:position w:val="-14"/>
        </w:rPr>
        <w:object>
          <v:shape id="_x0000_i1094" o:spt="75" type="#_x0000_t75" style="height:19.8pt;width:147.15pt;" o:ole="t" filled="f" coordsize="21600,21600">
            <v:path/>
            <v:fill on="f" focussize="0,0"/>
            <v:stroke/>
            <v:imagedata r:id="rId214" o:title=""/>
            <o:lock v:ext="edit" aspectratio="t"/>
            <w10:wrap type="none"/>
            <w10:anchorlock/>
          </v:shape>
          <o:OLEObject Type="Embed" ProgID="Equation.3" ShapeID="_x0000_i1094" DrawAspect="Content" ObjectID="_1468075794" r:id="rId213">
            <o:LockedField>false</o:LockedField>
          </o:OLEObject>
        </w:object>
      </w:r>
      <w:r>
        <w:rPr>
          <w:rFonts w:hint="eastAsia" w:ascii="Times New Roman" w:hAnsi="Times New Roman"/>
        </w:rPr>
        <w:t>项；</w:t>
      </w:r>
    </w:p>
    <w:p>
      <w:pPr>
        <w:widowControl w:val="0"/>
        <w:tabs>
          <w:tab w:val="left" w:pos="870"/>
          <w:tab w:val="left" w:pos="1120"/>
          <w:tab w:val="left" w:pos="1372"/>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2"/>
        </w:rPr>
        <w:object>
          <v:shape id="_x0000_i1095" o:spt="75" type="#_x0000_t75" style="height:18.2pt;width:15.05pt;" o:ole="t" filled="f" coordsize="21600,21600">
            <v:path/>
            <v:fill on="f" focussize="0,0"/>
            <v:stroke/>
            <v:imagedata r:id="rId216" o:title=""/>
            <o:lock v:ext="edit" aspectratio="t"/>
            <w10:wrap type="none"/>
            <w10:anchorlock/>
          </v:shape>
          <o:OLEObject Type="Embed" ProgID="Equation.3" ShapeID="_x0000_i1095" DrawAspect="Content" ObjectID="_1468075795" r:id="rId215">
            <o:LockedField>false</o:LockedField>
          </o:OLEObject>
        </w:object>
      </w:r>
      <w:r>
        <w:rPr>
          <w:rFonts w:ascii="Times New Roman" w:hAnsi="Times New Roman"/>
          <w:szCs w:val="24"/>
        </w:rPr>
        <w:t>——</w:t>
      </w:r>
      <w:r>
        <w:rPr>
          <w:rFonts w:hint="eastAsia" w:ascii="Times New Roman" w:hAnsi="Times New Roman"/>
        </w:rPr>
        <w:t>第</w:t>
      </w:r>
      <w:r>
        <w:rPr>
          <w:rFonts w:hint="eastAsia"/>
        </w:rPr>
        <w:t>k</w:t>
      </w:r>
      <w:r>
        <w:rPr>
          <w:rFonts w:hint="eastAsia" w:ascii="Times New Roman" w:hAnsi="Times New Roman"/>
        </w:rPr>
        <w:t>层锚杆或土钉的倾角 (°)；</w:t>
      </w:r>
    </w:p>
    <w:p>
      <w:pPr>
        <w:widowControl w:val="0"/>
        <w:tabs>
          <w:tab w:val="left" w:pos="870"/>
          <w:tab w:val="left" w:pos="1120"/>
          <w:tab w:val="left" w:pos="1372"/>
          <w:tab w:val="left" w:pos="2160"/>
          <w:tab w:val="left" w:pos="3060"/>
          <w:tab w:val="left" w:pos="4680"/>
          <w:tab w:val="left" w:pos="7020"/>
        </w:tabs>
        <w:spacing w:line="480" w:lineRule="exact"/>
        <w:ind w:firstLine="480" w:firstLineChars="200"/>
        <w:rPr>
          <w:rFonts w:hint="eastAsia" w:ascii="Times New Roman" w:hAnsi="Times New Roman" w:eastAsia="宋体"/>
          <w:lang w:eastAsia="zh-CN"/>
        </w:rPr>
      </w:pPr>
      <w:r>
        <w:rPr>
          <w:position w:val="-12"/>
        </w:rPr>
        <w:object>
          <v:shape id="_x0000_i1096" o:spt="75" type="#_x0000_t75" style="height:18.2pt;width:13.45pt;" o:ole="t" filled="f" coordsize="21600,21600">
            <v:path/>
            <v:fill on="f" focussize="0,0"/>
            <v:stroke/>
            <v:imagedata r:id="rId218" o:title=""/>
            <o:lock v:ext="edit" aspectratio="t"/>
            <w10:wrap type="none"/>
            <w10:anchorlock/>
          </v:shape>
          <o:OLEObject Type="Embed" ProgID="Equation.3" ShapeID="_x0000_i1096" DrawAspect="Content" ObjectID="_1468075796" r:id="rId217">
            <o:LockedField>false</o:LockedField>
          </o:OLEObject>
        </w:object>
      </w:r>
      <w:r>
        <w:rPr>
          <w:rFonts w:ascii="Times New Roman" w:hAnsi="Times New Roman"/>
          <w:szCs w:val="24"/>
        </w:rPr>
        <w:t>——</w:t>
      </w:r>
      <w:r>
        <w:rPr>
          <w:rFonts w:hint="eastAsia"/>
        </w:rPr>
        <w:t>滑动面在第k层锚杆或土钉处的法线与垂直面的的夹角 (°)</w:t>
      </w:r>
      <w:r>
        <w:rPr>
          <w:rFonts w:hint="eastAsia"/>
          <w:lang w:eastAsia="zh-CN"/>
        </w:rPr>
        <w:t>；</w:t>
      </w:r>
    </w:p>
    <w:p>
      <w:pPr>
        <w:widowControl w:val="0"/>
        <w:tabs>
          <w:tab w:val="left" w:pos="765"/>
          <w:tab w:val="left" w:pos="1440"/>
          <w:tab w:val="left" w:pos="1620"/>
          <w:tab w:val="left" w:pos="2160"/>
          <w:tab w:val="left" w:pos="3060"/>
          <w:tab w:val="left" w:pos="4680"/>
          <w:tab w:val="left" w:pos="7020"/>
        </w:tabs>
        <w:spacing w:line="480" w:lineRule="exact"/>
        <w:ind w:firstLine="480" w:firstLineChars="200"/>
        <w:rPr>
          <w:rFonts w:ascii="Times New Roman" w:hAnsi="Times New Roman"/>
        </w:rPr>
      </w:pPr>
      <w:r>
        <w:rPr>
          <w:position w:val="-14"/>
        </w:rPr>
        <w:object>
          <v:shape id="_x0000_i1097" o:spt="75" type="#_x0000_t75" style="height:19pt;width:19pt;" o:ole="t" filled="f" coordsize="21600,21600">
            <v:path/>
            <v:fill on="f" focussize="0,0"/>
            <v:stroke/>
            <v:imagedata r:id="rId220" o:title=""/>
            <o:lock v:ext="edit" aspectratio="t"/>
            <w10:wrap type="none"/>
            <w10:anchorlock/>
          </v:shape>
          <o:OLEObject Type="Embed" ProgID="Equation.3" ShapeID="_x0000_i1097" DrawAspect="Content" ObjectID="_1468075797" r:id="rId219">
            <o:LockedField>false</o:LockedField>
          </o:OLEObject>
        </w:object>
      </w:r>
      <w:r>
        <w:rPr>
          <w:rFonts w:ascii="Times New Roman" w:hAnsi="Times New Roman"/>
          <w:szCs w:val="24"/>
        </w:rPr>
        <w:t>——</w:t>
      </w:r>
      <w:r>
        <w:rPr>
          <w:rFonts w:hint="eastAsia" w:ascii="Times New Roman" w:hAnsi="Times New Roman"/>
        </w:rPr>
        <w:t>第</w:t>
      </w:r>
      <w:r>
        <w:rPr>
          <w:rFonts w:hint="eastAsia"/>
        </w:rPr>
        <w:t>k</w:t>
      </w:r>
      <w:r>
        <w:rPr>
          <w:rFonts w:hint="eastAsia" w:ascii="Times New Roman" w:hAnsi="Times New Roman"/>
        </w:rPr>
        <w:t>层锚杆或土钉的水平间距 (m)；</w:t>
      </w:r>
    </w:p>
    <w:p>
      <w:pPr>
        <w:widowControl w:val="0"/>
        <w:tabs>
          <w:tab w:val="left" w:pos="870"/>
          <w:tab w:val="left" w:pos="930"/>
          <w:tab w:val="left" w:pos="1620"/>
          <w:tab w:val="left" w:pos="2160"/>
          <w:tab w:val="left" w:pos="3060"/>
          <w:tab w:val="left" w:pos="4680"/>
          <w:tab w:val="left" w:pos="7020"/>
        </w:tabs>
        <w:spacing w:line="480" w:lineRule="exact"/>
        <w:ind w:firstLine="480" w:firstLineChars="200"/>
        <w:rPr>
          <w:rFonts w:hint="eastAsia" w:ascii="Times New Roman" w:hAnsi="Times New Roman" w:eastAsia="宋体"/>
          <w:lang w:eastAsia="zh-CN"/>
        </w:rPr>
      </w:pPr>
      <w:r>
        <w:rPr>
          <w:rFonts w:ascii="Times New Roman" w:hAnsi="Times New Roman"/>
          <w:position w:val="-12"/>
        </w:rPr>
        <w:object>
          <v:shape id="_x0000_i1098" o:spt="75" type="#_x0000_t75" style="height:18.2pt;width:15.05pt;" o:ole="t" filled="f" coordsize="21600,21600">
            <v:path/>
            <v:fill on="f" focussize="0,0"/>
            <v:stroke/>
            <v:imagedata r:id="rId222" o:title=""/>
            <o:lock v:ext="edit" aspectratio="t"/>
            <w10:wrap type="none"/>
            <w10:anchorlock/>
          </v:shape>
          <o:OLEObject Type="Embed" ProgID="Equation.3" ShapeID="_x0000_i1098" DrawAspect="Content" ObjectID="_1468075798" r:id="rId221">
            <o:LockedField>false</o:LockedField>
          </o:OLEObject>
        </w:object>
      </w:r>
      <w:r>
        <w:rPr>
          <w:rFonts w:ascii="Times New Roman" w:hAnsi="Times New Roman"/>
          <w:szCs w:val="24"/>
        </w:rPr>
        <w:t>——</w:t>
      </w:r>
      <w:r>
        <w:rPr>
          <w:rFonts w:hint="eastAsia" w:ascii="Times New Roman" w:hAnsi="Times New Roman"/>
        </w:rPr>
        <w:t>计算系数；可按</w:t>
      </w:r>
      <w:r>
        <w:rPr>
          <w:position w:val="-12"/>
        </w:rPr>
        <w:object>
          <v:shape id="_x0000_i1099" o:spt="75" type="#_x0000_t75" style="height:18.2pt;width:125pt;" o:ole="t" filled="f" coordsize="21600,21600">
            <v:path/>
            <v:fill on="f" focussize="0,0"/>
            <v:stroke/>
            <v:imagedata r:id="rId224" o:title=""/>
            <o:lock v:ext="edit" aspectratio="t"/>
            <w10:wrap type="none"/>
            <w10:anchorlock/>
          </v:shape>
          <o:OLEObject Type="Embed" ProgID="Equation.3" ShapeID="_x0000_i1099" DrawAspect="Content" ObjectID="_1468075799" r:id="rId223">
            <o:LockedField>false</o:LockedField>
          </o:OLEObject>
        </w:object>
      </w:r>
      <w:r>
        <w:rPr>
          <w:rFonts w:hint="eastAsia" w:ascii="Times New Roman" w:hAnsi="Times New Roman"/>
        </w:rPr>
        <w:t>取值</w:t>
      </w:r>
      <w:r>
        <w:rPr>
          <w:rFonts w:hint="eastAsia" w:ascii="Times New Roman" w:hAnsi="Times New Roman"/>
          <w:lang w:eastAsia="zh-CN"/>
        </w:rPr>
        <w:t>；</w:t>
      </w:r>
    </w:p>
    <w:p>
      <w:pPr>
        <w:widowControl w:val="0"/>
        <w:tabs>
          <w:tab w:val="left" w:pos="870"/>
          <w:tab w:val="left" w:pos="930"/>
          <w:tab w:val="left" w:pos="1620"/>
          <w:tab w:val="left" w:pos="2160"/>
          <w:tab w:val="left" w:pos="3060"/>
          <w:tab w:val="left" w:pos="4680"/>
          <w:tab w:val="left" w:pos="7020"/>
        </w:tabs>
        <w:spacing w:line="480" w:lineRule="exact"/>
        <w:ind w:firstLine="480" w:firstLineChars="200"/>
        <w:rPr>
          <w:rFonts w:ascii="Times New Roman" w:hAnsi="Times New Roman"/>
        </w:rPr>
      </w:pPr>
      <w:r>
        <w:rPr>
          <w:rFonts w:ascii="Times New Roman" w:hAnsi="Times New Roman"/>
          <w:position w:val="-10"/>
        </w:rPr>
        <w:object>
          <v:shape id="_x0000_i1100" o:spt="75" type="#_x0000_t75" style="height:13.45pt;width:11.1pt;" o:ole="t" filled="f" coordsize="21600,21600">
            <v:path/>
            <v:fill on="f" focussize="0,0"/>
            <v:stroke/>
            <v:imagedata r:id="rId226" o:title=""/>
            <o:lock v:ext="edit" aspectratio="t"/>
            <w10:wrap type="none"/>
            <w10:anchorlock/>
          </v:shape>
          <o:OLEObject Type="Embed" ProgID="Equation.3" ShapeID="_x0000_i1100" DrawAspect="Content" ObjectID="_1468075800" r:id="rId225">
            <o:LockedField>false</o:LockedField>
          </o:OLEObject>
        </w:object>
      </w:r>
      <w:r>
        <w:rPr>
          <w:rFonts w:ascii="Times New Roman" w:hAnsi="Times New Roman"/>
          <w:szCs w:val="24"/>
        </w:rPr>
        <w:t>——</w:t>
      </w:r>
      <w:r>
        <w:rPr>
          <w:rFonts w:hint="eastAsia" w:ascii="Times New Roman" w:hAnsi="Times New Roman"/>
        </w:rPr>
        <w:t>第</w:t>
      </w:r>
      <w:r>
        <w:rPr>
          <w:rFonts w:hint="eastAsia"/>
        </w:rPr>
        <w:t>k</w:t>
      </w:r>
      <w:r>
        <w:rPr>
          <w:rFonts w:hint="eastAsia" w:ascii="Times New Roman" w:hAnsi="Times New Roman"/>
        </w:rPr>
        <w:t>层锚杆或土钉与滑弧交点处土的内摩擦角 (°)。</w:t>
      </w:r>
    </w:p>
    <w:p>
      <w:pPr>
        <w:widowControl w:val="0"/>
        <w:tabs>
          <w:tab w:val="left" w:pos="658"/>
          <w:tab w:val="left" w:pos="720"/>
          <w:tab w:val="left" w:pos="1440"/>
          <w:tab w:val="left" w:pos="2160"/>
          <w:tab w:val="left" w:pos="3060"/>
          <w:tab w:val="left" w:pos="4680"/>
          <w:tab w:val="left" w:pos="7020"/>
        </w:tabs>
        <w:spacing w:line="480" w:lineRule="exact"/>
        <w:ind w:left="2" w:leftChars="1" w:firstLine="480" w:firstLineChars="200"/>
        <w:rPr>
          <w:rFonts w:ascii="Times New Roman" w:hAnsi="Times New Roman"/>
        </w:rPr>
      </w:pPr>
      <w:r>
        <w:rPr>
          <w:rFonts w:hint="eastAsia" w:ascii="Times New Roman" w:hAnsi="Times New Roman"/>
          <w:szCs w:val="28"/>
        </w:rPr>
        <w:t>当挡土</w:t>
      </w:r>
      <w:r>
        <w:rPr>
          <w:rFonts w:hint="eastAsia" w:ascii="Times New Roman" w:hAnsi="Times New Roman"/>
        </w:rPr>
        <w:t>构件底端以下存在软弱下卧土层时，整体稳定性验算滑动面中应包括由圆弧与软弱土层层面组成的复合滑动面。</w:t>
      </w:r>
    </w:p>
    <w:p>
      <w:pPr>
        <w:widowControl w:val="0"/>
        <w:jc w:val="center"/>
        <w:rPr>
          <w:rFonts w:ascii="Times New Roman" w:hAnsi="Times New Roman"/>
        </w:rPr>
      </w:pPr>
      <w:r>
        <w:rPr>
          <w:rFonts w:ascii="Times New Roman" w:hAnsi="Times New Roman"/>
        </w:rPr>
        <w:drawing>
          <wp:inline distT="0" distB="0" distL="114300" distR="114300">
            <wp:extent cx="4071620" cy="1948815"/>
            <wp:effectExtent l="0" t="0" r="12700" b="1905"/>
            <wp:docPr id="1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true"/>
                    </pic:cNvPicPr>
                  </pic:nvPicPr>
                  <pic:blipFill>
                    <a:blip r:embed="rId227"/>
                    <a:srcRect l="22870" t="15950" r="22870" b="25575"/>
                    <a:stretch>
                      <a:fillRect/>
                    </a:stretch>
                  </pic:blipFill>
                  <pic:spPr>
                    <a:xfrm>
                      <a:off x="0" y="0"/>
                      <a:ext cx="4074918" cy="1950467"/>
                    </a:xfrm>
                    <a:prstGeom prst="rect">
                      <a:avLst/>
                    </a:prstGeom>
                    <a:noFill/>
                    <a:ln>
                      <a:noFill/>
                    </a:ln>
                  </pic:spPr>
                </pic:pic>
              </a:graphicData>
            </a:graphic>
          </wp:inline>
        </w:drawing>
      </w:r>
    </w:p>
    <w:p>
      <w:pPr>
        <w:widowControl w:val="0"/>
        <w:spacing w:line="480" w:lineRule="exact"/>
        <w:jc w:val="center"/>
        <w:rPr>
          <w:rFonts w:ascii="Times New Roman" w:hAnsi="Times New Roman"/>
          <w:sz w:val="21"/>
          <w:szCs w:val="21"/>
        </w:rPr>
      </w:pPr>
      <w:r>
        <w:rPr>
          <w:rFonts w:hint="eastAsia" w:ascii="Times New Roman" w:hAnsi="Times New Roman"/>
          <w:sz w:val="21"/>
          <w:szCs w:val="21"/>
        </w:rPr>
        <w:t>图6.2.1  圆弧滑动条分法整体稳定性验算</w:t>
      </w:r>
    </w:p>
    <w:p>
      <w:pPr>
        <w:widowControl w:val="0"/>
        <w:spacing w:line="480" w:lineRule="exact"/>
        <w:jc w:val="center"/>
        <w:rPr>
          <w:rFonts w:ascii="Times New Roman" w:hAnsi="Times New Roman"/>
          <w:sz w:val="21"/>
          <w:szCs w:val="21"/>
        </w:rPr>
      </w:pPr>
      <w:r>
        <w:rPr>
          <w:rFonts w:hint="eastAsia" w:ascii="Times New Roman" w:hAnsi="Times New Roman"/>
          <w:sz w:val="21"/>
          <w:szCs w:val="21"/>
        </w:rPr>
        <w:t>1－任意圆弧滑动面；2－锚杆或土钉</w:t>
      </w:r>
    </w:p>
    <w:p>
      <w:pPr>
        <w:widowControl w:val="0"/>
        <w:tabs>
          <w:tab w:val="left" w:pos="658"/>
          <w:tab w:val="left" w:pos="720"/>
          <w:tab w:val="left" w:pos="1440"/>
          <w:tab w:val="left" w:pos="2160"/>
          <w:tab w:val="left" w:pos="3060"/>
          <w:tab w:val="left" w:pos="4680"/>
          <w:tab w:val="left" w:pos="7020"/>
        </w:tabs>
        <w:spacing w:line="480" w:lineRule="exact"/>
        <w:ind w:left="2" w:leftChars="1"/>
        <w:rPr>
          <w:rFonts w:ascii="Times New Roman" w:hAnsi="Times New Roman"/>
          <w:color w:val="auto"/>
        </w:rPr>
      </w:pPr>
      <w:r>
        <w:rPr>
          <w:rFonts w:hint="eastAsia" w:ascii="Times New Roman" w:hAnsi="Times New Roman"/>
          <w:b/>
          <w:szCs w:val="28"/>
        </w:rPr>
        <w:t>6.2.2</w:t>
      </w:r>
      <w:r>
        <w:rPr>
          <w:rFonts w:hint="eastAsia" w:ascii="Times New Roman" w:hAnsi="Times New Roman"/>
          <w:szCs w:val="28"/>
        </w:rPr>
        <w:t xml:space="preserve"> </w:t>
      </w:r>
      <w:r>
        <w:rPr>
          <w:rFonts w:hint="eastAsia" w:ascii="Times New Roman" w:hAnsi="Times New Roman"/>
        </w:rPr>
        <w:t>锚拉式支挡结构和支撑式支挡结构，当坑底以下为软土时，其嵌固深</w:t>
      </w:r>
      <w:r>
        <w:rPr>
          <w:rFonts w:hint="eastAsia" w:ascii="Times New Roman" w:hAnsi="Times New Roman"/>
          <w:color w:val="auto"/>
        </w:rPr>
        <w:t>度应</w:t>
      </w:r>
      <w:r>
        <w:rPr>
          <w:rFonts w:hint="eastAsia" w:ascii="Times New Roman" w:hAnsi="Times New Roman"/>
          <w:color w:val="auto"/>
          <w:lang w:val="en-US" w:eastAsia="zh-CN"/>
        </w:rPr>
        <w:t>按式（6.2.2）进行</w:t>
      </w:r>
      <w:r>
        <w:rPr>
          <w:rFonts w:hint="eastAsia" w:ascii="Times New Roman" w:hAnsi="Times New Roman"/>
          <w:color w:val="auto"/>
        </w:rPr>
        <w:t>以最下层支点为轴心的圆弧滑动稳定性</w:t>
      </w:r>
      <w:r>
        <w:rPr>
          <w:rFonts w:hint="eastAsia" w:ascii="Times New Roman" w:hAnsi="Times New Roman"/>
          <w:color w:val="auto"/>
          <w:lang w:val="en-US" w:eastAsia="zh-CN"/>
        </w:rPr>
        <w:t>验算</w:t>
      </w:r>
      <w:r>
        <w:rPr>
          <w:rFonts w:hint="eastAsia" w:ascii="Times New Roman" w:hAnsi="Times New Roman"/>
          <w:color w:val="auto"/>
        </w:rPr>
        <w:t>（图6.2.2）：</w:t>
      </w:r>
    </w:p>
    <w:tbl>
      <w:tblPr>
        <w:tblStyle w:val="32"/>
        <w:tblW w:w="0" w:type="auto"/>
        <w:tblInd w:w="-34" w:type="dxa"/>
        <w:tblLayout w:type="fixed"/>
        <w:tblCellMar>
          <w:top w:w="0" w:type="dxa"/>
          <w:left w:w="108" w:type="dxa"/>
          <w:bottom w:w="0" w:type="dxa"/>
          <w:right w:w="108" w:type="dxa"/>
        </w:tblCellMar>
      </w:tblPr>
      <w:tblGrid>
        <w:gridCol w:w="6260"/>
        <w:gridCol w:w="3628"/>
      </w:tblGrid>
      <w:tr>
        <w:tblPrEx>
          <w:tblCellMar>
            <w:top w:w="0" w:type="dxa"/>
            <w:left w:w="108" w:type="dxa"/>
            <w:bottom w:w="0" w:type="dxa"/>
            <w:right w:w="108" w:type="dxa"/>
          </w:tblCellMar>
        </w:tblPrEx>
        <w:tc>
          <w:tcPr>
            <w:tcW w:w="6260" w:type="dxa"/>
          </w:tcPr>
          <w:p>
            <w:pPr>
              <w:widowControl w:val="0"/>
              <w:tabs>
                <w:tab w:val="left" w:pos="672"/>
                <w:tab w:val="left" w:pos="1036"/>
                <w:tab w:val="left" w:pos="1620"/>
                <w:tab w:val="left" w:pos="2160"/>
                <w:tab w:val="left" w:pos="7020"/>
              </w:tabs>
              <w:jc w:val="right"/>
              <w:rPr>
                <w:rFonts w:ascii="Times New Roman" w:hAnsi="Times New Roman"/>
                <w:position w:val="-32"/>
              </w:rPr>
            </w:pPr>
            <w:r>
              <w:rPr>
                <w:position w:val="-32"/>
              </w:rPr>
              <w:object>
                <v:shape id="_x0000_i1101" o:spt="75" type="#_x0000_t75" style="height:38pt;width:194.65pt;" o:ole="t" filled="f" coordsize="21600,21600">
                  <v:path/>
                  <v:fill on="f" focussize="0,0"/>
                  <v:stroke/>
                  <v:imagedata r:id="rId229" o:title=""/>
                  <o:lock v:ext="edit" aspectratio="t"/>
                  <w10:wrap type="none"/>
                  <w10:anchorlock/>
                </v:shape>
                <o:OLEObject Type="Embed" ProgID="Equation.3" ShapeID="_x0000_i1101" DrawAspect="Content" ObjectID="_1468075801" r:id="rId228">
                  <o:LockedField>false</o:LockedField>
                </o:OLEObject>
              </w:object>
            </w:r>
            <w:r>
              <w:rPr>
                <w:rFonts w:ascii="Times New Roman" w:hAnsi="Times New Roman"/>
                <w:position w:val="-32"/>
              </w:rPr>
              <w:t xml:space="preserve"> </w:t>
            </w:r>
          </w:p>
        </w:tc>
        <w:tc>
          <w:tcPr>
            <w:tcW w:w="3628" w:type="dxa"/>
          </w:tcPr>
          <w:p>
            <w:pPr>
              <w:widowControl w:val="0"/>
              <w:tabs>
                <w:tab w:val="left" w:pos="672"/>
                <w:tab w:val="left" w:pos="1036"/>
                <w:tab w:val="left" w:pos="1620"/>
                <w:tab w:val="left" w:pos="2160"/>
                <w:tab w:val="left" w:pos="7020"/>
              </w:tabs>
              <w:spacing w:line="720" w:lineRule="auto"/>
              <w:jc w:val="right"/>
              <w:rPr>
                <w:rFonts w:ascii="Times New Roman" w:hAnsi="Times New Roman"/>
                <w:position w:val="-32"/>
              </w:rPr>
            </w:pPr>
            <w:r>
              <w:rPr>
                <w:rFonts w:hint="eastAsia" w:ascii="Times New Roman" w:hAnsi="Times New Roman"/>
                <w:szCs w:val="28"/>
              </w:rPr>
              <w:t>（6.2.2）</w:t>
            </w:r>
          </w:p>
        </w:tc>
      </w:tr>
    </w:tbl>
    <w:p>
      <w:pPr>
        <w:widowControl w:val="0"/>
        <w:tabs>
          <w:tab w:val="left" w:pos="672"/>
          <w:tab w:val="left" w:pos="1036"/>
          <w:tab w:val="left" w:pos="1620"/>
          <w:tab w:val="left" w:pos="2160"/>
          <w:tab w:val="left" w:pos="7020"/>
        </w:tabs>
        <w:spacing w:line="480" w:lineRule="exact"/>
        <w:ind w:left="1560" w:hanging="1560" w:hangingChars="650"/>
        <w:rPr>
          <w:rFonts w:hint="eastAsia" w:ascii="Times New Roman" w:hAnsi="Times New Roman" w:eastAsia="宋体"/>
          <w:szCs w:val="24"/>
          <w:lang w:eastAsia="zh-CN"/>
        </w:rPr>
      </w:pPr>
      <w:r>
        <w:rPr>
          <w:rFonts w:hint="eastAsia" w:ascii="Times New Roman" w:hAnsi="Times New Roman"/>
          <w:szCs w:val="24"/>
        </w:rPr>
        <w:t>式中：</w:t>
      </w:r>
      <w:r>
        <w:rPr>
          <w:rFonts w:ascii="Times New Roman" w:hAnsi="Times New Roman"/>
          <w:position w:val="-10"/>
          <w:szCs w:val="24"/>
        </w:rPr>
        <w:object>
          <v:shape id="_x0000_i1102" o:spt="75" type="#_x0000_t75" style="height:16.6pt;width:16.6pt;" o:ole="t" filled="f" coordsize="21600,21600">
            <v:path/>
            <v:fill on="f" focussize="0,0"/>
            <v:stroke/>
            <v:imagedata r:id="rId231" o:title=""/>
            <o:lock v:ext="edit" aspectratio="t"/>
            <w10:wrap type="none"/>
            <w10:anchorlock/>
          </v:shape>
          <o:OLEObject Type="Embed" ProgID="Equation.3" ShapeID="_x0000_i1102" DrawAspect="Content" ObjectID="_1468075802" r:id="rId230">
            <o:LockedField>false</o:LockedField>
          </o:OLEObject>
        </w:object>
      </w:r>
      <w:r>
        <w:rPr>
          <w:rFonts w:ascii="Times New Roman" w:hAnsi="Times New Roman"/>
          <w:szCs w:val="24"/>
        </w:rPr>
        <w:t>——</w:t>
      </w:r>
      <w:r>
        <w:rPr>
          <w:rFonts w:hint="eastAsia" w:ascii="Times New Roman" w:hAnsi="Times New Roman"/>
          <w:szCs w:val="24"/>
        </w:rPr>
        <w:t>以最下层支点为轴心的圆弧滑动稳定安全系数；基坑工程安全等级为一级、二级、三级的支挡式结构，</w:t>
      </w:r>
      <w:r>
        <w:rPr>
          <w:rFonts w:ascii="Times New Roman" w:hAnsi="Times New Roman"/>
          <w:position w:val="-10"/>
          <w:szCs w:val="24"/>
        </w:rPr>
        <w:object>
          <v:shape id="_x0000_i1103" o:spt="75" type="#_x0000_t75" style="height:16.6pt;width:15.8pt;" o:ole="t" filled="f" coordsize="21600,21600">
            <v:path/>
            <v:fill on="f" focussize="0,0"/>
            <v:stroke/>
            <v:imagedata r:id="rId233" o:title=""/>
            <o:lock v:ext="edit" aspectratio="t"/>
            <w10:wrap type="none"/>
            <w10:anchorlock/>
          </v:shape>
          <o:OLEObject Type="Embed" ProgID="Equation.3" ShapeID="_x0000_i1103" DrawAspect="Content" ObjectID="_1468075803" r:id="rId232">
            <o:LockedField>false</o:LockedField>
          </o:OLEObject>
        </w:object>
      </w:r>
      <w:r>
        <w:rPr>
          <w:rFonts w:hint="eastAsia" w:ascii="Times New Roman" w:hAnsi="Times New Roman"/>
          <w:szCs w:val="24"/>
        </w:rPr>
        <w:t>分别不应小于2.2、1.9、1.7</w:t>
      </w:r>
      <w:r>
        <w:rPr>
          <w:rFonts w:hint="eastAsia" w:ascii="Times New Roman" w:hAnsi="Times New Roman"/>
          <w:szCs w:val="24"/>
          <w:lang w:eastAsia="zh-CN"/>
        </w:rPr>
        <w:t>；</w:t>
      </w:r>
    </w:p>
    <w:p>
      <w:pPr>
        <w:widowControl w:val="0"/>
        <w:tabs>
          <w:tab w:val="left" w:pos="658"/>
          <w:tab w:val="left" w:pos="1036"/>
          <w:tab w:val="left" w:pos="1620"/>
          <w:tab w:val="left" w:pos="2160"/>
          <w:tab w:val="left" w:pos="7020"/>
        </w:tabs>
        <w:spacing w:line="480" w:lineRule="exact"/>
        <w:ind w:left="1519" w:leftChars="233" w:hanging="960" w:hangingChars="400"/>
        <w:rPr>
          <w:rFonts w:ascii="Times New Roman" w:hAnsi="Times New Roman"/>
          <w:szCs w:val="24"/>
        </w:rPr>
      </w:pPr>
      <w:r>
        <w:rPr>
          <w:rFonts w:ascii="Times New Roman" w:hAnsi="Times New Roman"/>
          <w:i/>
          <w:position w:val="-14"/>
        </w:rPr>
        <w:object>
          <v:shape id="_x0000_i1104" o:spt="75" type="#_x0000_t75" style="height:19pt;width:13.45pt;" o:ole="t" filled="f" coordsize="21600,21600">
            <v:path/>
            <v:fill on="f" focussize="0,0"/>
            <v:stroke/>
            <v:imagedata r:id="rId178" o:title=""/>
            <o:lock v:ext="edit" aspectratio="t"/>
            <w10:wrap type="none"/>
            <w10:anchorlock/>
          </v:shape>
          <o:OLEObject Type="Embed" ProgID="Equation.3" ShapeID="_x0000_i1104" DrawAspect="Content" ObjectID="_1468075804" r:id="rId234">
            <o:LockedField>false</o:LockedField>
          </o:OLEObject>
        </w:object>
      </w:r>
      <w:r>
        <w:rPr>
          <w:rFonts w:hint="eastAsia" w:ascii="Times New Roman" w:hAnsi="Times New Roman"/>
        </w:rPr>
        <w:t>、</w:t>
      </w:r>
      <w:r>
        <w:rPr>
          <w:rFonts w:ascii="Times New Roman" w:hAnsi="Times New Roman"/>
          <w:position w:val="-14"/>
        </w:rPr>
        <w:object>
          <v:shape id="_x0000_i1105" o:spt="75" type="#_x0000_t75" style="height:19pt;width:13.45pt;" o:ole="t" filled="f" coordsize="21600,21600">
            <v:path/>
            <v:fill on="f" focussize="0,0"/>
            <v:stroke/>
            <v:imagedata r:id="rId180" o:title=""/>
            <o:lock v:ext="edit" aspectratio="t"/>
            <w10:wrap type="none"/>
            <w10:anchorlock/>
          </v:shape>
          <o:OLEObject Type="Embed" ProgID="Equation.3" ShapeID="_x0000_i1105" DrawAspect="Content" ObjectID="_1468075805" r:id="rId235">
            <o:LockedField>false</o:LockedField>
          </o:OLEObject>
        </w:object>
      </w:r>
      <w:r>
        <w:rPr>
          <w:rFonts w:ascii="Times New Roman" w:hAnsi="Times New Roman"/>
          <w:szCs w:val="24"/>
        </w:rPr>
        <w:t>——</w:t>
      </w:r>
      <w:r>
        <w:rPr>
          <w:rFonts w:hint="eastAsia" w:ascii="Times New Roman" w:hAnsi="Times New Roman"/>
          <w:szCs w:val="24"/>
        </w:rPr>
        <w:t>第j土条在滑弧面处土的粘聚力 (kPa)、内摩擦角 (°)，按</w:t>
      </w:r>
      <w:r>
        <w:rPr>
          <w:rFonts w:hint="eastAsia" w:ascii="Times New Roman" w:hAnsi="Times New Roman"/>
          <w:szCs w:val="24"/>
          <w:lang w:eastAsia="zh-CN"/>
        </w:rPr>
        <w:t>本标准</w:t>
      </w:r>
      <w:r>
        <w:rPr>
          <w:rFonts w:hint="eastAsia" w:ascii="Times New Roman" w:hAnsi="Times New Roman"/>
          <w:szCs w:val="24"/>
        </w:rPr>
        <w:t>相关规定取值；</w:t>
      </w:r>
    </w:p>
    <w:p>
      <w:pPr>
        <w:widowControl w:val="0"/>
        <w:tabs>
          <w:tab w:val="left" w:pos="658"/>
          <w:tab w:val="left" w:pos="1134"/>
          <w:tab w:val="left" w:pos="1372"/>
          <w:tab w:val="left" w:pos="2160"/>
          <w:tab w:val="left" w:pos="3060"/>
          <w:tab w:val="left" w:pos="4680"/>
          <w:tab w:val="left" w:pos="7020"/>
        </w:tabs>
        <w:spacing w:line="480" w:lineRule="exact"/>
        <w:ind w:firstLine="960" w:firstLineChars="400"/>
        <w:rPr>
          <w:rFonts w:ascii="Times New Roman" w:hAnsi="Times New Roman"/>
          <w:szCs w:val="24"/>
        </w:rPr>
      </w:pPr>
      <w:r>
        <w:rPr>
          <w:rFonts w:ascii="Times New Roman" w:hAnsi="Times New Roman"/>
          <w:position w:val="-14"/>
        </w:rPr>
        <w:object>
          <v:shape id="_x0000_i1106" o:spt="75" type="#_x0000_t75" style="height:19pt;width:11.1pt;" o:ole="t" filled="f" coordsize="21600,21600">
            <v:path/>
            <v:fill on="f" focussize="0,0"/>
            <v:stroke/>
            <v:imagedata r:id="rId186" o:title=""/>
            <o:lock v:ext="edit" aspectratio="t"/>
            <w10:wrap type="none"/>
            <w10:anchorlock/>
          </v:shape>
          <o:OLEObject Type="Embed" ProgID="Equation.3" ShapeID="_x0000_i1106" DrawAspect="Content" ObjectID="_1468075806" r:id="rId236">
            <o:LockedField>false</o:LockedField>
          </o:OLEObject>
        </w:object>
      </w:r>
      <w:r>
        <w:rPr>
          <w:rFonts w:ascii="Times New Roman" w:hAnsi="Times New Roman"/>
          <w:szCs w:val="24"/>
        </w:rPr>
        <w:t>——</w:t>
      </w:r>
      <w:r>
        <w:rPr>
          <w:rFonts w:hint="eastAsia" w:ascii="Times New Roman" w:hAnsi="Times New Roman"/>
          <w:szCs w:val="24"/>
        </w:rPr>
        <w:t>第j土条的滑弧段长度 (m)，取</w:t>
      </w:r>
      <w:r>
        <w:rPr>
          <w:rFonts w:ascii="Times New Roman" w:hAnsi="Times New Roman"/>
          <w:position w:val="-14"/>
        </w:rPr>
        <w:object>
          <v:shape id="_x0000_i1107" o:spt="75" type="#_x0000_t75" style="height:19pt;width:67.25pt;" o:ole="t" filled="f" coordsize="21600,21600">
            <v:path/>
            <v:fill on="f" focussize="0,0"/>
            <v:stroke/>
            <v:imagedata r:id="rId188" o:title=""/>
            <o:lock v:ext="edit" aspectratio="t"/>
            <w10:wrap type="none"/>
            <w10:anchorlock/>
          </v:shape>
          <o:OLEObject Type="Embed" ProgID="Equation.3" ShapeID="_x0000_i1107" DrawAspect="Content" ObjectID="_1468075807" r:id="rId237">
            <o:LockedField>false</o:LockedField>
          </o:OLEObject>
        </w:object>
      </w:r>
      <w:r>
        <w:rPr>
          <w:rFonts w:hint="eastAsia" w:ascii="Times New Roman" w:hAnsi="Times New Roman"/>
          <w:szCs w:val="24"/>
        </w:rPr>
        <w:t>；</w:t>
      </w:r>
    </w:p>
    <w:p>
      <w:pPr>
        <w:widowControl w:val="0"/>
        <w:tabs>
          <w:tab w:val="left" w:pos="658"/>
          <w:tab w:val="left" w:pos="1134"/>
          <w:tab w:val="left" w:pos="1372"/>
          <w:tab w:val="left" w:pos="2160"/>
          <w:tab w:val="left" w:pos="3060"/>
          <w:tab w:val="left" w:pos="4680"/>
          <w:tab w:val="left" w:pos="7020"/>
        </w:tabs>
        <w:spacing w:line="480" w:lineRule="exact"/>
        <w:ind w:firstLine="960" w:firstLineChars="400"/>
        <w:rPr>
          <w:rFonts w:ascii="Times New Roman" w:hAnsi="Times New Roman"/>
          <w:szCs w:val="24"/>
        </w:rPr>
      </w:pPr>
      <w:r>
        <w:rPr>
          <w:rFonts w:ascii="Times New Roman" w:hAnsi="Times New Roman"/>
          <w:position w:val="-14"/>
        </w:rPr>
        <w:object>
          <v:shape id="_x0000_i1108" o:spt="75" type="#_x0000_t75" style="height:19pt;width:13.45pt;" o:ole="t" filled="f" coordsize="21600,21600">
            <v:path/>
            <v:fill on="f" focussize="0,0"/>
            <v:stroke/>
            <v:imagedata r:id="rId190" o:title=""/>
            <o:lock v:ext="edit" aspectratio="t"/>
            <w10:wrap type="none"/>
            <w10:anchorlock/>
          </v:shape>
          <o:OLEObject Type="Embed" ProgID="Equation.3" ShapeID="_x0000_i1108" DrawAspect="Content" ObjectID="_1468075808" r:id="rId238">
            <o:LockedField>false</o:LockedField>
          </o:OLEObject>
        </w:object>
      </w:r>
      <w:r>
        <w:rPr>
          <w:rFonts w:ascii="Times New Roman" w:hAnsi="Times New Roman"/>
          <w:szCs w:val="24"/>
        </w:rPr>
        <w:t>——</w:t>
      </w:r>
      <w:r>
        <w:rPr>
          <w:rFonts w:hint="eastAsia" w:ascii="Times New Roman" w:hAnsi="Times New Roman"/>
          <w:szCs w:val="24"/>
        </w:rPr>
        <w:t>作用在第j土条上的竖向附加分布荷载标准值 (kPa)；</w:t>
      </w:r>
    </w:p>
    <w:p>
      <w:pPr>
        <w:widowControl w:val="0"/>
        <w:tabs>
          <w:tab w:val="left" w:pos="658"/>
          <w:tab w:val="left" w:pos="1134"/>
          <w:tab w:val="left" w:pos="1372"/>
          <w:tab w:val="left" w:pos="2160"/>
          <w:tab w:val="left" w:pos="3060"/>
          <w:tab w:val="left" w:pos="4680"/>
          <w:tab w:val="left" w:pos="7020"/>
        </w:tabs>
        <w:spacing w:line="480" w:lineRule="exact"/>
        <w:ind w:firstLine="960" w:firstLineChars="400"/>
        <w:rPr>
          <w:rFonts w:ascii="Times New Roman" w:hAnsi="Times New Roman"/>
          <w:szCs w:val="24"/>
        </w:rPr>
      </w:pPr>
      <w:r>
        <w:rPr>
          <w:rFonts w:ascii="Times New Roman" w:hAnsi="Times New Roman"/>
          <w:position w:val="-14"/>
        </w:rPr>
        <w:object>
          <v:shape id="_x0000_i1109" o:spt="75" type="#_x0000_t75" style="height:19pt;width:13.45pt;" o:ole="t" filled="f" coordsize="21600,21600">
            <v:path/>
            <v:fill on="f" focussize="0,0"/>
            <v:stroke/>
            <v:imagedata r:id="rId182" o:title=""/>
            <o:lock v:ext="edit" aspectratio="t"/>
            <w10:wrap type="none"/>
            <w10:anchorlock/>
          </v:shape>
          <o:OLEObject Type="Embed" ProgID="Equation.3" ShapeID="_x0000_i1109" DrawAspect="Content" ObjectID="_1468075809" r:id="rId239">
            <o:LockedField>false</o:LockedField>
          </o:OLEObject>
        </w:object>
      </w:r>
      <w:r>
        <w:rPr>
          <w:rFonts w:ascii="Times New Roman" w:hAnsi="Times New Roman"/>
          <w:szCs w:val="24"/>
        </w:rPr>
        <w:t>——</w:t>
      </w:r>
      <w:r>
        <w:rPr>
          <w:rFonts w:hint="eastAsia" w:ascii="Times New Roman" w:hAnsi="Times New Roman"/>
          <w:szCs w:val="24"/>
        </w:rPr>
        <w:t>第j土条的宽度 (m)；</w:t>
      </w:r>
    </w:p>
    <w:p>
      <w:pPr>
        <w:widowControl w:val="0"/>
        <w:tabs>
          <w:tab w:val="left" w:pos="975"/>
          <w:tab w:val="left" w:pos="1120"/>
          <w:tab w:val="left" w:pos="1372"/>
          <w:tab w:val="left" w:pos="2160"/>
          <w:tab w:val="left" w:pos="3060"/>
          <w:tab w:val="left" w:pos="4680"/>
          <w:tab w:val="left" w:pos="7020"/>
        </w:tabs>
        <w:spacing w:line="480" w:lineRule="exact"/>
        <w:ind w:firstLine="960" w:firstLineChars="400"/>
        <w:rPr>
          <w:rFonts w:ascii="Times New Roman" w:hAnsi="Times New Roman"/>
          <w:szCs w:val="24"/>
        </w:rPr>
      </w:pPr>
      <w:r>
        <w:rPr>
          <w:rFonts w:ascii="Times New Roman" w:hAnsi="Times New Roman"/>
          <w:position w:val="-14"/>
        </w:rPr>
        <w:object>
          <v:shape id="_x0000_i1110" o:spt="75" type="#_x0000_t75" style="height:19pt;width:13.45pt;" o:ole="t" filled="f" coordsize="21600,21600">
            <v:path/>
            <v:fill on="f" focussize="0,0"/>
            <v:stroke/>
            <v:imagedata r:id="rId184" o:title=""/>
            <o:lock v:ext="edit" aspectratio="t"/>
            <w10:wrap type="none"/>
            <w10:anchorlock/>
          </v:shape>
          <o:OLEObject Type="Embed" ProgID="Equation.3" ShapeID="_x0000_i1110" DrawAspect="Content" ObjectID="_1468075810" r:id="rId240">
            <o:LockedField>false</o:LockedField>
          </o:OLEObject>
        </w:object>
      </w:r>
      <w:r>
        <w:rPr>
          <w:rFonts w:ascii="Times New Roman" w:hAnsi="Times New Roman"/>
          <w:szCs w:val="24"/>
        </w:rPr>
        <w:t>——</w:t>
      </w:r>
      <w:r>
        <w:rPr>
          <w:rFonts w:hint="eastAsia" w:ascii="Times New Roman" w:hAnsi="Times New Roman"/>
          <w:szCs w:val="24"/>
        </w:rPr>
        <w:t>第j土条滑弧面中点处的法线与垂直面的夹角 (°)；</w:t>
      </w:r>
    </w:p>
    <w:p>
      <w:pPr>
        <w:widowControl w:val="0"/>
        <w:tabs>
          <w:tab w:val="left" w:pos="765"/>
          <w:tab w:val="left" w:pos="1120"/>
          <w:tab w:val="left" w:pos="1372"/>
          <w:tab w:val="left" w:pos="2160"/>
          <w:tab w:val="left" w:pos="3060"/>
          <w:tab w:val="left" w:pos="4680"/>
          <w:tab w:val="left" w:pos="7020"/>
        </w:tabs>
        <w:spacing w:line="480" w:lineRule="exact"/>
        <w:ind w:firstLine="720" w:firstLineChars="300"/>
        <w:rPr>
          <w:rFonts w:ascii="Times New Roman" w:hAnsi="Times New Roman"/>
        </w:rPr>
      </w:pPr>
      <w:r>
        <w:rPr>
          <w:rFonts w:ascii="Times New Roman" w:hAnsi="Times New Roman"/>
          <w:position w:val="-14"/>
        </w:rPr>
        <w:object>
          <v:shape id="_x0000_i1111" o:spt="75" type="#_x0000_t75" style="height:19pt;width:22.95pt;" o:ole="t" filled="f" coordsize="21600,21600">
            <v:path/>
            <v:fill on="f" focussize="0,0"/>
            <v:stroke/>
            <v:imagedata r:id="rId192" o:title=""/>
            <o:lock v:ext="edit" aspectratio="t"/>
            <w10:wrap type="none"/>
            <w10:anchorlock/>
          </v:shape>
          <o:OLEObject Type="Embed" ProgID="Equation.3" ShapeID="_x0000_i1111" DrawAspect="Content" ObjectID="_1468075811" r:id="rId241">
            <o:LockedField>false</o:LockedField>
          </o:OLEObject>
        </w:object>
      </w:r>
      <w:r>
        <w:rPr>
          <w:rFonts w:ascii="Times New Roman" w:hAnsi="Times New Roman"/>
          <w:szCs w:val="24"/>
        </w:rPr>
        <w:t>——</w:t>
      </w:r>
      <w:r>
        <w:rPr>
          <w:rFonts w:hint="eastAsia" w:ascii="Times New Roman" w:hAnsi="Times New Roman"/>
          <w:szCs w:val="24"/>
        </w:rPr>
        <w:t>第j土条的自重 (kN)，按天然重度计算。</w:t>
      </w:r>
      <w:r>
        <w:rPr>
          <w:rFonts w:hint="eastAsia" w:ascii="Times New Roman" w:hAnsi="Times New Roman"/>
        </w:rPr>
        <w:t xml:space="preserve">  </w:t>
      </w:r>
    </w:p>
    <w:p>
      <w:pPr>
        <w:widowControl w:val="0"/>
        <w:tabs>
          <w:tab w:val="left" w:pos="672"/>
          <w:tab w:val="left" w:pos="1036"/>
          <w:tab w:val="left" w:pos="1620"/>
          <w:tab w:val="left" w:pos="2160"/>
          <w:tab w:val="left" w:pos="7020"/>
        </w:tabs>
        <w:jc w:val="center"/>
        <w:rPr>
          <w:rFonts w:ascii="Times New Roman" w:hAnsi="Times New Roman"/>
          <w:sz w:val="21"/>
          <w:szCs w:val="21"/>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r>
        <w:rPr>
          <w:rFonts w:ascii="Times New Roman" w:hAnsi="Times New Roman"/>
        </w:rPr>
        <w:drawing>
          <wp:anchor distT="0" distB="0" distL="114300" distR="114300" simplePos="0" relativeHeight="251672576" behindDoc="1" locked="0" layoutInCell="1" allowOverlap="1">
            <wp:simplePos x="0" y="0"/>
            <wp:positionH relativeFrom="column">
              <wp:posOffset>721995</wp:posOffset>
            </wp:positionH>
            <wp:positionV relativeFrom="paragraph">
              <wp:posOffset>-155575</wp:posOffset>
            </wp:positionV>
            <wp:extent cx="3568065" cy="2289810"/>
            <wp:effectExtent l="0" t="0" r="13335" b="11430"/>
            <wp:wrapTight wrapText="bothSides">
              <wp:wrapPolygon>
                <wp:start x="14116" y="0"/>
                <wp:lineTo x="11717" y="1150"/>
                <wp:lineTo x="11163" y="1581"/>
                <wp:lineTo x="11163" y="2300"/>
                <wp:lineTo x="1476" y="2444"/>
                <wp:lineTo x="554" y="2588"/>
                <wp:lineTo x="830" y="6900"/>
                <wp:lineTo x="0" y="6900"/>
                <wp:lineTo x="0" y="7476"/>
                <wp:lineTo x="830" y="9201"/>
                <wp:lineTo x="646" y="12220"/>
                <wp:lineTo x="830" y="13801"/>
                <wp:lineTo x="92" y="15382"/>
                <wp:lineTo x="92" y="15957"/>
                <wp:lineTo x="830" y="16101"/>
                <wp:lineTo x="554" y="19551"/>
                <wp:lineTo x="2306" y="19839"/>
                <wp:lineTo x="13377" y="20701"/>
                <wp:lineTo x="13377" y="20989"/>
                <wp:lineTo x="14116" y="21420"/>
                <wp:lineTo x="14485" y="21420"/>
                <wp:lineTo x="15038" y="20701"/>
                <wp:lineTo x="14116" y="18401"/>
                <wp:lineTo x="20850" y="18401"/>
                <wp:lineTo x="21496" y="18258"/>
                <wp:lineTo x="21496" y="5175"/>
                <wp:lineTo x="21035" y="4888"/>
                <wp:lineTo x="11163" y="4600"/>
                <wp:lineTo x="19097" y="3738"/>
                <wp:lineTo x="19374" y="2875"/>
                <wp:lineTo x="16791" y="2300"/>
                <wp:lineTo x="16883" y="1725"/>
                <wp:lineTo x="16330" y="1150"/>
                <wp:lineTo x="14485" y="0"/>
                <wp:lineTo x="14116" y="0"/>
              </wp:wrapPolygon>
            </wp:wrapTight>
            <wp:docPr id="234" name="图片 2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4" name="图片 267"/>
                    <pic:cNvPicPr>
                      <a:picLocks noChangeAspect="true"/>
                    </pic:cNvPicPr>
                  </pic:nvPicPr>
                  <pic:blipFill>
                    <a:blip r:embed="rId242"/>
                    <a:srcRect l="27217" t="21004" r="29659" b="16673"/>
                    <a:stretch>
                      <a:fillRect/>
                    </a:stretch>
                  </pic:blipFill>
                  <pic:spPr>
                    <a:xfrm>
                      <a:off x="0" y="0"/>
                      <a:ext cx="3568065" cy="2289810"/>
                    </a:xfrm>
                    <a:prstGeom prst="rect">
                      <a:avLst/>
                    </a:prstGeom>
                    <a:noFill/>
                    <a:ln w="9525">
                      <a:noFill/>
                    </a:ln>
                  </pic:spPr>
                </pic:pic>
              </a:graphicData>
            </a:graphic>
          </wp:anchor>
        </w:drawing>
      </w: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Cs w:val="24"/>
        </w:rPr>
      </w:pPr>
    </w:p>
    <w:p>
      <w:pPr>
        <w:widowControl w:val="0"/>
        <w:tabs>
          <w:tab w:val="left" w:pos="672"/>
          <w:tab w:val="left" w:pos="1036"/>
          <w:tab w:val="left" w:pos="1620"/>
          <w:tab w:val="left" w:pos="2160"/>
          <w:tab w:val="left" w:pos="7020"/>
        </w:tabs>
        <w:jc w:val="center"/>
        <w:rPr>
          <w:rFonts w:ascii="Times New Roman" w:hAnsi="Times New Roman"/>
          <w:sz w:val="21"/>
          <w:szCs w:val="21"/>
        </w:rPr>
      </w:pPr>
    </w:p>
    <w:p>
      <w:pPr>
        <w:widowControl w:val="0"/>
        <w:tabs>
          <w:tab w:val="left" w:pos="672"/>
          <w:tab w:val="left" w:pos="1036"/>
          <w:tab w:val="left" w:pos="1620"/>
          <w:tab w:val="left" w:pos="2160"/>
          <w:tab w:val="left" w:pos="7020"/>
        </w:tabs>
        <w:jc w:val="center"/>
        <w:rPr>
          <w:rFonts w:ascii="Times New Roman" w:hAnsi="Times New Roman"/>
          <w:sz w:val="21"/>
          <w:szCs w:val="21"/>
        </w:rPr>
      </w:pPr>
      <w:r>
        <w:rPr>
          <w:rFonts w:hint="eastAsia" w:ascii="Times New Roman" w:hAnsi="Times New Roman"/>
          <w:sz w:val="21"/>
          <w:szCs w:val="21"/>
        </w:rPr>
        <w:t>图6.2.2  以最下层支点为轴心的圆弧滑动稳定性验算</w:t>
      </w:r>
    </w:p>
    <w:p>
      <w:pPr>
        <w:pStyle w:val="3"/>
        <w:bidi w:val="0"/>
      </w:pPr>
      <w:bookmarkStart w:id="307" w:name="_Toc388643549"/>
      <w:bookmarkStart w:id="308" w:name="_Toc12920"/>
      <w:bookmarkStart w:id="309" w:name="_Toc23992"/>
      <w:bookmarkStart w:id="310" w:name="_Toc388643432"/>
      <w:bookmarkStart w:id="311" w:name="_Toc32022"/>
      <w:r>
        <w:rPr>
          <w:rFonts w:hint="eastAsia"/>
        </w:rPr>
        <w:t>6.3  支</w:t>
      </w:r>
      <w:r>
        <w:rPr>
          <w:rFonts w:hint="eastAsia"/>
          <w:color w:val="auto"/>
        </w:rPr>
        <w:t>挡结构</w:t>
      </w:r>
      <w:r>
        <w:rPr>
          <w:rFonts w:hint="eastAsia"/>
          <w:color w:val="auto"/>
          <w:lang w:val="en-US" w:eastAsia="zh-CN"/>
        </w:rPr>
        <w:t>嵌固</w:t>
      </w:r>
      <w:r>
        <w:rPr>
          <w:rFonts w:hint="eastAsia"/>
          <w:color w:val="auto"/>
        </w:rPr>
        <w:t>深</w:t>
      </w:r>
      <w:r>
        <w:rPr>
          <w:rFonts w:hint="eastAsia"/>
        </w:rPr>
        <w:t>度的验算</w:t>
      </w:r>
      <w:bookmarkEnd w:id="307"/>
      <w:bookmarkEnd w:id="308"/>
      <w:bookmarkEnd w:id="309"/>
      <w:bookmarkEnd w:id="310"/>
      <w:bookmarkEnd w:id="311"/>
    </w:p>
    <w:p>
      <w:pPr>
        <w:widowControl w:val="0"/>
        <w:spacing w:line="480" w:lineRule="exact"/>
        <w:rPr>
          <w:rFonts w:ascii="Times New Roman" w:hAnsi="Times New Roman"/>
        </w:rPr>
      </w:pPr>
      <w:r>
        <w:rPr>
          <w:rFonts w:hint="eastAsia" w:ascii="Times New Roman" w:hAnsi="Times New Roman"/>
          <w:b/>
          <w:szCs w:val="28"/>
        </w:rPr>
        <w:t xml:space="preserve">6.3.1 </w:t>
      </w:r>
      <w:r>
        <w:rPr>
          <w:rFonts w:hint="eastAsia" w:ascii="Times New Roman" w:hAnsi="Times New Roman"/>
          <w:szCs w:val="28"/>
        </w:rPr>
        <w:t>悬</w:t>
      </w:r>
      <w:r>
        <w:rPr>
          <w:rFonts w:hint="eastAsia" w:ascii="Times New Roman" w:hAnsi="Times New Roman"/>
        </w:rPr>
        <w:t>臂式支挡结</w:t>
      </w:r>
      <w:r>
        <w:rPr>
          <w:rFonts w:hint="eastAsia" w:ascii="Times New Roman" w:hAnsi="Times New Roman"/>
          <w:color w:val="auto"/>
        </w:rPr>
        <w:t>构的</w:t>
      </w:r>
      <w:r>
        <w:rPr>
          <w:rFonts w:hint="eastAsia" w:ascii="Times New Roman" w:hAnsi="Times New Roman"/>
          <w:color w:val="auto"/>
          <w:lang w:val="en-US" w:eastAsia="zh-CN"/>
        </w:rPr>
        <w:t>嵌固</w:t>
      </w:r>
      <w:r>
        <w:rPr>
          <w:rFonts w:hint="eastAsia" w:ascii="Times New Roman" w:hAnsi="Times New Roman"/>
          <w:color w:val="auto"/>
        </w:rPr>
        <w:t>深度</w:t>
      </w:r>
      <w:r>
        <w:rPr>
          <w:rFonts w:ascii="Times New Roman" w:hAnsi="Times New Roman"/>
          <w:color w:val="auto"/>
          <w:position w:val="-12"/>
        </w:rPr>
        <w:drawing>
          <wp:inline distT="0" distB="0" distL="114300" distR="114300">
            <wp:extent cx="180975" cy="228600"/>
            <wp:effectExtent l="0" t="0" r="1905" b="0"/>
            <wp:docPr id="1"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6"/>
                    <pic:cNvPicPr>
                      <a:picLocks noChangeAspect="true"/>
                    </pic:cNvPicPr>
                  </pic:nvPicPr>
                  <pic:blipFill>
                    <a:blip r:embed="rId243"/>
                    <a:stretch>
                      <a:fillRect/>
                    </a:stretch>
                  </pic:blipFill>
                  <pic:spPr>
                    <a:xfrm>
                      <a:off x="0" y="0"/>
                      <a:ext cx="180975" cy="228600"/>
                    </a:xfrm>
                    <a:prstGeom prst="rect">
                      <a:avLst/>
                    </a:prstGeom>
                    <a:noFill/>
                    <a:ln>
                      <a:noFill/>
                    </a:ln>
                  </pic:spPr>
                </pic:pic>
              </a:graphicData>
            </a:graphic>
          </wp:inline>
        </w:drawing>
      </w:r>
      <w:r>
        <w:rPr>
          <w:rFonts w:hint="eastAsia" w:ascii="Times New Roman" w:hAnsi="Times New Roman"/>
          <w:color w:val="auto"/>
        </w:rPr>
        <w:t>应符合</w:t>
      </w:r>
      <w:r>
        <w:rPr>
          <w:rFonts w:hint="eastAsia" w:ascii="Times New Roman" w:hAnsi="Times New Roman"/>
          <w:color w:val="auto"/>
          <w:lang w:val="en-US" w:eastAsia="zh-CN"/>
        </w:rPr>
        <w:t>式（6.3.1）</w:t>
      </w:r>
      <w:r>
        <w:rPr>
          <w:rFonts w:hint="eastAsia" w:ascii="Times New Roman" w:hAnsi="Times New Roman"/>
          <w:color w:val="auto"/>
        </w:rPr>
        <w:t>要求</w:t>
      </w:r>
      <w:r>
        <w:rPr>
          <w:rFonts w:hint="eastAsia" w:ascii="Times New Roman" w:hAnsi="Times New Roman"/>
        </w:rPr>
        <w:t>（图6.3.1）：</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Times New Roman" w:hAnsi="Times New Roman"/>
                <w:position w:val="-60"/>
              </w:rPr>
            </w:pPr>
            <w:r>
              <w:rPr>
                <w:position w:val="-60"/>
              </w:rPr>
              <w:object>
                <v:shape id="_x0000_i1112" o:spt="75" type="#_x0000_t75" style="height:67.25pt;width:75.95pt;" o:ole="t" filled="f" coordsize="21600,21600">
                  <v:path/>
                  <v:fill on="f" focussize="0,0"/>
                  <v:stroke/>
                  <v:imagedata r:id="rId245" o:title=""/>
                  <o:lock v:ext="edit" aspectratio="t"/>
                  <w10:wrap type="none"/>
                  <w10:anchorlock/>
                </v:shape>
                <o:OLEObject Type="Embed" ProgID="Equation.3" ShapeID="_x0000_i1112" DrawAspect="Content" ObjectID="_1468075812" r:id="rId244">
                  <o:LockedField>false</o:LockedField>
                </o:OLEObject>
              </w:object>
            </w:r>
          </w:p>
        </w:tc>
        <w:tc>
          <w:tcPr>
            <w:tcW w:w="4927" w:type="dxa"/>
          </w:tcPr>
          <w:p>
            <w:pPr>
              <w:widowControl w:val="0"/>
              <w:spacing w:line="1200" w:lineRule="auto"/>
              <w:jc w:val="right"/>
              <w:rPr>
                <w:rFonts w:ascii="Times New Roman" w:hAnsi="Times New Roman"/>
                <w:position w:val="-60"/>
              </w:rPr>
            </w:pPr>
            <w:r>
              <w:rPr>
                <w:rFonts w:hint="eastAsia" w:ascii="Times New Roman" w:hAnsi="Times New Roman"/>
              </w:rPr>
              <w:t>（6.3.1）</w:t>
            </w:r>
          </w:p>
        </w:tc>
      </w:tr>
    </w:tbl>
    <w:p>
      <w:pPr>
        <w:widowControl w:val="0"/>
        <w:spacing w:line="480" w:lineRule="exact"/>
        <w:ind w:left="1440" w:hanging="1440" w:hangingChars="600"/>
        <w:rPr>
          <w:rFonts w:ascii="Times New Roman" w:hAnsi="Times New Roman"/>
          <w:szCs w:val="24"/>
        </w:rPr>
      </w:pPr>
      <w:r>
        <w:rPr>
          <w:rFonts w:hint="eastAsia" w:ascii="Times New Roman" w:hAnsi="Times New Roman"/>
        </w:rPr>
        <w:t>式中：</w:t>
      </w:r>
      <w:r>
        <w:rPr>
          <w:rFonts w:ascii="Times New Roman" w:hAnsi="Times New Roman"/>
          <w:position w:val="-12"/>
          <w:szCs w:val="24"/>
        </w:rPr>
        <w:drawing>
          <wp:inline distT="0" distB="0" distL="114300" distR="114300">
            <wp:extent cx="200025" cy="228600"/>
            <wp:effectExtent l="0" t="0" r="13335" b="0"/>
            <wp:docPr id="2"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48"/>
                    <pic:cNvPicPr>
                      <a:picLocks noChangeAspect="true"/>
                    </pic:cNvPicPr>
                  </pic:nvPicPr>
                  <pic:blipFill>
                    <a:blip r:embed="rId246"/>
                    <a:stretch>
                      <a:fillRect/>
                    </a:stretch>
                  </pic:blipFill>
                  <pic:spPr>
                    <a:xfrm>
                      <a:off x="0" y="0"/>
                      <a:ext cx="200025" cy="228600"/>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 xml:space="preserve"> 嵌固稳定安全系数；基坑工程安全等级为一级、二级、三级的悬臂式支挡结构，</w:t>
      </w:r>
      <w:r>
        <w:rPr>
          <w:rFonts w:ascii="Times New Roman" w:hAnsi="Times New Roman"/>
          <w:position w:val="-12"/>
          <w:szCs w:val="24"/>
        </w:rPr>
        <w:drawing>
          <wp:inline distT="0" distB="0" distL="114300" distR="114300">
            <wp:extent cx="200025" cy="228600"/>
            <wp:effectExtent l="0" t="0" r="13335" b="0"/>
            <wp:docPr id="3"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9"/>
                    <pic:cNvPicPr>
                      <a:picLocks noChangeAspect="true"/>
                    </pic:cNvPicPr>
                  </pic:nvPicPr>
                  <pic:blipFill>
                    <a:blip r:embed="rId246"/>
                    <a:stretch>
                      <a:fillRect/>
                    </a:stretch>
                  </pic:blipFill>
                  <pic:spPr>
                    <a:xfrm>
                      <a:off x="0" y="0"/>
                      <a:ext cx="200025" cy="228600"/>
                    </a:xfrm>
                    <a:prstGeom prst="rect">
                      <a:avLst/>
                    </a:prstGeom>
                    <a:noFill/>
                    <a:ln>
                      <a:noFill/>
                    </a:ln>
                  </pic:spPr>
                </pic:pic>
              </a:graphicData>
            </a:graphic>
          </wp:inline>
        </w:drawing>
      </w:r>
      <w:r>
        <w:rPr>
          <w:rFonts w:hint="eastAsia" w:ascii="Times New Roman" w:hAnsi="Times New Roman"/>
          <w:szCs w:val="24"/>
        </w:rPr>
        <w:t>分别不应小于1.25、1.2、1.15；</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position w:val="-10"/>
        </w:rPr>
        <w:drawing>
          <wp:inline distT="0" distB="0" distL="114300" distR="114300">
            <wp:extent cx="228600" cy="200025"/>
            <wp:effectExtent l="0" t="0" r="0" b="13335"/>
            <wp:docPr id="8"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0"/>
                    <pic:cNvPicPr>
                      <a:picLocks noChangeAspect="true"/>
                    </pic:cNvPicPr>
                  </pic:nvPicPr>
                  <pic:blipFill>
                    <a:blip r:embed="rId247"/>
                    <a:stretch>
                      <a:fillRect/>
                    </a:stretch>
                  </pic:blipFill>
                  <pic:spPr>
                    <a:xfrm>
                      <a:off x="0" y="0"/>
                      <a:ext cx="228600"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 xml:space="preserve"> </w:t>
      </w:r>
      <w:r>
        <w:rPr>
          <w:rFonts w:hint="eastAsia" w:ascii="Times New Roman" w:hAnsi="Times New Roman"/>
        </w:rPr>
        <w:t>基坑外侧第</w:t>
      </w:r>
      <w:r>
        <w:rPr>
          <w:rFonts w:ascii="Times New Roman" w:hAnsi="Times New Roman"/>
          <w:position w:val="-4"/>
        </w:rPr>
        <w:drawing>
          <wp:inline distT="0" distB="0" distL="114300" distR="114300">
            <wp:extent cx="85725" cy="152400"/>
            <wp:effectExtent l="0" t="0" r="5715" b="0"/>
            <wp:docPr id="4"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1"/>
                    <pic:cNvPicPr>
                      <a:picLocks noChangeAspect="true"/>
                    </pic:cNvPicPr>
                  </pic:nvPicPr>
                  <pic:blipFill>
                    <a:blip r:embed="rId248"/>
                    <a:stretch>
                      <a:fillRect/>
                    </a:stretch>
                  </pic:blipFill>
                  <pic:spPr>
                    <a:xfrm>
                      <a:off x="0" y="0"/>
                      <a:ext cx="85725" cy="152400"/>
                    </a:xfrm>
                    <a:prstGeom prst="rect">
                      <a:avLst/>
                    </a:prstGeom>
                    <a:noFill/>
                    <a:ln>
                      <a:noFill/>
                    </a:ln>
                  </pic:spPr>
                </pic:pic>
              </a:graphicData>
            </a:graphic>
          </wp:inline>
        </w:drawing>
      </w:r>
      <w:r>
        <w:rPr>
          <w:rFonts w:hint="eastAsia" w:ascii="Times New Roman" w:hAnsi="Times New Roman"/>
        </w:rPr>
        <w:t xml:space="preserve">层土主动土压力合力标准值 </w:t>
      </w:r>
      <w:r>
        <w:rPr>
          <w:rFonts w:hint="eastAsia" w:ascii="Times New Roman" w:hAnsi="Times New Roman"/>
          <w:szCs w:val="24"/>
        </w:rPr>
        <w:t>(kN)</w:t>
      </w:r>
      <w:r>
        <w:rPr>
          <w:rFonts w:hint="eastAsia" w:ascii="Times New Roman" w:hAnsi="Times New Roman"/>
        </w:rPr>
        <w:t>；</w:t>
      </w:r>
    </w:p>
    <w:p>
      <w:pPr>
        <w:widowControl w:val="0"/>
        <w:spacing w:line="480" w:lineRule="exact"/>
        <w:ind w:firstLine="600" w:firstLineChars="250"/>
        <w:rPr>
          <w:rFonts w:ascii="Times New Roman" w:hAnsi="Times New Roman"/>
        </w:rPr>
      </w:pPr>
      <w:r>
        <w:rPr>
          <w:rFonts w:ascii="Times New Roman" w:hAnsi="Times New Roman"/>
          <w:position w:val="-14"/>
        </w:rPr>
        <w:drawing>
          <wp:inline distT="0" distB="0" distL="114300" distR="114300">
            <wp:extent cx="238125" cy="228600"/>
            <wp:effectExtent l="0" t="0" r="0" b="0"/>
            <wp:docPr id="11"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2"/>
                    <pic:cNvPicPr>
                      <a:picLocks noChangeAspect="true"/>
                    </pic:cNvPicPr>
                  </pic:nvPicPr>
                  <pic:blipFill>
                    <a:blip r:embed="rId249"/>
                    <a:stretch>
                      <a:fillRect/>
                    </a:stretch>
                  </pic:blipFill>
                  <pic:spPr>
                    <a:xfrm>
                      <a:off x="0" y="0"/>
                      <a:ext cx="238125" cy="228600"/>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 xml:space="preserve"> </w:t>
      </w:r>
      <w:r>
        <w:rPr>
          <w:rFonts w:hint="eastAsia" w:ascii="Times New Roman" w:hAnsi="Times New Roman"/>
        </w:rPr>
        <w:t>基坑内侧第</w:t>
      </w:r>
      <w:r>
        <w:rPr>
          <w:rFonts w:ascii="Times New Roman" w:hAnsi="Times New Roman"/>
          <w:position w:val="-10"/>
        </w:rPr>
        <w:drawing>
          <wp:inline distT="0" distB="0" distL="114300" distR="114300">
            <wp:extent cx="123825" cy="190500"/>
            <wp:effectExtent l="0" t="0" r="13335" b="6350"/>
            <wp:docPr id="5"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3"/>
                    <pic:cNvPicPr>
                      <a:picLocks noChangeAspect="true"/>
                    </pic:cNvPicPr>
                  </pic:nvPicPr>
                  <pic:blipFill>
                    <a:blip r:embed="rId250"/>
                    <a:stretch>
                      <a:fillRect/>
                    </a:stretch>
                  </pic:blipFill>
                  <pic:spPr>
                    <a:xfrm>
                      <a:off x="0" y="0"/>
                      <a:ext cx="123825" cy="190500"/>
                    </a:xfrm>
                    <a:prstGeom prst="rect">
                      <a:avLst/>
                    </a:prstGeom>
                    <a:noFill/>
                    <a:ln>
                      <a:noFill/>
                    </a:ln>
                  </pic:spPr>
                </pic:pic>
              </a:graphicData>
            </a:graphic>
          </wp:inline>
        </w:drawing>
      </w:r>
      <w:r>
        <w:rPr>
          <w:rFonts w:hint="eastAsia" w:ascii="Times New Roman" w:hAnsi="Times New Roman"/>
        </w:rPr>
        <w:t xml:space="preserve">层土被动土压力合力标准值 </w:t>
      </w:r>
      <w:r>
        <w:rPr>
          <w:rFonts w:hint="eastAsia" w:ascii="Times New Roman" w:hAnsi="Times New Roman"/>
          <w:szCs w:val="24"/>
        </w:rPr>
        <w:t>(kN)</w:t>
      </w:r>
      <w:r>
        <w:rPr>
          <w:rFonts w:hint="eastAsia" w:ascii="Times New Roman" w:hAnsi="Times New Roman"/>
        </w:rPr>
        <w:t>；</w:t>
      </w:r>
    </w:p>
    <w:p>
      <w:pPr>
        <w:widowControl w:val="0"/>
        <w:spacing w:line="480" w:lineRule="exact"/>
        <w:rPr>
          <w:rFonts w:ascii="Times New Roman" w:hAnsi="Times New Roman"/>
        </w:rPr>
      </w:pPr>
      <w:r>
        <w:rPr>
          <w:rFonts w:ascii="Times New Roman" w:hAnsi="Times New Roman"/>
          <w:position w:val="-12"/>
        </w:rPr>
        <w:object>
          <v:shape id="_x0000_i1113" o:spt="75" type="#_x0000_t75" style="height:18.2pt;width:19pt;" o:ole="t" filled="f" coordsize="21600,21600">
            <v:path/>
            <v:fill on="f" focussize="0,0"/>
            <v:stroke/>
            <v:imagedata r:id="rId252" o:title=""/>
            <o:lock v:ext="edit" aspectratio="t"/>
            <w10:wrap type="none"/>
            <w10:anchorlock/>
          </v:shape>
          <o:OLEObject Type="Embed" ProgID="Equation.3" ShapeID="_x0000_i1113" DrawAspect="Content" ObjectID="_1468075813" r:id="rId251">
            <o:LockedField>false</o:LockedField>
          </o:OLEObject>
        </w:object>
      </w:r>
      <w:r>
        <w:rPr>
          <w:rFonts w:hint="eastAsia" w:ascii="Times New Roman" w:hAnsi="Times New Roman"/>
        </w:rPr>
        <w:t>、</w:t>
      </w:r>
      <w:r>
        <w:rPr>
          <w:rFonts w:ascii="Times New Roman" w:hAnsi="Times New Roman"/>
          <w:position w:val="-14"/>
        </w:rPr>
        <w:object>
          <v:shape id="_x0000_i1114" o:spt="75" type="#_x0000_t75" style="height:19pt;width:19.8pt;" o:ole="t" filled="f" coordsize="21600,21600">
            <v:path/>
            <v:fill on="f" focussize="0,0"/>
            <v:stroke/>
            <v:imagedata r:id="rId254" o:title=""/>
            <o:lock v:ext="edit" aspectratio="t"/>
            <w10:wrap type="none"/>
            <w10:anchorlock/>
          </v:shape>
          <o:OLEObject Type="Embed" ProgID="Equation.3" ShapeID="_x0000_i1114" DrawAspect="Content" ObjectID="_1468075814" r:id="rId253">
            <o:LockedField>false</o:LockedField>
          </o:OLEObject>
        </w:object>
      </w:r>
      <w:r>
        <w:rPr>
          <w:rFonts w:ascii="Times New Roman" w:hAnsi="Times New Roman"/>
          <w:szCs w:val="24"/>
        </w:rPr>
        <w:t>——</w:t>
      </w:r>
      <w:r>
        <w:rPr>
          <w:rFonts w:hint="eastAsia" w:ascii="Times New Roman" w:hAnsi="Times New Roman"/>
          <w:szCs w:val="24"/>
        </w:rPr>
        <w:t xml:space="preserve"> </w:t>
      </w:r>
      <w:r>
        <w:rPr>
          <w:rFonts w:hint="eastAsia" w:ascii="Times New Roman" w:hAnsi="Times New Roman"/>
        </w:rPr>
        <w:t>分别为</w:t>
      </w:r>
      <w:r>
        <w:rPr>
          <w:rFonts w:ascii="Times New Roman" w:hAnsi="Times New Roman"/>
          <w:position w:val="-10"/>
        </w:rPr>
        <w:drawing>
          <wp:inline distT="0" distB="0" distL="114300" distR="114300">
            <wp:extent cx="228600" cy="200025"/>
            <wp:effectExtent l="0" t="0" r="0" b="13335"/>
            <wp:docPr id="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6"/>
                    <pic:cNvPicPr>
                      <a:picLocks noChangeAspect="true"/>
                    </pic:cNvPicPr>
                  </pic:nvPicPr>
                  <pic:blipFill>
                    <a:blip r:embed="rId247"/>
                    <a:stretch>
                      <a:fillRect/>
                    </a:stretch>
                  </pic:blipFill>
                  <pic:spPr>
                    <a:xfrm>
                      <a:off x="0" y="0"/>
                      <a:ext cx="228600" cy="200025"/>
                    </a:xfrm>
                    <a:prstGeom prst="rect">
                      <a:avLst/>
                    </a:prstGeom>
                    <a:noFill/>
                    <a:ln>
                      <a:noFill/>
                    </a:ln>
                  </pic:spPr>
                </pic:pic>
              </a:graphicData>
            </a:graphic>
          </wp:inline>
        </w:drawing>
      </w:r>
      <w:r>
        <w:rPr>
          <w:rFonts w:hint="eastAsia" w:ascii="Times New Roman" w:hAnsi="Times New Roman"/>
        </w:rPr>
        <w:t>、</w:t>
      </w:r>
      <w:r>
        <w:rPr>
          <w:rFonts w:ascii="Times New Roman" w:hAnsi="Times New Roman"/>
          <w:position w:val="-14"/>
        </w:rPr>
        <w:drawing>
          <wp:inline distT="0" distB="0" distL="114300" distR="114300">
            <wp:extent cx="238125" cy="228600"/>
            <wp:effectExtent l="0" t="0" r="0" b="0"/>
            <wp:docPr id="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true"/>
                    </pic:cNvPicPr>
                  </pic:nvPicPr>
                  <pic:blipFill>
                    <a:blip r:embed="rId249"/>
                    <a:stretch>
                      <a:fillRect/>
                    </a:stretch>
                  </pic:blipFill>
                  <pic:spPr>
                    <a:xfrm>
                      <a:off x="0" y="0"/>
                      <a:ext cx="238125" cy="228600"/>
                    </a:xfrm>
                    <a:prstGeom prst="rect">
                      <a:avLst/>
                    </a:prstGeom>
                    <a:noFill/>
                    <a:ln>
                      <a:noFill/>
                    </a:ln>
                  </pic:spPr>
                </pic:pic>
              </a:graphicData>
            </a:graphic>
          </wp:inline>
        </w:drawing>
      </w:r>
      <w:r>
        <w:rPr>
          <w:rFonts w:hint="eastAsia" w:ascii="Times New Roman" w:hAnsi="Times New Roman"/>
        </w:rPr>
        <w:t xml:space="preserve">作用点至挡土构件底端的距离 </w:t>
      </w:r>
      <w:r>
        <w:rPr>
          <w:rFonts w:hint="eastAsia" w:ascii="Times New Roman" w:hAnsi="Times New Roman"/>
          <w:szCs w:val="24"/>
        </w:rPr>
        <w:t>(m)</w:t>
      </w:r>
      <w:r>
        <w:rPr>
          <w:rFonts w:hint="eastAsia" w:ascii="Times New Roman" w:hAnsi="Times New Roman"/>
        </w:rPr>
        <w:t>。</w:t>
      </w:r>
    </w:p>
    <w:p>
      <w:pPr>
        <w:widowControl w:val="0"/>
        <w:jc w:val="center"/>
        <w:rPr>
          <w:color w:val="FF0000"/>
        </w:rPr>
      </w:pPr>
      <w:r>
        <w:rPr>
          <w:color w:val="FF0000"/>
        </w:rPr>
        <w:drawing>
          <wp:inline distT="0" distB="0" distL="114300" distR="114300">
            <wp:extent cx="2658110" cy="2202180"/>
            <wp:effectExtent l="0" t="0" r="8890" b="7620"/>
            <wp:docPr id="23"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8"/>
                    <pic:cNvPicPr>
                      <a:picLocks noChangeAspect="true"/>
                    </pic:cNvPicPr>
                  </pic:nvPicPr>
                  <pic:blipFill>
                    <a:blip r:embed="rId255"/>
                    <a:srcRect l="33583" t="19350" r="30821" b="33310"/>
                    <a:stretch>
                      <a:fillRect/>
                    </a:stretch>
                  </pic:blipFill>
                  <pic:spPr>
                    <a:xfrm>
                      <a:off x="0" y="0"/>
                      <a:ext cx="2658110" cy="2202180"/>
                    </a:xfrm>
                    <a:prstGeom prst="rect">
                      <a:avLst/>
                    </a:prstGeom>
                    <a:noFill/>
                    <a:ln>
                      <a:noFill/>
                    </a:ln>
                  </pic:spPr>
                </pic:pic>
              </a:graphicData>
            </a:graphic>
          </wp:inline>
        </w:drawing>
      </w:r>
    </w:p>
    <w:p>
      <w:pPr>
        <w:widowControl w:val="0"/>
        <w:jc w:val="center"/>
        <w:rPr>
          <w:rFonts w:ascii="Times New Roman" w:hAnsi="Times New Roman"/>
          <w:sz w:val="21"/>
          <w:szCs w:val="21"/>
        </w:rPr>
      </w:pPr>
      <w:r>
        <w:rPr>
          <w:rFonts w:hint="eastAsia" w:ascii="Times New Roman" w:hAnsi="Times New Roman"/>
          <w:sz w:val="21"/>
          <w:szCs w:val="21"/>
        </w:rPr>
        <w:t>图6.3.1</w:t>
      </w:r>
      <w:r>
        <w:rPr>
          <w:rFonts w:ascii="Times New Roman" w:hAnsi="Times New Roman"/>
          <w:sz w:val="21"/>
          <w:szCs w:val="21"/>
        </w:rPr>
        <w:t xml:space="preserve">  </w:t>
      </w:r>
      <w:r>
        <w:rPr>
          <w:rFonts w:hint="eastAsia" w:ascii="Times New Roman" w:hAnsi="Times New Roman"/>
          <w:sz w:val="21"/>
          <w:szCs w:val="21"/>
        </w:rPr>
        <w:t>悬臂式排桩结构嵌固深度计算简图</w:t>
      </w:r>
    </w:p>
    <w:p>
      <w:pPr>
        <w:widowControl w:val="0"/>
        <w:rPr>
          <w:rFonts w:ascii="Times New Roman" w:hAnsi="Times New Roman"/>
        </w:rPr>
      </w:pPr>
      <w:r>
        <w:rPr>
          <w:rFonts w:hint="eastAsia" w:ascii="Times New Roman" w:hAnsi="Times New Roman"/>
          <w:b/>
          <w:szCs w:val="28"/>
        </w:rPr>
        <w:t>6.3.2</w:t>
      </w:r>
      <w:r>
        <w:rPr>
          <w:rFonts w:ascii="Times New Roman" w:hAnsi="Times New Roman"/>
          <w:szCs w:val="28"/>
        </w:rPr>
        <w:t xml:space="preserve"> </w:t>
      </w:r>
      <w:r>
        <w:rPr>
          <w:rFonts w:hint="eastAsia" w:ascii="Times New Roman" w:hAnsi="Times New Roman"/>
          <w:szCs w:val="28"/>
        </w:rPr>
        <w:t>单</w:t>
      </w:r>
      <w:r>
        <w:rPr>
          <w:rFonts w:hint="eastAsia" w:ascii="Times New Roman" w:hAnsi="Times New Roman"/>
        </w:rPr>
        <w:t>层锚杆和单层支撑的支挡</w:t>
      </w:r>
      <w:r>
        <w:rPr>
          <w:rFonts w:hint="eastAsia" w:ascii="Times New Roman" w:hAnsi="Times New Roman"/>
          <w:color w:val="auto"/>
        </w:rPr>
        <w:t>式结构的</w:t>
      </w:r>
      <w:r>
        <w:rPr>
          <w:rFonts w:hint="eastAsia" w:ascii="Times New Roman" w:hAnsi="Times New Roman"/>
          <w:color w:val="auto"/>
          <w:lang w:val="en-US" w:eastAsia="zh-CN"/>
        </w:rPr>
        <w:t>嵌固</w:t>
      </w:r>
      <w:r>
        <w:rPr>
          <w:rFonts w:hint="eastAsia" w:ascii="Times New Roman" w:hAnsi="Times New Roman"/>
          <w:color w:val="auto"/>
        </w:rPr>
        <w:t>深度</w:t>
      </w:r>
      <w:r>
        <w:rPr>
          <w:rFonts w:ascii="Times New Roman" w:hAnsi="Times New Roman"/>
          <w:color w:val="auto"/>
          <w:position w:val="-12"/>
        </w:rPr>
        <w:drawing>
          <wp:inline distT="0" distB="0" distL="114300" distR="114300">
            <wp:extent cx="180975" cy="228600"/>
            <wp:effectExtent l="0" t="0" r="1905" b="0"/>
            <wp:docPr id="2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59"/>
                    <pic:cNvPicPr>
                      <a:picLocks noChangeAspect="true"/>
                    </pic:cNvPicPr>
                  </pic:nvPicPr>
                  <pic:blipFill>
                    <a:blip r:embed="rId243"/>
                    <a:stretch>
                      <a:fillRect/>
                    </a:stretch>
                  </pic:blipFill>
                  <pic:spPr>
                    <a:xfrm>
                      <a:off x="0" y="0"/>
                      <a:ext cx="180975" cy="228600"/>
                    </a:xfrm>
                    <a:prstGeom prst="rect">
                      <a:avLst/>
                    </a:prstGeom>
                    <a:noFill/>
                    <a:ln>
                      <a:noFill/>
                    </a:ln>
                  </pic:spPr>
                </pic:pic>
              </a:graphicData>
            </a:graphic>
          </wp:inline>
        </w:drawing>
      </w:r>
      <w:r>
        <w:rPr>
          <w:rFonts w:hint="eastAsia" w:ascii="Times New Roman" w:hAnsi="Times New Roman"/>
          <w:color w:val="auto"/>
        </w:rPr>
        <w:t>应符合</w:t>
      </w:r>
      <w:r>
        <w:rPr>
          <w:rFonts w:hint="eastAsia" w:ascii="Times New Roman" w:hAnsi="Times New Roman"/>
          <w:color w:val="auto"/>
          <w:lang w:val="en-US" w:eastAsia="zh-CN"/>
        </w:rPr>
        <w:t>式（6.3.2）</w:t>
      </w:r>
      <w:r>
        <w:rPr>
          <w:rFonts w:hint="eastAsia" w:ascii="Times New Roman" w:hAnsi="Times New Roman"/>
          <w:color w:val="auto"/>
        </w:rPr>
        <w:t>要</w:t>
      </w:r>
      <w:r>
        <w:rPr>
          <w:rFonts w:hint="eastAsia" w:ascii="Times New Roman" w:hAnsi="Times New Roman"/>
        </w:rPr>
        <w:t>求（图6.3.2）：</w:t>
      </w:r>
    </w:p>
    <w:p>
      <w:pPr>
        <w:widowControl w:val="0"/>
        <w:jc w:val="center"/>
        <w:rPr>
          <w:rFonts w:ascii="Times New Roman" w:hAnsi="Times New Roman"/>
        </w:rPr>
      </w:pPr>
      <w:r>
        <w:rPr>
          <w:rFonts w:ascii="Times New Roman" w:hAnsi="Times New Roman"/>
        </w:rPr>
        <w:drawing>
          <wp:inline distT="0" distB="0" distL="114300" distR="114300">
            <wp:extent cx="2621280" cy="2270760"/>
            <wp:effectExtent l="0" t="0" r="0" b="0"/>
            <wp:docPr id="16"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60"/>
                    <pic:cNvPicPr>
                      <a:picLocks noChangeAspect="true"/>
                    </pic:cNvPicPr>
                  </pic:nvPicPr>
                  <pic:blipFill>
                    <a:blip r:embed="rId256"/>
                    <a:srcRect l="23584" t="14200" r="33319" b="26224"/>
                    <a:stretch>
                      <a:fillRect/>
                    </a:stretch>
                  </pic:blipFill>
                  <pic:spPr>
                    <a:xfrm>
                      <a:off x="0" y="0"/>
                      <a:ext cx="2621280" cy="2270760"/>
                    </a:xfrm>
                    <a:prstGeom prst="rect">
                      <a:avLst/>
                    </a:prstGeom>
                    <a:noFill/>
                    <a:ln>
                      <a:noFill/>
                    </a:ln>
                  </pic:spPr>
                </pic:pic>
              </a:graphicData>
            </a:graphic>
          </wp:inline>
        </w:drawing>
      </w:r>
    </w:p>
    <w:p>
      <w:pPr>
        <w:widowControl w:val="0"/>
        <w:jc w:val="center"/>
        <w:rPr>
          <w:rFonts w:ascii="Times New Roman" w:hAnsi="Times New Roman"/>
          <w:sz w:val="21"/>
          <w:szCs w:val="21"/>
        </w:rPr>
      </w:pPr>
      <w:r>
        <w:rPr>
          <w:rFonts w:hint="eastAsia" w:ascii="Times New Roman" w:hAnsi="Times New Roman"/>
          <w:sz w:val="21"/>
          <w:szCs w:val="21"/>
        </w:rPr>
        <w:t>图6.3.2</w:t>
      </w:r>
      <w:r>
        <w:rPr>
          <w:rFonts w:ascii="Times New Roman" w:hAnsi="Times New Roman"/>
          <w:sz w:val="21"/>
          <w:szCs w:val="21"/>
        </w:rPr>
        <w:t xml:space="preserve">  </w:t>
      </w:r>
      <w:r>
        <w:rPr>
          <w:rFonts w:hint="eastAsia" w:ascii="Times New Roman" w:hAnsi="Times New Roman"/>
          <w:sz w:val="21"/>
          <w:szCs w:val="21"/>
        </w:rPr>
        <w:t>单层锚杆和单层支撑的支挡式</w:t>
      </w:r>
      <w:r>
        <w:rPr>
          <w:rFonts w:hint="eastAsia" w:ascii="Times New Roman" w:hAnsi="Times New Roman"/>
          <w:color w:val="auto"/>
          <w:sz w:val="21"/>
          <w:szCs w:val="21"/>
        </w:rPr>
        <w:t>结构</w:t>
      </w:r>
      <w:r>
        <w:rPr>
          <w:rFonts w:hint="eastAsia" w:ascii="Times New Roman" w:hAnsi="Times New Roman"/>
          <w:color w:val="auto"/>
          <w:sz w:val="21"/>
          <w:szCs w:val="21"/>
          <w:lang w:val="en-US" w:eastAsia="zh-CN"/>
        </w:rPr>
        <w:t>嵌固</w:t>
      </w:r>
      <w:r>
        <w:rPr>
          <w:rFonts w:hint="eastAsia" w:ascii="Times New Roman" w:hAnsi="Times New Roman"/>
          <w:color w:val="auto"/>
          <w:sz w:val="21"/>
          <w:szCs w:val="21"/>
        </w:rPr>
        <w:t>深</w:t>
      </w:r>
      <w:r>
        <w:rPr>
          <w:rFonts w:hint="eastAsia" w:ascii="Times New Roman" w:hAnsi="Times New Roman"/>
          <w:sz w:val="21"/>
          <w:szCs w:val="21"/>
        </w:rPr>
        <w:t>度计算简图</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vAlign w:val="center"/>
          </w:tcPr>
          <w:p>
            <w:pPr>
              <w:widowControl w:val="0"/>
              <w:jc w:val="right"/>
              <w:rPr>
                <w:rFonts w:ascii="Times New Roman" w:hAnsi="Times New Roman"/>
                <w:position w:val="-60"/>
              </w:rPr>
            </w:pPr>
            <w:r>
              <w:rPr>
                <w:position w:val="-60"/>
              </w:rPr>
              <w:object>
                <v:shape id="_x0000_i1115" o:spt="75" type="#_x0000_t75" style="height:67.25pt;width:78.35pt;" o:ole="t" filled="f" coordsize="21600,21600">
                  <v:path/>
                  <v:fill on="f" focussize="0,0"/>
                  <v:stroke/>
                  <v:imagedata r:id="rId258" o:title=""/>
                  <o:lock v:ext="edit" aspectratio="t"/>
                  <w10:wrap type="none"/>
                  <w10:anchorlock/>
                </v:shape>
                <o:OLEObject Type="Embed" ProgID="Equation.3" ShapeID="_x0000_i1115" DrawAspect="Content" ObjectID="_1468075815" r:id="rId257">
                  <o:LockedField>false</o:LockedField>
                </o:OLEObject>
              </w:object>
            </w:r>
          </w:p>
        </w:tc>
        <w:tc>
          <w:tcPr>
            <w:tcW w:w="4927" w:type="dxa"/>
            <w:vAlign w:val="center"/>
          </w:tcPr>
          <w:p>
            <w:pPr>
              <w:widowControl w:val="0"/>
              <w:jc w:val="right"/>
              <w:rPr>
                <w:rFonts w:ascii="Times New Roman" w:hAnsi="Times New Roman"/>
                <w:position w:val="-60"/>
              </w:rPr>
            </w:pPr>
            <w:r>
              <w:rPr>
                <w:rFonts w:hint="eastAsia" w:ascii="Times New Roman" w:hAnsi="Times New Roman"/>
              </w:rPr>
              <w:t>（6.3.2）</w:t>
            </w:r>
          </w:p>
        </w:tc>
      </w:tr>
    </w:tbl>
    <w:p>
      <w:pPr>
        <w:widowControl w:val="0"/>
        <w:ind w:left="1680" w:right="480" w:hanging="1680" w:hangingChars="700"/>
        <w:rPr>
          <w:rFonts w:ascii="Times New Roman" w:hAnsi="Times New Roman"/>
          <w:szCs w:val="24"/>
        </w:rPr>
      </w:pPr>
      <w:r>
        <w:rPr>
          <w:rFonts w:hint="eastAsia" w:ascii="Times New Roman" w:hAnsi="Times New Roman"/>
        </w:rPr>
        <w:t>式中：</w:t>
      </w:r>
      <w:r>
        <w:rPr>
          <w:rFonts w:ascii="Times New Roman" w:hAnsi="Times New Roman"/>
        </w:rPr>
        <w:t xml:space="preserve">  </w:t>
      </w:r>
      <w:r>
        <w:rPr>
          <w:rFonts w:ascii="Times New Roman" w:hAnsi="Times New Roman"/>
          <w:position w:val="-12"/>
          <w:szCs w:val="24"/>
        </w:rPr>
        <w:drawing>
          <wp:inline distT="0" distB="0" distL="114300" distR="114300">
            <wp:extent cx="200025" cy="228600"/>
            <wp:effectExtent l="0" t="0" r="13335" b="0"/>
            <wp:docPr id="18"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2"/>
                    <pic:cNvPicPr>
                      <a:picLocks noChangeAspect="true"/>
                    </pic:cNvPicPr>
                  </pic:nvPicPr>
                  <pic:blipFill>
                    <a:blip r:embed="rId246"/>
                    <a:stretch>
                      <a:fillRect/>
                    </a:stretch>
                  </pic:blipFill>
                  <pic:spPr>
                    <a:xfrm>
                      <a:off x="0" y="0"/>
                      <a:ext cx="200025" cy="228600"/>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 xml:space="preserve"> 嵌固稳定安全系数；基坑工程安全等级为一级、二级、三级的锚拉式支挡结构和支撑式支挡结构，</w:t>
      </w:r>
      <w:r>
        <w:rPr>
          <w:rFonts w:ascii="Times New Roman" w:hAnsi="Times New Roman"/>
          <w:position w:val="-12"/>
          <w:szCs w:val="24"/>
        </w:rPr>
        <w:drawing>
          <wp:inline distT="0" distB="0" distL="114300" distR="114300">
            <wp:extent cx="200025" cy="228600"/>
            <wp:effectExtent l="0" t="0" r="13335" b="0"/>
            <wp:docPr id="21"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63"/>
                    <pic:cNvPicPr>
                      <a:picLocks noChangeAspect="true"/>
                    </pic:cNvPicPr>
                  </pic:nvPicPr>
                  <pic:blipFill>
                    <a:blip r:embed="rId246"/>
                    <a:stretch>
                      <a:fillRect/>
                    </a:stretch>
                  </pic:blipFill>
                  <pic:spPr>
                    <a:xfrm>
                      <a:off x="0" y="0"/>
                      <a:ext cx="200025" cy="228600"/>
                    </a:xfrm>
                    <a:prstGeom prst="rect">
                      <a:avLst/>
                    </a:prstGeom>
                    <a:noFill/>
                    <a:ln>
                      <a:noFill/>
                    </a:ln>
                  </pic:spPr>
                </pic:pic>
              </a:graphicData>
            </a:graphic>
          </wp:inline>
        </w:drawing>
      </w:r>
      <w:r>
        <w:rPr>
          <w:rFonts w:hint="eastAsia" w:ascii="Times New Roman" w:hAnsi="Times New Roman"/>
          <w:szCs w:val="24"/>
        </w:rPr>
        <w:t>分别不应小于1.25、1.2、1.15；</w:t>
      </w:r>
    </w:p>
    <w:p>
      <w:pPr>
        <w:widowControl w:val="0"/>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position w:val="-10"/>
        </w:rPr>
        <w:drawing>
          <wp:inline distT="0" distB="0" distL="114300" distR="114300">
            <wp:extent cx="228600" cy="200025"/>
            <wp:effectExtent l="0" t="0" r="0" b="13335"/>
            <wp:docPr id="30"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64"/>
                    <pic:cNvPicPr>
                      <a:picLocks noChangeAspect="true"/>
                    </pic:cNvPicPr>
                  </pic:nvPicPr>
                  <pic:blipFill>
                    <a:blip r:embed="rId247"/>
                    <a:stretch>
                      <a:fillRect/>
                    </a:stretch>
                  </pic:blipFill>
                  <pic:spPr>
                    <a:xfrm>
                      <a:off x="0" y="0"/>
                      <a:ext cx="228600"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 xml:space="preserve"> </w:t>
      </w:r>
      <w:r>
        <w:rPr>
          <w:rFonts w:hint="eastAsia" w:ascii="Times New Roman" w:hAnsi="Times New Roman"/>
        </w:rPr>
        <w:t>基坑外侧第</w:t>
      </w:r>
      <w:r>
        <w:rPr>
          <w:rFonts w:ascii="Times New Roman" w:hAnsi="Times New Roman"/>
          <w:position w:val="-4"/>
        </w:rPr>
        <w:drawing>
          <wp:inline distT="0" distB="0" distL="114300" distR="114300">
            <wp:extent cx="85725" cy="152400"/>
            <wp:effectExtent l="0" t="0" r="5715" b="0"/>
            <wp:docPr id="22"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65"/>
                    <pic:cNvPicPr>
                      <a:picLocks noChangeAspect="true"/>
                    </pic:cNvPicPr>
                  </pic:nvPicPr>
                  <pic:blipFill>
                    <a:blip r:embed="rId248"/>
                    <a:stretch>
                      <a:fillRect/>
                    </a:stretch>
                  </pic:blipFill>
                  <pic:spPr>
                    <a:xfrm>
                      <a:off x="0" y="0"/>
                      <a:ext cx="85725" cy="152400"/>
                    </a:xfrm>
                    <a:prstGeom prst="rect">
                      <a:avLst/>
                    </a:prstGeom>
                    <a:noFill/>
                    <a:ln>
                      <a:noFill/>
                    </a:ln>
                  </pic:spPr>
                </pic:pic>
              </a:graphicData>
            </a:graphic>
          </wp:inline>
        </w:drawing>
      </w:r>
      <w:r>
        <w:rPr>
          <w:rFonts w:hint="eastAsia" w:ascii="Times New Roman" w:hAnsi="Times New Roman"/>
        </w:rPr>
        <w:t xml:space="preserve">层土主动土压力合力标准值 </w:t>
      </w:r>
      <w:r>
        <w:rPr>
          <w:rFonts w:hint="eastAsia" w:ascii="Times New Roman" w:hAnsi="Times New Roman"/>
          <w:szCs w:val="24"/>
        </w:rPr>
        <w:t>(kN)</w:t>
      </w:r>
      <w:r>
        <w:rPr>
          <w:rFonts w:hint="eastAsia" w:ascii="Times New Roman" w:hAnsi="Times New Roman"/>
        </w:rPr>
        <w:t>；</w:t>
      </w:r>
    </w:p>
    <w:p>
      <w:pPr>
        <w:widowControl w:val="0"/>
        <w:ind w:firstLine="840" w:firstLineChars="350"/>
        <w:rPr>
          <w:rFonts w:ascii="Times New Roman" w:hAnsi="Times New Roman"/>
        </w:rPr>
      </w:pPr>
      <w:r>
        <w:rPr>
          <w:rFonts w:ascii="Times New Roman" w:hAnsi="Times New Roman"/>
          <w:position w:val="-14"/>
        </w:rPr>
        <w:drawing>
          <wp:inline distT="0" distB="0" distL="114300" distR="114300">
            <wp:extent cx="238125" cy="228600"/>
            <wp:effectExtent l="0" t="0" r="0" b="0"/>
            <wp:docPr id="28"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66"/>
                    <pic:cNvPicPr>
                      <a:picLocks noChangeAspect="true"/>
                    </pic:cNvPicPr>
                  </pic:nvPicPr>
                  <pic:blipFill>
                    <a:blip r:embed="rId249"/>
                    <a:stretch>
                      <a:fillRect/>
                    </a:stretch>
                  </pic:blipFill>
                  <pic:spPr>
                    <a:xfrm>
                      <a:off x="0" y="0"/>
                      <a:ext cx="238125" cy="228600"/>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 xml:space="preserve"> </w:t>
      </w:r>
      <w:r>
        <w:rPr>
          <w:rFonts w:hint="eastAsia" w:ascii="Times New Roman" w:hAnsi="Times New Roman"/>
        </w:rPr>
        <w:t>基坑内侧第</w:t>
      </w:r>
      <w:r>
        <w:rPr>
          <w:rFonts w:ascii="Times New Roman" w:hAnsi="Times New Roman"/>
          <w:position w:val="-10"/>
        </w:rPr>
        <w:drawing>
          <wp:inline distT="0" distB="0" distL="114300" distR="114300">
            <wp:extent cx="123825" cy="190500"/>
            <wp:effectExtent l="0" t="0" r="13335" b="6350"/>
            <wp:docPr id="26"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67"/>
                    <pic:cNvPicPr>
                      <a:picLocks noChangeAspect="true"/>
                    </pic:cNvPicPr>
                  </pic:nvPicPr>
                  <pic:blipFill>
                    <a:blip r:embed="rId250"/>
                    <a:stretch>
                      <a:fillRect/>
                    </a:stretch>
                  </pic:blipFill>
                  <pic:spPr>
                    <a:xfrm>
                      <a:off x="0" y="0"/>
                      <a:ext cx="123825" cy="190500"/>
                    </a:xfrm>
                    <a:prstGeom prst="rect">
                      <a:avLst/>
                    </a:prstGeom>
                    <a:noFill/>
                    <a:ln>
                      <a:noFill/>
                    </a:ln>
                  </pic:spPr>
                </pic:pic>
              </a:graphicData>
            </a:graphic>
          </wp:inline>
        </w:drawing>
      </w:r>
      <w:r>
        <w:rPr>
          <w:rFonts w:hint="eastAsia" w:ascii="Times New Roman" w:hAnsi="Times New Roman"/>
        </w:rPr>
        <w:t xml:space="preserve">层土被动土压力合力标准值 </w:t>
      </w:r>
      <w:r>
        <w:rPr>
          <w:rFonts w:hint="eastAsia" w:ascii="Times New Roman" w:hAnsi="Times New Roman"/>
          <w:szCs w:val="24"/>
        </w:rPr>
        <w:t>(kN)</w:t>
      </w:r>
      <w:r>
        <w:rPr>
          <w:rFonts w:hint="eastAsia" w:ascii="Times New Roman" w:hAnsi="Times New Roman"/>
        </w:rPr>
        <w:t>；</w:t>
      </w:r>
    </w:p>
    <w:p>
      <w:pPr>
        <w:widowControl w:val="0"/>
        <w:rPr>
          <w:rFonts w:ascii="Times New Roman" w:hAnsi="Times New Roman"/>
        </w:rPr>
      </w:pPr>
      <w:r>
        <w:rPr>
          <w:rFonts w:ascii="Times New Roman" w:hAnsi="Times New Roman"/>
        </w:rPr>
        <w:t xml:space="preserve">  </w:t>
      </w:r>
      <w:r>
        <w:rPr>
          <w:rFonts w:ascii="Times New Roman" w:hAnsi="Times New Roman"/>
          <w:position w:val="-12"/>
        </w:rPr>
        <w:object>
          <v:shape id="_x0000_i1116" o:spt="75" type="#_x0000_t75" style="height:18.2pt;width:19.8pt;" o:ole="t" filled="f" coordsize="21600,21600">
            <v:path/>
            <v:fill on="f" focussize="0,0"/>
            <v:stroke/>
            <v:imagedata r:id="rId260" o:title=""/>
            <o:lock v:ext="edit" aspectratio="t"/>
            <w10:wrap type="none"/>
            <w10:anchorlock/>
          </v:shape>
          <o:OLEObject Type="Embed" ProgID="Equation.3" ShapeID="_x0000_i1116" DrawAspect="Content" ObjectID="_1468075816" r:id="rId259">
            <o:LockedField>false</o:LockedField>
          </o:OLEObject>
        </w:object>
      </w:r>
      <w:r>
        <w:rPr>
          <w:rFonts w:hint="eastAsia" w:ascii="Times New Roman" w:hAnsi="Times New Roman"/>
        </w:rPr>
        <w:t>、</w:t>
      </w:r>
      <w:r>
        <w:rPr>
          <w:rFonts w:ascii="Times New Roman" w:hAnsi="Times New Roman"/>
          <w:position w:val="-14"/>
        </w:rPr>
        <w:object>
          <v:shape id="_x0000_i1117" o:spt="75" type="#_x0000_t75" style="height:19pt;width:21.35pt;" o:ole="t" filled="f" coordsize="21600,21600">
            <v:path/>
            <v:fill on="f" focussize="0,0"/>
            <v:stroke/>
            <v:imagedata r:id="rId262" o:title=""/>
            <o:lock v:ext="edit" aspectratio="t"/>
            <w10:wrap type="none"/>
            <w10:anchorlock/>
          </v:shape>
          <o:OLEObject Type="Embed" ProgID="Equation.3" ShapeID="_x0000_i1117" DrawAspect="Content" ObjectID="_1468075817" r:id="rId261">
            <o:LockedField>false</o:LockedField>
          </o:OLEObject>
        </w:object>
      </w:r>
      <w:r>
        <w:rPr>
          <w:rFonts w:ascii="Times New Roman" w:hAnsi="Times New Roman"/>
          <w:szCs w:val="24"/>
        </w:rPr>
        <w:t>——</w:t>
      </w:r>
      <w:r>
        <w:rPr>
          <w:rFonts w:hint="eastAsia" w:ascii="Times New Roman" w:hAnsi="Times New Roman"/>
          <w:szCs w:val="24"/>
        </w:rPr>
        <w:t xml:space="preserve"> </w:t>
      </w:r>
      <w:r>
        <w:rPr>
          <w:rFonts w:hint="eastAsia" w:ascii="Times New Roman" w:hAnsi="Times New Roman"/>
        </w:rPr>
        <w:t>分别为</w:t>
      </w:r>
      <w:r>
        <w:rPr>
          <w:rFonts w:ascii="Times New Roman" w:hAnsi="Times New Roman"/>
          <w:position w:val="-10"/>
        </w:rPr>
        <w:drawing>
          <wp:inline distT="0" distB="0" distL="114300" distR="114300">
            <wp:extent cx="228600" cy="200025"/>
            <wp:effectExtent l="0" t="0" r="0" b="13335"/>
            <wp:docPr id="29"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true"/>
                    </pic:cNvPicPr>
                  </pic:nvPicPr>
                  <pic:blipFill>
                    <a:blip r:embed="rId247"/>
                    <a:stretch>
                      <a:fillRect/>
                    </a:stretch>
                  </pic:blipFill>
                  <pic:spPr>
                    <a:xfrm>
                      <a:off x="0" y="0"/>
                      <a:ext cx="228600" cy="200025"/>
                    </a:xfrm>
                    <a:prstGeom prst="rect">
                      <a:avLst/>
                    </a:prstGeom>
                    <a:noFill/>
                    <a:ln>
                      <a:noFill/>
                    </a:ln>
                  </pic:spPr>
                </pic:pic>
              </a:graphicData>
            </a:graphic>
          </wp:inline>
        </w:drawing>
      </w:r>
      <w:r>
        <w:rPr>
          <w:rFonts w:hint="eastAsia" w:ascii="Times New Roman" w:hAnsi="Times New Roman"/>
        </w:rPr>
        <w:t>、</w:t>
      </w:r>
      <w:r>
        <w:rPr>
          <w:rFonts w:ascii="Times New Roman" w:hAnsi="Times New Roman"/>
          <w:position w:val="-14"/>
        </w:rPr>
        <w:drawing>
          <wp:inline distT="0" distB="0" distL="114300" distR="114300">
            <wp:extent cx="238125" cy="228600"/>
            <wp:effectExtent l="0" t="0" r="0" b="0"/>
            <wp:docPr id="19" name="图片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1"/>
                    <pic:cNvPicPr>
                      <a:picLocks noChangeAspect="true"/>
                    </pic:cNvPicPr>
                  </pic:nvPicPr>
                  <pic:blipFill>
                    <a:blip r:embed="rId249"/>
                    <a:stretch>
                      <a:fillRect/>
                    </a:stretch>
                  </pic:blipFill>
                  <pic:spPr>
                    <a:xfrm>
                      <a:off x="0" y="0"/>
                      <a:ext cx="238125" cy="228600"/>
                    </a:xfrm>
                    <a:prstGeom prst="rect">
                      <a:avLst/>
                    </a:prstGeom>
                    <a:noFill/>
                    <a:ln>
                      <a:noFill/>
                    </a:ln>
                  </pic:spPr>
                </pic:pic>
              </a:graphicData>
            </a:graphic>
          </wp:inline>
        </w:drawing>
      </w:r>
      <w:r>
        <w:rPr>
          <w:rFonts w:hint="eastAsia" w:ascii="Times New Roman" w:hAnsi="Times New Roman"/>
        </w:rPr>
        <w:t xml:space="preserve">作用点至支点的距离 </w:t>
      </w:r>
      <w:r>
        <w:rPr>
          <w:rFonts w:hint="eastAsia" w:ascii="Times New Roman" w:hAnsi="Times New Roman"/>
          <w:szCs w:val="24"/>
        </w:rPr>
        <w:t>(m)</w:t>
      </w:r>
      <w:r>
        <w:rPr>
          <w:rFonts w:hint="eastAsia" w:ascii="Times New Roman" w:hAnsi="Times New Roman"/>
        </w:rPr>
        <w:t>。</w:t>
      </w:r>
    </w:p>
    <w:p>
      <w:pPr>
        <w:widowControl w:val="0"/>
        <w:spacing w:line="480" w:lineRule="exact"/>
        <w:rPr>
          <w:rFonts w:ascii="Times New Roman" w:hAnsi="Times New Roman"/>
        </w:rPr>
      </w:pPr>
      <w:r>
        <w:rPr>
          <w:rFonts w:hint="eastAsia" w:ascii="Times New Roman" w:hAnsi="Times New Roman"/>
          <w:b/>
          <w:szCs w:val="28"/>
        </w:rPr>
        <w:t>6.3.3</w:t>
      </w:r>
      <w:r>
        <w:rPr>
          <w:rFonts w:hint="eastAsia" w:ascii="Times New Roman" w:hAnsi="Times New Roman"/>
          <w:b/>
          <w:color w:val="auto"/>
          <w:szCs w:val="28"/>
        </w:rPr>
        <w:t xml:space="preserve"> </w:t>
      </w:r>
      <w:r>
        <w:rPr>
          <w:rFonts w:hint="eastAsia" w:ascii="Times New Roman" w:hAnsi="Times New Roman"/>
          <w:bCs/>
          <w:color w:val="auto"/>
          <w:szCs w:val="28"/>
        </w:rPr>
        <w:t>在满足支护结构变形与稳定性的前提下，</w:t>
      </w:r>
      <w:r>
        <w:rPr>
          <w:rFonts w:hint="eastAsia" w:ascii="Times New Roman" w:hAnsi="Times New Roman"/>
          <w:color w:val="auto"/>
          <w:szCs w:val="28"/>
        </w:rPr>
        <w:t>支挡结构的</w:t>
      </w:r>
      <w:r>
        <w:rPr>
          <w:rFonts w:hint="eastAsia" w:ascii="Times New Roman" w:hAnsi="Times New Roman"/>
          <w:color w:val="auto"/>
          <w:szCs w:val="28"/>
          <w:lang w:val="en-US" w:eastAsia="zh-CN"/>
        </w:rPr>
        <w:t>嵌固</w:t>
      </w:r>
      <w:r>
        <w:rPr>
          <w:rFonts w:hint="eastAsia" w:ascii="Times New Roman" w:hAnsi="Times New Roman"/>
          <w:color w:val="auto"/>
          <w:szCs w:val="28"/>
        </w:rPr>
        <w:t>构造深度，对悬臂式结构不宜小于1.2</w:t>
      </w:r>
      <w:r>
        <w:rPr>
          <w:rFonts w:ascii="Times New Roman" w:hAnsi="Times New Roman"/>
          <w:color w:val="auto"/>
          <w:position w:val="-6"/>
          <w:szCs w:val="28"/>
        </w:rPr>
        <w:drawing>
          <wp:inline distT="0" distB="0" distL="114300" distR="114300">
            <wp:extent cx="123825" cy="180975"/>
            <wp:effectExtent l="0" t="0" r="13335" b="0"/>
            <wp:docPr id="13"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2"/>
                    <pic:cNvPicPr>
                      <a:picLocks noChangeAspect="true"/>
                    </pic:cNvPicPr>
                  </pic:nvPicPr>
                  <pic:blipFill>
                    <a:blip r:embed="rId263"/>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color w:val="auto"/>
          <w:szCs w:val="28"/>
        </w:rPr>
        <w:t>（</w:t>
      </w:r>
      <w:r>
        <w:rPr>
          <w:rFonts w:ascii="Times New Roman" w:hAnsi="Times New Roman"/>
          <w:color w:val="auto"/>
          <w:position w:val="-6"/>
          <w:szCs w:val="28"/>
        </w:rPr>
        <w:drawing>
          <wp:inline distT="0" distB="0" distL="114300" distR="114300">
            <wp:extent cx="123825" cy="180975"/>
            <wp:effectExtent l="0" t="0" r="13335" b="0"/>
            <wp:docPr id="14"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3"/>
                    <pic:cNvPicPr>
                      <a:picLocks noChangeAspect="true"/>
                    </pic:cNvPicPr>
                  </pic:nvPicPr>
                  <pic:blipFill>
                    <a:blip r:embed="rId264"/>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color w:val="auto"/>
          <w:szCs w:val="28"/>
        </w:rPr>
        <w:t>为基坑深度）；对单支点支挡式结构不宜小于0.8</w:t>
      </w:r>
      <w:r>
        <w:rPr>
          <w:rFonts w:ascii="Times New Roman" w:hAnsi="Times New Roman"/>
          <w:color w:val="auto"/>
          <w:position w:val="-6"/>
          <w:szCs w:val="28"/>
        </w:rPr>
        <w:drawing>
          <wp:inline distT="0" distB="0" distL="114300" distR="114300">
            <wp:extent cx="123825" cy="180975"/>
            <wp:effectExtent l="0" t="0" r="13335" b="0"/>
            <wp:docPr id="12"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4"/>
                    <pic:cNvPicPr>
                      <a:picLocks noChangeAspect="true"/>
                    </pic:cNvPicPr>
                  </pic:nvPicPr>
                  <pic:blipFill>
                    <a:blip r:embed="rId264"/>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szCs w:val="28"/>
        </w:rPr>
        <w:t>；对多支点支挡式结构不宜小于0.5</w:t>
      </w:r>
      <w:r>
        <w:rPr>
          <w:rFonts w:ascii="Times New Roman" w:hAnsi="Times New Roman"/>
          <w:position w:val="-6"/>
          <w:szCs w:val="28"/>
        </w:rPr>
        <w:drawing>
          <wp:inline distT="0" distB="0" distL="114300" distR="114300">
            <wp:extent cx="123825" cy="180975"/>
            <wp:effectExtent l="0" t="0" r="13335" b="0"/>
            <wp:docPr id="9"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5"/>
                    <pic:cNvPicPr>
                      <a:picLocks noChangeAspect="true"/>
                    </pic:cNvPicPr>
                  </pic:nvPicPr>
                  <pic:blipFill>
                    <a:blip r:embed="rId264"/>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szCs w:val="28"/>
        </w:rPr>
        <w:t>。</w:t>
      </w:r>
      <w:r>
        <w:rPr>
          <w:rFonts w:ascii="Times New Roman" w:hAnsi="Times New Roman"/>
        </w:rPr>
        <w:t xml:space="preserve"> </w:t>
      </w:r>
    </w:p>
    <w:p>
      <w:pPr>
        <w:widowControl w:val="0"/>
        <w:rPr>
          <w:rFonts w:ascii="Times New Roman" w:hAnsi="Times New Roman"/>
        </w:rPr>
      </w:pPr>
    </w:p>
    <w:p>
      <w:pPr>
        <w:pStyle w:val="3"/>
        <w:bidi w:val="0"/>
      </w:pPr>
      <w:bookmarkStart w:id="312" w:name="_Toc1160"/>
      <w:bookmarkStart w:id="313" w:name="_Toc388643433"/>
      <w:bookmarkStart w:id="314" w:name="_Toc388643550"/>
      <w:bookmarkStart w:id="315" w:name="_Toc16281"/>
      <w:bookmarkStart w:id="316" w:name="_Toc6945"/>
      <w:r>
        <w:rPr>
          <w:rFonts w:hint="eastAsia"/>
        </w:rPr>
        <w:t>6.4  基坑抗隆起稳定性验算</w:t>
      </w:r>
      <w:bookmarkEnd w:id="312"/>
      <w:bookmarkEnd w:id="313"/>
      <w:bookmarkEnd w:id="314"/>
      <w:bookmarkEnd w:id="315"/>
      <w:bookmarkEnd w:id="316"/>
    </w:p>
    <w:p>
      <w:pPr>
        <w:keepNext w:val="0"/>
        <w:keepLines w:val="0"/>
        <w:pageBreakBefore w:val="0"/>
        <w:widowControl/>
        <w:kinsoku/>
        <w:wordWrap/>
        <w:overflowPunct/>
        <w:topLinePunct w:val="0"/>
        <w:autoSpaceDE/>
        <w:autoSpaceDN/>
        <w:bidi w:val="0"/>
        <w:adjustRightInd/>
        <w:snapToGrid/>
        <w:spacing w:line="480" w:lineRule="exact"/>
        <w:textAlignment w:val="auto"/>
        <w:rPr>
          <w:b w:val="0"/>
          <w:bCs w:val="0"/>
        </w:rPr>
      </w:pPr>
      <w:r>
        <w:rPr>
          <w:rFonts w:hint="eastAsia"/>
          <w:b/>
          <w:bCs/>
        </w:rPr>
        <w:t xml:space="preserve">6.4.1 </w:t>
      </w:r>
      <w:r>
        <w:rPr>
          <w:rFonts w:hint="eastAsia"/>
          <w:b w:val="0"/>
          <w:bCs w:val="0"/>
        </w:rPr>
        <w:t>悬壁式支挡结构可不进行隆起稳定性验算。</w:t>
      </w:r>
    </w:p>
    <w:p>
      <w:pPr>
        <w:keepNext w:val="0"/>
        <w:keepLines w:val="0"/>
        <w:pageBreakBefore w:val="0"/>
        <w:widowControl/>
        <w:kinsoku/>
        <w:wordWrap/>
        <w:overflowPunct/>
        <w:topLinePunct w:val="0"/>
        <w:autoSpaceDE/>
        <w:autoSpaceDN/>
        <w:bidi w:val="0"/>
        <w:adjustRightInd/>
        <w:snapToGrid/>
        <w:spacing w:line="480" w:lineRule="exact"/>
        <w:textAlignment w:val="auto"/>
        <w:rPr>
          <w:b w:val="0"/>
          <w:bCs w:val="0"/>
        </w:rPr>
      </w:pPr>
      <w:r>
        <w:rPr>
          <w:rFonts w:hint="eastAsia"/>
          <w:b/>
          <w:bCs/>
        </w:rPr>
        <w:t xml:space="preserve">6.4.2 </w:t>
      </w:r>
      <w:r>
        <w:rPr>
          <w:rFonts w:hint="eastAsia"/>
          <w:b w:val="0"/>
          <w:bCs w:val="0"/>
        </w:rPr>
        <w:t>锚拉式支挡结构和支撑式支挡</w:t>
      </w:r>
      <w:r>
        <w:rPr>
          <w:rFonts w:hint="eastAsia"/>
          <w:b w:val="0"/>
          <w:bCs w:val="0"/>
          <w:color w:val="auto"/>
        </w:rPr>
        <w:t>结构应按式</w:t>
      </w:r>
      <w:r>
        <w:rPr>
          <w:rFonts w:hint="eastAsia" w:eastAsia="宋体"/>
          <w:b w:val="0"/>
          <w:bCs w:val="0"/>
          <w:color w:val="auto"/>
          <w:lang w:eastAsia="zh-CN"/>
        </w:rPr>
        <w:t>（</w:t>
      </w:r>
      <w:r>
        <w:rPr>
          <w:rFonts w:hint="eastAsia"/>
          <w:b w:val="0"/>
          <w:bCs w:val="0"/>
          <w:color w:val="auto"/>
        </w:rPr>
        <w:t>6</w:t>
      </w:r>
      <w:r>
        <w:rPr>
          <w:b w:val="0"/>
          <w:bCs w:val="0"/>
          <w:color w:val="auto"/>
        </w:rPr>
        <w:t>.</w:t>
      </w:r>
      <w:r>
        <w:rPr>
          <w:rFonts w:hint="eastAsia"/>
          <w:b w:val="0"/>
          <w:bCs w:val="0"/>
          <w:color w:val="auto"/>
        </w:rPr>
        <w:t>4.2</w:t>
      </w:r>
      <w:r>
        <w:rPr>
          <w:rFonts w:hint="eastAsia" w:eastAsia="宋体"/>
          <w:b w:val="0"/>
          <w:bCs w:val="0"/>
          <w:color w:val="auto"/>
          <w:lang w:eastAsia="zh-CN"/>
        </w:rPr>
        <w:t>）</w:t>
      </w:r>
      <w:r>
        <w:rPr>
          <w:rFonts w:hint="eastAsia"/>
          <w:b w:val="0"/>
          <w:bCs w:val="0"/>
        </w:rPr>
        <w:t>进行坑底抗隆起稳定性验算（图6.4.2-1）。</w:t>
      </w:r>
    </w:p>
    <w:tbl>
      <w:tblPr>
        <w:tblStyle w:val="32"/>
        <w:tblW w:w="0" w:type="auto"/>
        <w:tblInd w:w="0" w:type="dxa"/>
        <w:tblLayout w:type="fixed"/>
        <w:tblCellMar>
          <w:top w:w="0" w:type="dxa"/>
          <w:left w:w="108" w:type="dxa"/>
          <w:bottom w:w="0" w:type="dxa"/>
          <w:right w:w="108" w:type="dxa"/>
        </w:tblCellMar>
      </w:tblPr>
      <w:tblGrid>
        <w:gridCol w:w="6487"/>
        <w:gridCol w:w="3367"/>
      </w:tblGrid>
      <w:tr>
        <w:tblPrEx>
          <w:tblCellMar>
            <w:top w:w="0" w:type="dxa"/>
            <w:left w:w="108" w:type="dxa"/>
            <w:bottom w:w="0" w:type="dxa"/>
            <w:right w:w="108" w:type="dxa"/>
          </w:tblCellMar>
        </w:tblPrEx>
        <w:tc>
          <w:tcPr>
            <w:tcW w:w="6487" w:type="dxa"/>
          </w:tcPr>
          <w:p>
            <w:pPr>
              <w:pStyle w:val="42"/>
              <w:widowControl w:val="0"/>
              <w:spacing w:line="360" w:lineRule="auto"/>
              <w:ind w:firstLine="0" w:firstLineChars="0"/>
              <w:jc w:val="right"/>
              <w:rPr>
                <w:rFonts w:ascii="Times New Roman" w:hAnsi="Times New Roman"/>
              </w:rPr>
            </w:pPr>
            <w:r>
              <w:drawing>
                <wp:anchor distT="0" distB="0" distL="114300" distR="114300" simplePos="0" relativeHeight="251671552" behindDoc="0" locked="0" layoutInCell="1" allowOverlap="1">
                  <wp:simplePos x="0" y="0"/>
                  <wp:positionH relativeFrom="column">
                    <wp:posOffset>1745615</wp:posOffset>
                  </wp:positionH>
                  <wp:positionV relativeFrom="paragraph">
                    <wp:posOffset>702945</wp:posOffset>
                  </wp:positionV>
                  <wp:extent cx="2287270" cy="1883410"/>
                  <wp:effectExtent l="0" t="0" r="13970" b="6350"/>
                  <wp:wrapSquare wrapText="bothSides"/>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265"/>
                          <a:srcRect l="22116" t="17999" r="36201" b="27213"/>
                          <a:stretch>
                            <a:fillRect/>
                          </a:stretch>
                        </pic:blipFill>
                        <pic:spPr>
                          <a:xfrm>
                            <a:off x="0" y="0"/>
                            <a:ext cx="2287270" cy="1883410"/>
                          </a:xfrm>
                          <a:prstGeom prst="rect">
                            <a:avLst/>
                          </a:prstGeom>
                          <a:noFill/>
                          <a:ln>
                            <a:noFill/>
                          </a:ln>
                        </pic:spPr>
                      </pic:pic>
                    </a:graphicData>
                  </a:graphic>
                </wp:anchor>
              </w:drawing>
            </w:r>
            <w:r>
              <w:rPr>
                <w:position w:val="-30"/>
              </w:rPr>
              <w:object>
                <v:shape id="_x0000_i1118" o:spt="75" type="#_x0000_t75" style="height:34.8pt;width:144.8pt;" o:ole="t" filled="f" coordsize="21600,21600">
                  <v:path/>
                  <v:fill on="f" focussize="0,0"/>
                  <v:stroke/>
                  <v:imagedata r:id="rId267" o:title=""/>
                  <o:lock v:ext="edit" aspectratio="t"/>
                  <w10:wrap type="none"/>
                  <w10:anchorlock/>
                </v:shape>
                <o:OLEObject Type="Embed" ProgID="Equation.3" ShapeID="_x0000_i1118" DrawAspect="Content" ObjectID="_1468075818" r:id="rId266">
                  <o:LockedField>false</o:LockedField>
                </o:OLEObject>
              </w:object>
            </w:r>
            <w:r>
              <w:rPr>
                <w:rFonts w:ascii="Times New Roman" w:hAnsi="Times New Roman"/>
                <w:position w:val="-32"/>
                <w:sz w:val="24"/>
                <w:szCs w:val="24"/>
              </w:rPr>
              <w:t xml:space="preserve"> </w:t>
            </w:r>
          </w:p>
        </w:tc>
        <w:tc>
          <w:tcPr>
            <w:tcW w:w="3367" w:type="dxa"/>
          </w:tcPr>
          <w:p>
            <w:pPr>
              <w:pStyle w:val="42"/>
              <w:widowControl w:val="0"/>
              <w:spacing w:line="720" w:lineRule="auto"/>
              <w:ind w:firstLine="0" w:firstLineChars="0"/>
              <w:jc w:val="right"/>
              <w:rPr>
                <w:rFonts w:ascii="Times New Roman" w:hAnsi="Times New Roman"/>
              </w:rPr>
            </w:pPr>
            <w:r>
              <w:rPr>
                <w:rFonts w:hint="eastAsia" w:ascii="Times New Roman" w:hAnsi="Times New Roman"/>
                <w:sz w:val="24"/>
                <w:szCs w:val="24"/>
              </w:rPr>
              <w:t>(6.4.2-1)</w:t>
            </w:r>
          </w:p>
        </w:tc>
      </w:tr>
    </w:tbl>
    <w:p>
      <w:pPr>
        <w:pStyle w:val="42"/>
        <w:widowControl w:val="0"/>
        <w:ind w:firstLine="630" w:firstLineChars="300"/>
        <w:jc w:val="center"/>
        <w:rPr>
          <w:rFonts w:ascii="Times New Roman" w:hAnsi="Times New Roman"/>
          <w:sz w:val="24"/>
          <w:szCs w:val="24"/>
        </w:rPr>
      </w:pPr>
      <w:r>
        <w:rPr>
          <w:rFonts w:hint="eastAsia" w:ascii="Times New Roman" w:hAnsi="Times New Roman"/>
          <w:szCs w:val="21"/>
        </w:rPr>
        <w:t>图6.4.2-1 基坑底抗隆起稳定性验算</w:t>
      </w:r>
    </w:p>
    <w:p>
      <w:pPr>
        <w:pStyle w:val="42"/>
        <w:widowControl w:val="0"/>
        <w:spacing w:line="480" w:lineRule="exact"/>
        <w:ind w:firstLine="0" w:firstLineChars="0"/>
        <w:rPr>
          <w:rFonts w:ascii="Times New Roman" w:hAnsi="Times New Roman"/>
          <w:sz w:val="24"/>
          <w:szCs w:val="24"/>
        </w:rPr>
      </w:pPr>
      <w:r>
        <w:rPr>
          <w:rFonts w:hint="eastAsia" w:ascii="Times New Roman" w:hAnsi="Times New Roman"/>
          <w:sz w:val="24"/>
          <w:szCs w:val="24"/>
        </w:rPr>
        <w:t xml:space="preserve">式中：   </w:t>
      </w:r>
      <w:r>
        <w:rPr>
          <w:rFonts w:ascii="Times New Roman" w:hAnsi="Times New Roman"/>
          <w:position w:val="-14"/>
          <w:sz w:val="24"/>
          <w:szCs w:val="24"/>
        </w:rPr>
        <w:object>
          <v:shape id="_x0000_i1119" o:spt="75" type="#_x0000_t75" style="height:19pt;width:18.2pt;" o:ole="t" filled="f" coordsize="21600,21600">
            <v:path/>
            <v:fill on="f" focussize="0,0"/>
            <v:stroke/>
            <v:imagedata r:id="rId269" o:title=""/>
            <o:lock v:ext="edit" aspectratio="t"/>
            <w10:wrap type="none"/>
            <w10:anchorlock/>
          </v:shape>
          <o:OLEObject Type="Embed" ProgID="Equation.3" ShapeID="_x0000_i1119" DrawAspect="Content" ObjectID="_1468075819" r:id="rId268">
            <o:LockedField>false</o:LockedField>
          </o:OLEObject>
        </w:object>
      </w:r>
      <w:r>
        <w:rPr>
          <w:rFonts w:ascii="Times New Roman" w:hAnsi="Times New Roman"/>
          <w:szCs w:val="24"/>
        </w:rPr>
        <w:t>——</w:t>
      </w:r>
      <w:r>
        <w:rPr>
          <w:rFonts w:hint="eastAsia" w:ascii="Times New Roman" w:hAnsi="Times New Roman"/>
          <w:sz w:val="24"/>
          <w:szCs w:val="24"/>
        </w:rPr>
        <w:t>坑底隆起安全系数</w:t>
      </w:r>
      <w:r>
        <w:rPr>
          <w:rFonts w:ascii="Times New Roman" w:hAnsi="Times New Roman"/>
          <w:sz w:val="24"/>
          <w:szCs w:val="24"/>
        </w:rPr>
        <w:t xml:space="preserve">, </w:t>
      </w:r>
      <w:r>
        <w:rPr>
          <w:rFonts w:hint="eastAsia" w:ascii="Times New Roman" w:hAnsi="Times New Roman"/>
          <w:sz w:val="24"/>
          <w:szCs w:val="24"/>
        </w:rPr>
        <w:t>基坑工程安全等级为一级、二级、三级的支挡结构，</w:t>
      </w:r>
      <w:r>
        <w:rPr>
          <w:rFonts w:ascii="Times New Roman" w:hAnsi="Times New Roman"/>
          <w:position w:val="-14"/>
          <w:sz w:val="24"/>
          <w:szCs w:val="24"/>
        </w:rPr>
        <w:object>
          <v:shape id="_x0000_i1120" o:spt="75" type="#_x0000_t75" style="height:19pt;width:18.2pt;" o:ole="t" filled="f" coordsize="21600,21600">
            <v:path/>
            <v:fill on="f" focussize="0,0"/>
            <v:stroke/>
            <v:imagedata r:id="rId271" o:title=""/>
            <o:lock v:ext="edit" aspectratio="t"/>
            <w10:wrap type="none"/>
            <w10:anchorlock/>
          </v:shape>
          <o:OLEObject Type="Embed" ProgID="Equation.3" ShapeID="_x0000_i1120" DrawAspect="Content" ObjectID="_1468075820" r:id="rId270">
            <o:LockedField>false</o:LockedField>
          </o:OLEObject>
        </w:object>
      </w:r>
      <w:r>
        <w:rPr>
          <w:rFonts w:hint="eastAsia" w:ascii="Times New Roman" w:hAnsi="Times New Roman"/>
          <w:sz w:val="24"/>
          <w:szCs w:val="24"/>
        </w:rPr>
        <w:t>分别不应小于1.8、1.6、1.4；</w:t>
      </w:r>
    </w:p>
    <w:p>
      <w:pPr>
        <w:pStyle w:val="42"/>
        <w:widowControl w:val="0"/>
        <w:spacing w:line="480" w:lineRule="exact"/>
        <w:ind w:firstLine="439" w:firstLineChars="183"/>
        <w:rPr>
          <w:rFonts w:ascii="Times New Roman" w:hAnsi="Times New Roman"/>
          <w:sz w:val="24"/>
          <w:szCs w:val="24"/>
        </w:rPr>
      </w:pPr>
      <w:r>
        <w:rPr>
          <w:rFonts w:hint="eastAsia" w:ascii="Times New Roman" w:hAnsi="Times New Roman"/>
          <w:i/>
          <w:iCs/>
          <w:sz w:val="24"/>
          <w:szCs w:val="24"/>
        </w:rPr>
        <w:t xml:space="preserve"> </w:t>
      </w:r>
      <w:r>
        <w:rPr>
          <w:position w:val="-12"/>
        </w:rPr>
        <w:object>
          <v:shape id="_x0000_i1121" o:spt="75" type="#_x0000_t75" style="height:18.2pt;width:13.45pt;" o:ole="t" filled="f" coordsize="21600,21600">
            <v:path/>
            <v:fill on="f" focussize="0,0"/>
            <v:stroke/>
            <v:imagedata r:id="rId273" o:title=""/>
            <o:lock v:ext="edit" aspectratio="t"/>
            <w10:wrap type="none"/>
            <w10:anchorlock/>
          </v:shape>
          <o:OLEObject Type="Embed" ProgID="Equation.3" ShapeID="_x0000_i1121" DrawAspect="Content" ObjectID="_1468075821" r:id="rId272">
            <o:LockedField>false</o:LockedField>
          </o:OLEObject>
        </w:object>
      </w:r>
      <w:r>
        <w:rPr>
          <w:rFonts w:hint="eastAsia" w:ascii="Times New Roman" w:hAnsi="Times New Roman"/>
          <w:sz w:val="24"/>
          <w:szCs w:val="24"/>
        </w:rPr>
        <w:t>、</w:t>
      </w:r>
      <w:r>
        <w:rPr>
          <w:position w:val="-14"/>
        </w:rPr>
        <w:object>
          <v:shape id="_x0000_i1122" o:spt="75" type="#_x0000_t75" style="height:19pt;width:13.45pt;" o:ole="t" filled="f" coordsize="21600,21600">
            <v:path/>
            <v:fill on="f" focussize="0,0"/>
            <v:stroke/>
            <v:imagedata r:id="rId275" o:title=""/>
            <o:lock v:ext="edit" aspectratio="t"/>
            <w10:wrap type="none"/>
            <w10:anchorlock/>
          </v:shape>
          <o:OLEObject Type="Embed" ProgID="Equation.3" ShapeID="_x0000_i1122" DrawAspect="Content" ObjectID="_1468075822" r:id="rId274">
            <o:LockedField>false</o:LockedField>
          </o:OLEObject>
        </w:object>
      </w:r>
      <w:r>
        <w:rPr>
          <w:rFonts w:ascii="Times New Roman" w:hAnsi="Times New Roman"/>
          <w:szCs w:val="24"/>
        </w:rPr>
        <w:t>——</w:t>
      </w:r>
      <w:r>
        <w:rPr>
          <w:rFonts w:hint="eastAsia" w:ascii="Times New Roman" w:hAnsi="Times New Roman"/>
          <w:sz w:val="24"/>
          <w:szCs w:val="24"/>
        </w:rPr>
        <w:t xml:space="preserve">分别为基坑外侧、基坑内侧支挡结构底面以上土层的加权平均重度 </w:t>
      </w:r>
      <w:r>
        <w:rPr>
          <w:rFonts w:hint="eastAsia" w:ascii="Times New Roman" w:hAnsi="Times New Roman"/>
        </w:rPr>
        <w:t>(kN/m</w:t>
      </w:r>
      <w:r>
        <w:rPr>
          <w:rFonts w:hint="eastAsia" w:ascii="Times New Roman" w:hAnsi="Times New Roman"/>
          <w:vertAlign w:val="superscript"/>
        </w:rPr>
        <w:t>3</w:t>
      </w:r>
      <w:r>
        <w:rPr>
          <w:rFonts w:hint="eastAsia" w:ascii="Times New Roman" w:hAnsi="Times New Roman"/>
        </w:rPr>
        <w:t>)</w:t>
      </w:r>
      <w:r>
        <w:rPr>
          <w:rFonts w:hint="eastAsia" w:ascii="Times New Roman" w:hAnsi="Times New Roman"/>
          <w:sz w:val="24"/>
          <w:szCs w:val="24"/>
        </w:rPr>
        <w:t>；</w:t>
      </w:r>
    </w:p>
    <w:p>
      <w:pPr>
        <w:pStyle w:val="42"/>
        <w:widowControl w:val="0"/>
        <w:spacing w:line="480" w:lineRule="exact"/>
        <w:ind w:firstLine="676" w:firstLineChars="282"/>
        <w:rPr>
          <w:rFonts w:ascii="Times New Roman" w:hAnsi="Times New Roman"/>
          <w:sz w:val="24"/>
          <w:szCs w:val="24"/>
        </w:rPr>
      </w:pPr>
      <w:r>
        <w:rPr>
          <w:rFonts w:ascii="Times New Roman" w:hAnsi="Times New Roman"/>
          <w:i/>
          <w:iCs/>
          <w:position w:val="-6"/>
          <w:sz w:val="24"/>
          <w:szCs w:val="24"/>
        </w:rPr>
        <w:object>
          <v:shape id="_x0000_i1123" o:spt="75" type="#_x0000_t75" style="height:11.1pt;width:8.7pt;" o:ole="t" filled="f" coordsize="21600,21600">
            <v:path/>
            <v:fill on="f" focussize="0,0"/>
            <v:stroke/>
            <v:imagedata r:id="rId277" o:title=""/>
            <o:lock v:ext="edit" aspectratio="t"/>
            <w10:wrap type="none"/>
            <w10:anchorlock/>
          </v:shape>
          <o:OLEObject Type="Embed" ProgID="Equation.3" ShapeID="_x0000_i1123" DrawAspect="Content" ObjectID="_1468075823" r:id="rId276">
            <o:LockedField>false</o:LockedField>
          </o:OLEObject>
        </w:object>
      </w:r>
      <w:r>
        <w:rPr>
          <w:rFonts w:hint="eastAsia" w:ascii="Times New Roman" w:hAnsi="Times New Roman"/>
          <w:sz w:val="24"/>
          <w:szCs w:val="24"/>
        </w:rPr>
        <w:t>、</w:t>
      </w:r>
      <w:r>
        <w:rPr>
          <w:rFonts w:ascii="Times New Roman" w:hAnsi="Times New Roman"/>
          <w:position w:val="-10"/>
          <w:sz w:val="24"/>
          <w:szCs w:val="24"/>
        </w:rPr>
        <w:object>
          <v:shape id="_x0000_i1124" o:spt="75" type="#_x0000_t75" style="height:13.45pt;width:11.1pt;" o:ole="t" filled="f" coordsize="21600,21600">
            <v:path/>
            <v:fill on="f" focussize="0,0"/>
            <v:stroke/>
            <v:imagedata r:id="rId279" o:title=""/>
            <o:lock v:ext="edit" aspectratio="t"/>
            <w10:wrap type="none"/>
            <w10:anchorlock/>
          </v:shape>
          <o:OLEObject Type="Embed" ProgID="Equation.3" ShapeID="_x0000_i1124" DrawAspect="Content" ObjectID="_1468075824" r:id="rId278">
            <o:LockedField>false</o:LockedField>
          </o:OLEObject>
        </w:object>
      </w:r>
      <w:r>
        <w:rPr>
          <w:rFonts w:ascii="Times New Roman" w:hAnsi="Times New Roman"/>
          <w:szCs w:val="24"/>
        </w:rPr>
        <w:t>——</w:t>
      </w:r>
      <w:r>
        <w:rPr>
          <w:rFonts w:hint="eastAsia" w:ascii="Times New Roman" w:hAnsi="Times New Roman"/>
          <w:sz w:val="24"/>
          <w:szCs w:val="24"/>
        </w:rPr>
        <w:t>支挡结构底面下土的粘聚力</w:t>
      </w:r>
      <w:r>
        <w:rPr>
          <w:rFonts w:hint="eastAsia" w:ascii="Times New Roman" w:hAnsi="Times New Roman"/>
        </w:rPr>
        <w:t xml:space="preserve"> (kPa)、</w:t>
      </w:r>
      <w:r>
        <w:rPr>
          <w:rFonts w:hint="eastAsia" w:ascii="Times New Roman" w:hAnsi="Times New Roman"/>
          <w:sz w:val="24"/>
          <w:szCs w:val="24"/>
        </w:rPr>
        <w:t>内摩擦角</w:t>
      </w:r>
      <w:r>
        <w:rPr>
          <w:rFonts w:hint="eastAsia" w:ascii="Times New Roman" w:hAnsi="Times New Roman"/>
        </w:rPr>
        <w:t xml:space="preserve"> (°)</w:t>
      </w:r>
      <w:r>
        <w:rPr>
          <w:rFonts w:hint="eastAsia" w:ascii="Times New Roman" w:hAnsi="Times New Roman"/>
          <w:sz w:val="24"/>
          <w:szCs w:val="24"/>
        </w:rPr>
        <w:t>；</w:t>
      </w:r>
    </w:p>
    <w:p>
      <w:pPr>
        <w:pStyle w:val="42"/>
        <w:widowControl w:val="0"/>
        <w:ind w:firstLine="1012" w:firstLineChars="482"/>
        <w:rPr>
          <w:rFonts w:ascii="Times New Roman" w:hAnsi="Times New Roman"/>
          <w:position w:val="-10"/>
          <w:sz w:val="24"/>
          <w:szCs w:val="24"/>
        </w:rPr>
      </w:pPr>
      <w:r>
        <w:rPr>
          <w:rFonts w:ascii="Times New Roman" w:hAnsi="Times New Roman"/>
          <w:position w:val="-14"/>
          <w:szCs w:val="24"/>
        </w:rPr>
        <w:object>
          <v:shape id="_x0000_i1125" o:spt="75" type="#_x0000_t75" style="height:19pt;width:16.6pt;" o:ole="t" filled="f" coordsize="21600,21600">
            <v:path/>
            <v:fill on="f" focussize="0,0"/>
            <v:stroke/>
            <v:imagedata r:id="rId281" o:title=""/>
            <o:lock v:ext="edit" aspectratio="t"/>
            <w10:wrap type="none"/>
            <w10:anchorlock/>
          </v:shape>
          <o:OLEObject Type="Embed" ProgID="Equation.3" ShapeID="_x0000_i1125" DrawAspect="Content" ObjectID="_1468075825" r:id="rId280">
            <o:LockedField>false</o:LockedField>
          </o:OLEObject>
        </w:object>
      </w:r>
      <w:r>
        <w:rPr>
          <w:rFonts w:ascii="Times New Roman" w:hAnsi="Times New Roman"/>
          <w:szCs w:val="24"/>
        </w:rPr>
        <w:t>——</w:t>
      </w:r>
      <w:r>
        <w:rPr>
          <w:rFonts w:hint="eastAsia" w:ascii="Times New Roman" w:hAnsi="Times New Roman"/>
          <w:sz w:val="24"/>
          <w:szCs w:val="24"/>
        </w:rPr>
        <w:t>承载力系数；</w:t>
      </w:r>
      <w:r>
        <w:rPr>
          <w:position w:val="-14"/>
        </w:rPr>
        <w:object>
          <v:shape id="_x0000_i1126" o:spt="75" type="#_x0000_t75" style="height:19.8pt;width:64.9pt;" o:ole="t" filled="f" coordsize="21600,21600">
            <v:path/>
            <v:fill on="f" focussize="0,0"/>
            <v:stroke/>
            <v:imagedata r:id="rId283" o:title=""/>
            <o:lock v:ext="edit" aspectratio="t"/>
            <w10:wrap type="none"/>
            <w10:anchorlock/>
          </v:shape>
          <o:OLEObject Type="Embed" ProgID="Equation.DSMT4" ShapeID="_x0000_i1126" DrawAspect="Content" ObjectID="_1468075826" r:id="rId282">
            <o:LockedField>false</o:LockedField>
          </o:OLEObject>
        </w:object>
      </w:r>
      <w:r>
        <w:rPr>
          <w:rFonts w:hint="eastAsia" w:ascii="Times New Roman" w:hAnsi="Times New Roman"/>
          <w:position w:val="-10"/>
          <w:sz w:val="24"/>
          <w:szCs w:val="24"/>
        </w:rPr>
        <w:t>；</w:t>
      </w:r>
      <w:r>
        <w:rPr>
          <w:position w:val="-14"/>
        </w:rPr>
        <w:object>
          <v:shape id="_x0000_i1127" o:spt="75" type="#_x0000_t75" style="height:19.8pt;width:102.05pt;" o:ole="t" filled="f" coordsize="21600,21600">
            <v:path/>
            <v:fill on="f" focussize="0,0"/>
            <v:stroke/>
            <v:imagedata r:id="rId285" o:title=""/>
            <o:lock v:ext="edit" aspectratio="t"/>
            <w10:wrap type="none"/>
            <w10:anchorlock/>
          </v:shape>
          <o:OLEObject Type="Embed" ProgID="Equation.DSMT4" ShapeID="_x0000_i1127" DrawAspect="Content" ObjectID="_1468075827" r:id="rId284">
            <o:LockedField>false</o:LockedField>
          </o:OLEObject>
        </w:object>
      </w:r>
      <w:r>
        <w:rPr>
          <w:rFonts w:hint="eastAsia" w:ascii="Times New Roman" w:hAnsi="Times New Roman"/>
          <w:position w:val="-10"/>
          <w:sz w:val="24"/>
          <w:szCs w:val="24"/>
        </w:rPr>
        <w:t>。</w:t>
      </w:r>
    </w:p>
    <w:p>
      <w:pPr>
        <w:pStyle w:val="42"/>
        <w:widowControl w:val="0"/>
        <w:spacing w:line="360" w:lineRule="auto"/>
        <w:ind w:firstLine="436" w:firstLineChars="182"/>
        <w:rPr>
          <w:rFonts w:ascii="Times New Roman" w:hAnsi="Times New Roman"/>
          <w:position w:val="-10"/>
          <w:sz w:val="24"/>
          <w:szCs w:val="24"/>
        </w:rPr>
      </w:pPr>
      <w:r>
        <w:rPr>
          <w:rFonts w:hint="eastAsia" w:ascii="Times New Roman" w:hAnsi="Times New Roman"/>
          <w:sz w:val="24"/>
          <w:szCs w:val="24"/>
        </w:rPr>
        <w:t>当</w:t>
      </w:r>
      <w:r>
        <w:rPr>
          <w:rFonts w:hint="eastAsia" w:ascii="Times New Roman" w:hAnsi="Times New Roman"/>
          <w:sz w:val="24"/>
          <w:szCs w:val="28"/>
        </w:rPr>
        <w:t>支挡结构</w:t>
      </w:r>
      <w:r>
        <w:rPr>
          <w:rFonts w:hint="eastAsia" w:ascii="Times New Roman" w:hAnsi="Times New Roman"/>
          <w:sz w:val="24"/>
          <w:szCs w:val="24"/>
        </w:rPr>
        <w:t>底部有软弱下卧层时，验算部位应包括软弱下卧层（图6.4.2-2），此</w:t>
      </w:r>
      <w:r>
        <w:rPr>
          <w:rFonts w:hint="eastAsia" w:ascii="Times New Roman" w:hAnsi="Times New Roman"/>
          <w:color w:val="auto"/>
          <w:sz w:val="24"/>
          <w:szCs w:val="24"/>
        </w:rPr>
        <w:t>时式</w:t>
      </w:r>
      <w:r>
        <w:rPr>
          <w:rFonts w:hint="eastAsia" w:ascii="Times New Roman" w:hAnsi="Times New Roman"/>
          <w:color w:val="auto"/>
          <w:sz w:val="24"/>
          <w:szCs w:val="24"/>
          <w:lang w:eastAsia="zh-CN"/>
        </w:rPr>
        <w:t>（</w:t>
      </w:r>
      <w:r>
        <w:rPr>
          <w:rFonts w:hint="eastAsia" w:ascii="Times New Roman" w:hAnsi="Times New Roman"/>
          <w:color w:val="auto"/>
          <w:sz w:val="24"/>
          <w:szCs w:val="24"/>
        </w:rPr>
        <w:t>6.4.2</w:t>
      </w:r>
      <w:r>
        <w:rPr>
          <w:rFonts w:hint="eastAsia" w:ascii="Times New Roman" w:hAnsi="Times New Roman"/>
          <w:color w:val="auto"/>
          <w:sz w:val="24"/>
          <w:szCs w:val="24"/>
          <w:lang w:eastAsia="zh-CN"/>
        </w:rPr>
        <w:t>）</w:t>
      </w:r>
      <w:r>
        <w:rPr>
          <w:rFonts w:hint="eastAsia" w:ascii="Times New Roman" w:hAnsi="Times New Roman"/>
          <w:color w:val="auto"/>
          <w:sz w:val="24"/>
          <w:szCs w:val="24"/>
        </w:rPr>
        <w:t>中</w:t>
      </w:r>
      <w:r>
        <w:rPr>
          <w:rFonts w:hint="eastAsia" w:ascii="Times New Roman" w:hAnsi="Times New Roman"/>
          <w:sz w:val="24"/>
          <w:szCs w:val="24"/>
        </w:rPr>
        <w:t>的</w:t>
      </w:r>
      <w:r>
        <w:rPr>
          <w:position w:val="-12"/>
        </w:rPr>
        <w:object>
          <v:shape id="_x0000_i1128" o:spt="75" type="#_x0000_t75" style="height:18.2pt;width:13.45pt;" o:ole="t" filled="f" coordsize="21600,21600">
            <v:path/>
            <v:fill on="f" focussize="0,0"/>
            <v:stroke/>
            <v:imagedata r:id="rId273" o:title=""/>
            <o:lock v:ext="edit" aspectratio="t"/>
            <w10:wrap type="none"/>
            <w10:anchorlock/>
          </v:shape>
          <o:OLEObject Type="Embed" ProgID="Equation.3" ShapeID="_x0000_i1128" DrawAspect="Content" ObjectID="_1468075828" r:id="rId286">
            <o:LockedField>false</o:LockedField>
          </o:OLEObject>
        </w:object>
      </w:r>
      <w:r>
        <w:rPr>
          <w:rFonts w:hint="eastAsia" w:ascii="Times New Roman" w:hAnsi="Times New Roman"/>
          <w:sz w:val="24"/>
          <w:szCs w:val="24"/>
        </w:rPr>
        <w:t>、</w:t>
      </w:r>
      <w:r>
        <w:rPr>
          <w:position w:val="-14"/>
        </w:rPr>
        <w:object>
          <v:shape id="_x0000_i1129" o:spt="75" type="#_x0000_t75" style="height:19pt;width:13.45pt;" o:ole="t" filled="f" coordsize="21600,21600">
            <v:path/>
            <v:fill on="f" focussize="0,0"/>
            <v:stroke/>
            <v:imagedata r:id="rId275" o:title=""/>
            <o:lock v:ext="edit" aspectratio="t"/>
            <w10:wrap type="none"/>
            <w10:anchorlock/>
          </v:shape>
          <o:OLEObject Type="Embed" ProgID="Equation.3" ShapeID="_x0000_i1129" DrawAspect="Content" ObjectID="_1468075829" r:id="rId287">
            <o:LockedField>false</o:LockedField>
          </o:OLEObject>
        </w:object>
      </w:r>
      <w:r>
        <w:rPr>
          <w:rFonts w:hint="eastAsia" w:ascii="Times New Roman" w:hAnsi="Times New Roman"/>
          <w:sz w:val="24"/>
          <w:szCs w:val="24"/>
        </w:rPr>
        <w:t>应取软弱下卧层顶面以上土的加权平均重度。</w:t>
      </w:r>
    </w:p>
    <w:p>
      <w:pPr>
        <w:pStyle w:val="42"/>
        <w:widowControl w:val="0"/>
        <w:ind w:firstLine="630" w:firstLineChars="300"/>
        <w:jc w:val="center"/>
        <w:rPr>
          <w:rFonts w:ascii="Times New Roman" w:hAnsi="Times New Roman"/>
          <w:position w:val="-10"/>
        </w:rPr>
      </w:pPr>
      <w:r>
        <w:drawing>
          <wp:anchor distT="0" distB="0" distL="114300" distR="114300" simplePos="0" relativeHeight="251670528" behindDoc="0" locked="0" layoutInCell="1" allowOverlap="1">
            <wp:simplePos x="0" y="0"/>
            <wp:positionH relativeFrom="column">
              <wp:posOffset>1459865</wp:posOffset>
            </wp:positionH>
            <wp:positionV relativeFrom="paragraph">
              <wp:posOffset>62230</wp:posOffset>
            </wp:positionV>
            <wp:extent cx="2324100" cy="2141855"/>
            <wp:effectExtent l="0" t="0" r="7620" b="6985"/>
            <wp:wrapSquare wrapText="bothSides"/>
            <wp:docPr id="2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true"/>
                    </pic:cNvPicPr>
                  </pic:nvPicPr>
                  <pic:blipFill>
                    <a:blip r:embed="rId288"/>
                    <a:srcRect l="25867" t="15071" r="33159" b="25040"/>
                    <a:stretch>
                      <a:fillRect/>
                    </a:stretch>
                  </pic:blipFill>
                  <pic:spPr>
                    <a:xfrm>
                      <a:off x="0" y="0"/>
                      <a:ext cx="2324100" cy="2141855"/>
                    </a:xfrm>
                    <a:prstGeom prst="rect">
                      <a:avLst/>
                    </a:prstGeom>
                    <a:noFill/>
                    <a:ln>
                      <a:noFill/>
                    </a:ln>
                  </pic:spPr>
                </pic:pic>
              </a:graphicData>
            </a:graphic>
          </wp:anchor>
        </w:drawing>
      </w: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position w:val="-10"/>
        </w:rPr>
      </w:pPr>
    </w:p>
    <w:p>
      <w:pPr>
        <w:pStyle w:val="42"/>
        <w:widowControl w:val="0"/>
        <w:ind w:firstLine="630" w:firstLineChars="300"/>
        <w:jc w:val="center"/>
        <w:rPr>
          <w:rFonts w:ascii="Times New Roman" w:hAnsi="Times New Roman"/>
          <w:szCs w:val="21"/>
        </w:rPr>
      </w:pPr>
      <w:r>
        <w:rPr>
          <w:rFonts w:hint="eastAsia" w:ascii="Times New Roman" w:hAnsi="Times New Roman"/>
          <w:szCs w:val="21"/>
        </w:rPr>
        <w:t>图6.4.2-2 支挡结构下有软弱下卧层时基坑底抗隆起稳定性验算</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b w:val="0"/>
          <w:bCs w:val="0"/>
          <w:lang w:val="en-US" w:eastAsia="zh-CN"/>
        </w:rPr>
      </w:pPr>
      <w:r>
        <w:rPr>
          <w:rFonts w:hint="eastAsia" w:ascii="Calibri" w:eastAsia="宋体"/>
          <w:b/>
          <w:bCs/>
          <w:lang w:val="en-US" w:eastAsia="zh-CN"/>
        </w:rPr>
        <w:t xml:space="preserve">6.4.3 </w:t>
      </w:r>
      <w:r>
        <w:rPr>
          <w:rFonts w:hint="eastAsia" w:ascii="Calibri" w:eastAsia="宋体"/>
          <w:b w:val="0"/>
          <w:bCs w:val="0"/>
          <w:lang w:val="en-US" w:eastAsia="zh-CN"/>
        </w:rPr>
        <w:t>对无支护桩、墙（包括喷锚支护边坡），采用一定坡率放坡的边坡，如坡脚或坡脚以下有软塑～流塑状的黏性土、淤泥、淤泥质土分布，应按图6.4.3所示模型进行坑底抗隆起稳定性验算，并应满足式（6.4.3）的要求。</w:t>
      </w:r>
    </w:p>
    <w:p>
      <w:pPr>
        <w:widowControl w:val="0"/>
        <w:jc w:val="center"/>
        <w:rPr>
          <w:rFonts w:ascii="Times New Roman" w:hAnsi="Times New Roman"/>
        </w:rPr>
      </w:pPr>
      <w:r>
        <w:drawing>
          <wp:inline distT="0" distB="0" distL="114300" distR="114300">
            <wp:extent cx="3091180" cy="2301240"/>
            <wp:effectExtent l="0" t="0" r="2540" b="0"/>
            <wp:docPr id="15"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84"/>
                    <pic:cNvPicPr>
                      <a:picLocks noChangeAspect="true"/>
                    </pic:cNvPicPr>
                  </pic:nvPicPr>
                  <pic:blipFill>
                    <a:blip r:embed="rId289"/>
                    <a:srcRect l="28822" t="8794" r="35083" b="25386"/>
                    <a:stretch>
                      <a:fillRect/>
                    </a:stretch>
                  </pic:blipFill>
                  <pic:spPr>
                    <a:xfrm>
                      <a:off x="0" y="0"/>
                      <a:ext cx="3094217" cy="23034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lang w:val="en-US" w:eastAsia="zh-CN"/>
        </w:rPr>
      </w:pPr>
      <w:bookmarkStart w:id="317" w:name="_Toc12469"/>
      <w:bookmarkStart w:id="318" w:name="_Toc20199"/>
      <w:r>
        <w:rPr>
          <w:rFonts w:hint="eastAsia" w:ascii="Calibri" w:eastAsia="宋体"/>
          <w:lang w:val="en-US" w:eastAsia="zh-CN"/>
        </w:rPr>
        <w:t>图6.4.3 放坡条件下的坑底抗隆起验算</w:t>
      </w:r>
      <w:bookmarkEnd w:id="317"/>
      <w:bookmarkEnd w:id="318"/>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lang w:val="en-US" w:eastAsia="zh-CN"/>
        </w:rPr>
      </w:pPr>
      <w:r>
        <w:rPr>
          <w:rFonts w:hint="eastAsia" w:ascii="Calibri" w:eastAsia="宋体"/>
          <w:b w:val="0"/>
          <w:bCs w:val="0"/>
          <w:lang w:val="en-US" w:eastAsia="zh-CN"/>
        </w:rPr>
        <w:t>图6.4.3中，取开挖深度h为坡底土承载力的计算宽度，如放坡宽度b大于h，则应取放坡宽度b为计算宽度。</w:t>
      </w:r>
      <w:r>
        <w:rPr>
          <w:rFonts w:hint="eastAsia" w:ascii="Calibri" w:eastAsia="宋体"/>
          <w:lang w:val="en-US" w:eastAsia="zh-CN"/>
        </w:rPr>
        <w:t xml:space="preserve"> </w:t>
      </w:r>
    </w:p>
    <w:tbl>
      <w:tblPr>
        <w:tblStyle w:val="32"/>
        <w:tblW w:w="0" w:type="auto"/>
        <w:jc w:val="right"/>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rPr>
          <w:jc w:val="right"/>
        </w:trPr>
        <w:tc>
          <w:tcPr>
            <w:tcW w:w="4927" w:type="dxa"/>
            <w:vAlign w:val="center"/>
          </w:tcPr>
          <w:p>
            <w:pPr>
              <w:pStyle w:val="42"/>
              <w:widowControl w:val="0"/>
              <w:ind w:firstLine="0" w:firstLineChars="0"/>
              <w:jc w:val="right"/>
              <w:rPr>
                <w:rFonts w:ascii="Times New Roman" w:hAnsi="Times New Roman"/>
                <w:position w:val="-24"/>
                <w:sz w:val="24"/>
                <w:szCs w:val="24"/>
              </w:rPr>
            </w:pPr>
            <w:r>
              <w:rPr>
                <w:rFonts w:ascii="Times New Roman" w:hAnsi="Times New Roman"/>
                <w:position w:val="-24"/>
                <w:sz w:val="24"/>
                <w:szCs w:val="24"/>
              </w:rPr>
              <w:drawing>
                <wp:inline distT="0" distB="0" distL="114300" distR="114300">
                  <wp:extent cx="504825" cy="409575"/>
                  <wp:effectExtent l="0" t="0" r="0" b="1905"/>
                  <wp:docPr id="17" name="图片 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85"/>
                          <pic:cNvPicPr>
                            <a:picLocks noChangeAspect="true"/>
                          </pic:cNvPicPr>
                        </pic:nvPicPr>
                        <pic:blipFill>
                          <a:blip r:embed="rId290"/>
                          <a:stretch>
                            <a:fillRect/>
                          </a:stretch>
                        </pic:blipFill>
                        <pic:spPr>
                          <a:xfrm>
                            <a:off x="0" y="0"/>
                            <a:ext cx="504825" cy="409575"/>
                          </a:xfrm>
                          <a:prstGeom prst="rect">
                            <a:avLst/>
                          </a:prstGeom>
                          <a:noFill/>
                          <a:ln>
                            <a:noFill/>
                          </a:ln>
                        </pic:spPr>
                      </pic:pic>
                    </a:graphicData>
                  </a:graphic>
                </wp:inline>
              </w:drawing>
            </w:r>
          </w:p>
        </w:tc>
        <w:tc>
          <w:tcPr>
            <w:tcW w:w="4927" w:type="dxa"/>
            <w:vAlign w:val="center"/>
          </w:tcPr>
          <w:p>
            <w:pPr>
              <w:pStyle w:val="42"/>
              <w:widowControl w:val="0"/>
              <w:spacing w:line="720" w:lineRule="auto"/>
              <w:ind w:firstLine="0" w:firstLineChars="0"/>
              <w:jc w:val="right"/>
              <w:rPr>
                <w:rFonts w:ascii="Times New Roman" w:hAnsi="Times New Roman"/>
                <w:position w:val="-24"/>
                <w:sz w:val="24"/>
                <w:szCs w:val="24"/>
              </w:rPr>
            </w:pPr>
            <w:r>
              <w:rPr>
                <w:rFonts w:hint="eastAsia" w:ascii="Times New Roman" w:hAnsi="Times New Roman"/>
                <w:sz w:val="24"/>
                <w:szCs w:val="24"/>
              </w:rPr>
              <w:t>(6.4.3)</w:t>
            </w:r>
          </w:p>
        </w:tc>
      </w:tr>
    </w:tbl>
    <w:p>
      <w:pPr>
        <w:pStyle w:val="42"/>
        <w:widowControl w:val="0"/>
        <w:spacing w:line="480" w:lineRule="exact"/>
        <w:ind w:left="1440" w:hanging="1440" w:hangingChars="600"/>
        <w:rPr>
          <w:rFonts w:ascii="Times New Roman" w:hAnsi="Times New Roman"/>
          <w:sz w:val="24"/>
          <w:szCs w:val="24"/>
        </w:rPr>
      </w:pPr>
      <w:r>
        <w:rPr>
          <w:rFonts w:hint="eastAsia" w:ascii="Times New Roman" w:hAnsi="Times New Roman"/>
          <w:sz w:val="24"/>
          <w:szCs w:val="24"/>
        </w:rPr>
        <w:t>式中：</w:t>
      </w:r>
      <w:r>
        <w:rPr>
          <w:rFonts w:ascii="Times New Roman" w:hAnsi="Times New Roman"/>
          <w:i/>
          <w:iCs/>
          <w:sz w:val="24"/>
          <w:szCs w:val="24"/>
        </w:rPr>
        <w:t>P</w:t>
      </w:r>
      <w:r>
        <w:rPr>
          <w:rFonts w:ascii="Times New Roman" w:hAnsi="Times New Roman"/>
          <w:sz w:val="24"/>
          <w:szCs w:val="24"/>
        </w:rPr>
        <w:t>——</w:t>
      </w:r>
      <w:r>
        <w:rPr>
          <w:rFonts w:ascii="Times New Roman" w:hAnsi="Times New Roman"/>
          <w:i/>
          <w:iCs/>
          <w:sz w:val="24"/>
          <w:szCs w:val="24"/>
        </w:rPr>
        <w:t>0A</w:t>
      </w:r>
      <w:r>
        <w:rPr>
          <w:rFonts w:hint="eastAsia" w:ascii="Times New Roman" w:hAnsi="Times New Roman"/>
          <w:sz w:val="24"/>
          <w:szCs w:val="24"/>
        </w:rPr>
        <w:t xml:space="preserve">宽度范围内验算土层以上的总荷载，包括土体重量以及地面超载 </w:t>
      </w:r>
      <w:r>
        <w:rPr>
          <w:rFonts w:ascii="Times New Roman" w:hAnsi="Times New Roman"/>
          <w:sz w:val="24"/>
          <w:szCs w:val="24"/>
        </w:rPr>
        <w:t>(kN)</w:t>
      </w:r>
      <w:r>
        <w:rPr>
          <w:rFonts w:hint="eastAsia" w:ascii="Times New Roman" w:hAnsi="Times New Roman"/>
          <w:sz w:val="24"/>
          <w:szCs w:val="24"/>
        </w:rPr>
        <w:t xml:space="preserve">，         </w:t>
      </w:r>
      <w:r>
        <w:rPr>
          <w:position w:val="-12"/>
        </w:rPr>
        <w:object>
          <v:shape id="_x0000_i1130" o:spt="75" type="#_x0000_t75" style="height:18.2pt;width:177.25pt;" o:ole="t" filled="f" coordsize="21600,21600">
            <v:path/>
            <v:fill on="f" focussize="0,0"/>
            <v:stroke/>
            <v:imagedata r:id="rId292" o:title=""/>
            <o:lock v:ext="edit" aspectratio="t"/>
            <w10:wrap type="none"/>
            <w10:anchorlock/>
          </v:shape>
          <o:OLEObject Type="Embed" ProgID="Equation.DSMT4" ShapeID="_x0000_i1130" DrawAspect="Content" ObjectID="_1468075830" r:id="rId291">
            <o:LockedField>false</o:LockedField>
          </o:OLEObject>
        </w:object>
      </w:r>
      <w:r>
        <w:rPr>
          <w:rFonts w:hint="eastAsia" w:ascii="Times New Roman" w:hAnsi="Times New Roman"/>
          <w:sz w:val="24"/>
          <w:szCs w:val="24"/>
        </w:rPr>
        <w:t>；</w:t>
      </w:r>
    </w:p>
    <w:p>
      <w:pPr>
        <w:pStyle w:val="42"/>
        <w:widowControl w:val="0"/>
        <w:spacing w:line="480" w:lineRule="exact"/>
        <w:ind w:firstLine="679" w:firstLineChars="283"/>
        <w:rPr>
          <w:rFonts w:ascii="Times New Roman" w:hAnsi="Times New Roman"/>
          <w:sz w:val="24"/>
          <w:szCs w:val="24"/>
        </w:rPr>
      </w:pPr>
      <w:r>
        <w:rPr>
          <w:rFonts w:ascii="Times New Roman" w:hAnsi="Times New Roman"/>
          <w:i/>
          <w:iCs/>
          <w:sz w:val="24"/>
          <w:szCs w:val="24"/>
        </w:rPr>
        <w:t>R</w:t>
      </w:r>
      <w:r>
        <w:rPr>
          <w:rFonts w:ascii="Times New Roman" w:hAnsi="Times New Roman"/>
          <w:sz w:val="24"/>
          <w:szCs w:val="24"/>
          <w:vertAlign w:val="subscript"/>
        </w:rPr>
        <w:t>u</w:t>
      </w:r>
      <w:r>
        <w:rPr>
          <w:rFonts w:ascii="Times New Roman" w:hAnsi="Times New Roman"/>
          <w:sz w:val="24"/>
          <w:szCs w:val="24"/>
        </w:rPr>
        <w:t>——</w:t>
      </w:r>
      <w:r>
        <w:rPr>
          <w:rFonts w:hint="eastAsia" w:ascii="Times New Roman" w:hAnsi="Times New Roman"/>
          <w:sz w:val="24"/>
          <w:szCs w:val="24"/>
        </w:rPr>
        <w:t>按</w:t>
      </w:r>
      <w:r>
        <w:rPr>
          <w:rFonts w:ascii="Times New Roman" w:hAnsi="Times New Roman"/>
          <w:i/>
          <w:iCs/>
          <w:sz w:val="24"/>
          <w:szCs w:val="24"/>
        </w:rPr>
        <w:t>0A</w:t>
      </w:r>
      <w:r>
        <w:rPr>
          <w:rFonts w:hint="eastAsia" w:ascii="Times New Roman" w:hAnsi="Times New Roman"/>
          <w:sz w:val="24"/>
          <w:szCs w:val="24"/>
        </w:rPr>
        <w:t xml:space="preserve">宽度计算的验算土层的极限承载力合力 </w:t>
      </w:r>
      <w:r>
        <w:rPr>
          <w:rFonts w:ascii="Times New Roman" w:hAnsi="Times New Roman"/>
          <w:sz w:val="24"/>
          <w:szCs w:val="24"/>
        </w:rPr>
        <w:t>(kN)</w:t>
      </w:r>
      <w:r>
        <w:rPr>
          <w:rFonts w:hint="eastAsia" w:ascii="Times New Roman" w:hAnsi="Times New Roman"/>
          <w:sz w:val="24"/>
          <w:szCs w:val="24"/>
        </w:rPr>
        <w:t>，</w:t>
      </w:r>
      <w:r>
        <w:rPr>
          <w:rFonts w:ascii="Times New Roman" w:hAnsi="Times New Roman"/>
          <w:position w:val="-14"/>
          <w:sz w:val="24"/>
          <w:szCs w:val="24"/>
        </w:rPr>
        <w:drawing>
          <wp:inline distT="0" distB="0" distL="114300" distR="114300">
            <wp:extent cx="1270000" cy="241300"/>
            <wp:effectExtent l="0" t="0" r="10160" b="1905"/>
            <wp:docPr id="20"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7"/>
                    <pic:cNvPicPr>
                      <a:picLocks noChangeAspect="true"/>
                    </pic:cNvPicPr>
                  </pic:nvPicPr>
                  <pic:blipFill>
                    <a:blip r:embed="rId293"/>
                    <a:stretch>
                      <a:fillRect/>
                    </a:stretch>
                  </pic:blipFill>
                  <pic:spPr>
                    <a:xfrm>
                      <a:off x="0" y="0"/>
                      <a:ext cx="1270000" cy="241300"/>
                    </a:xfrm>
                    <a:prstGeom prst="rect">
                      <a:avLst/>
                    </a:prstGeom>
                    <a:noFill/>
                    <a:ln>
                      <a:noFill/>
                    </a:ln>
                  </pic:spPr>
                </pic:pic>
              </a:graphicData>
            </a:graphic>
          </wp:inline>
        </w:drawing>
      </w:r>
      <w:r>
        <w:rPr>
          <w:rFonts w:hint="eastAsia" w:ascii="Times New Roman" w:hAnsi="Times New Roman"/>
          <w:sz w:val="24"/>
          <w:szCs w:val="24"/>
        </w:rPr>
        <w:t>。</w:t>
      </w:r>
    </w:p>
    <w:p>
      <w:pPr>
        <w:pStyle w:val="3"/>
        <w:bidi w:val="0"/>
      </w:pPr>
      <w:bookmarkStart w:id="319" w:name="_Toc15943"/>
      <w:bookmarkStart w:id="320" w:name="_Toc388643434"/>
      <w:bookmarkStart w:id="321" w:name="_Toc1107"/>
      <w:bookmarkStart w:id="322" w:name="_Toc388643551"/>
      <w:bookmarkStart w:id="323" w:name="_Toc523"/>
      <w:r>
        <w:rPr>
          <w:rFonts w:hint="eastAsia"/>
        </w:rPr>
        <w:t>6.5  基坑底抗渗流稳定性验算</w:t>
      </w:r>
      <w:bookmarkEnd w:id="319"/>
      <w:bookmarkEnd w:id="320"/>
      <w:bookmarkEnd w:id="321"/>
      <w:bookmarkEnd w:id="322"/>
      <w:bookmarkEnd w:id="323"/>
    </w:p>
    <w:p>
      <w:pPr>
        <w:widowControl w:val="0"/>
        <w:spacing w:line="480" w:lineRule="exact"/>
        <w:rPr>
          <w:rFonts w:hint="eastAsia"/>
        </w:rPr>
      </w:pPr>
      <w:r>
        <w:rPr>
          <w:rFonts w:hint="eastAsia" w:ascii="Times New Roman" w:hAnsi="Times New Roman"/>
          <w:b/>
          <w:szCs w:val="28"/>
        </w:rPr>
        <w:t xml:space="preserve">6.5.1 </w:t>
      </w:r>
      <w:r>
        <w:rPr>
          <w:rFonts w:hint="eastAsia"/>
        </w:rPr>
        <w:t>坑底以下有水头高于坑底的承压水含水层，且未用截水帷幕隔断其基坑内外的水力联系时，承压水作用下的坑底突涌稳定性应</w:t>
      </w:r>
      <w:r>
        <w:rPr>
          <w:rFonts w:hint="eastAsia"/>
          <w:color w:val="auto"/>
        </w:rPr>
        <w:t>符合式</w:t>
      </w:r>
      <w:r>
        <w:rPr>
          <w:rFonts w:hint="eastAsia" w:eastAsia="宋体"/>
          <w:color w:val="auto"/>
          <w:lang w:eastAsia="zh-CN"/>
        </w:rPr>
        <w:t>（</w:t>
      </w:r>
      <w:r>
        <w:rPr>
          <w:rFonts w:hint="eastAsia" w:ascii="Calibri" w:eastAsia="宋体"/>
          <w:color w:val="auto"/>
          <w:lang w:val="en-US" w:eastAsia="zh-CN"/>
        </w:rPr>
        <w:t>6.5.1</w:t>
      </w:r>
      <w:r>
        <w:rPr>
          <w:rFonts w:hint="eastAsia" w:eastAsia="宋体"/>
          <w:color w:val="auto"/>
          <w:lang w:eastAsia="zh-CN"/>
        </w:rPr>
        <w:t>）</w:t>
      </w:r>
      <w:r>
        <w:rPr>
          <w:rFonts w:hint="eastAsia"/>
        </w:rPr>
        <w:t>规定（图</w:t>
      </w:r>
      <w:r>
        <w:rPr>
          <w:rFonts w:hint="eastAsia" w:ascii="Times New Roman" w:hAnsi="Times New Roman"/>
        </w:rPr>
        <w:t>6</w:t>
      </w:r>
      <w:r>
        <w:rPr>
          <w:rFonts w:hint="eastAsia"/>
        </w:rPr>
        <w:t>.</w:t>
      </w:r>
      <w:r>
        <w:rPr>
          <w:rFonts w:hint="eastAsia" w:ascii="Times New Roman" w:hAnsi="Times New Roman"/>
        </w:rPr>
        <w:t>5</w:t>
      </w:r>
      <w:r>
        <w:rPr>
          <w:rFonts w:hint="eastAsia"/>
        </w:rPr>
        <w:t>.</w:t>
      </w:r>
      <w:r>
        <w:rPr>
          <w:rFonts w:hint="eastAsia" w:ascii="Times New Roman" w:hAnsi="Times New Roman"/>
        </w:rPr>
        <w:t>1</w:t>
      </w:r>
      <w:r>
        <w:rPr>
          <w:rFonts w:hint="eastAsia"/>
        </w:rPr>
        <w:t>）：</w:t>
      </w:r>
    </w:p>
    <w:p>
      <w:pPr>
        <w:widowControl w:val="0"/>
        <w:spacing w:line="480" w:lineRule="exact"/>
        <w:rPr>
          <w:rFonts w:hint="eastAsia"/>
        </w:rPr>
      </w:pPr>
    </w:p>
    <w:p>
      <w:pPr>
        <w:widowControl w:val="0"/>
        <w:spacing w:line="480" w:lineRule="exact"/>
        <w:rPr>
          <w:rFonts w:hint="eastAsia"/>
        </w:rPr>
      </w:pPr>
    </w:p>
    <w:p>
      <w:pPr>
        <w:widowControl w:val="0"/>
        <w:spacing w:line="480" w:lineRule="exact"/>
        <w:rPr>
          <w:rFonts w:hint="eastAsia"/>
        </w:rPr>
      </w:pPr>
    </w:p>
    <w:p>
      <w:pPr>
        <w:widowControl w:val="0"/>
        <w:spacing w:line="480" w:lineRule="exact"/>
        <w:rPr>
          <w:rFonts w:ascii="Times New Roman" w:hAnsi="Times New Roman"/>
          <w:b/>
          <w:szCs w:val="28"/>
        </w:rPr>
      </w:pPr>
      <w:r>
        <w:drawing>
          <wp:anchor distT="0" distB="0" distL="114300" distR="114300" simplePos="0" relativeHeight="251669504" behindDoc="0" locked="0" layoutInCell="1" allowOverlap="1">
            <wp:simplePos x="0" y="0"/>
            <wp:positionH relativeFrom="column">
              <wp:posOffset>1591310</wp:posOffset>
            </wp:positionH>
            <wp:positionV relativeFrom="paragraph">
              <wp:posOffset>21590</wp:posOffset>
            </wp:positionV>
            <wp:extent cx="2026920" cy="2091690"/>
            <wp:effectExtent l="0" t="0" r="0" b="11430"/>
            <wp:wrapSquare wrapText="bothSides"/>
            <wp:docPr id="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true"/>
                    </pic:cNvPicPr>
                  </pic:nvPicPr>
                  <pic:blipFill>
                    <a:blip r:embed="rId294"/>
                    <a:stretch>
                      <a:fillRect/>
                    </a:stretch>
                  </pic:blipFill>
                  <pic:spPr>
                    <a:xfrm>
                      <a:off x="0" y="0"/>
                      <a:ext cx="2026920" cy="2091690"/>
                    </a:xfrm>
                    <a:prstGeom prst="rect">
                      <a:avLst/>
                    </a:prstGeom>
                    <a:noFill/>
                    <a:ln>
                      <a:noFill/>
                    </a:ln>
                  </pic:spPr>
                </pic:pic>
              </a:graphicData>
            </a:graphic>
          </wp:anchor>
        </w:drawing>
      </w: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rPr>
          <w:rFonts w:ascii="Times New Roman" w:hAnsi="Times New Roman"/>
          <w:b/>
          <w:szCs w:val="28"/>
        </w:rPr>
      </w:pPr>
    </w:p>
    <w:p>
      <w:pPr>
        <w:widowControl w:val="0"/>
        <w:spacing w:line="480" w:lineRule="exact"/>
        <w:jc w:val="center"/>
        <w:rPr>
          <w:rFonts w:ascii="Times New Roman" w:hAnsi="Times New Roman"/>
          <w:sz w:val="21"/>
          <w:szCs w:val="21"/>
        </w:rPr>
      </w:pPr>
      <w:r>
        <w:rPr>
          <w:rFonts w:hint="eastAsia" w:ascii="Times New Roman" w:hAnsi="Times New Roman"/>
          <w:sz w:val="21"/>
          <w:szCs w:val="21"/>
        </w:rPr>
        <w:t>图6.5.1   坑底土体的突涌稳定性验算</w:t>
      </w:r>
    </w:p>
    <w:p>
      <w:pPr>
        <w:widowControl w:val="0"/>
        <w:spacing w:line="480" w:lineRule="exact"/>
        <w:ind w:left="360"/>
        <w:jc w:val="center"/>
        <w:rPr>
          <w:rFonts w:ascii="Times New Roman" w:hAnsi="Times New Roman"/>
          <w:sz w:val="21"/>
          <w:szCs w:val="21"/>
        </w:rPr>
      </w:pPr>
      <w:r>
        <w:rPr>
          <w:rFonts w:hint="eastAsia" w:ascii="Times New Roman" w:hAnsi="Times New Roman"/>
          <w:sz w:val="21"/>
          <w:szCs w:val="21"/>
        </w:rPr>
        <w:t>1-截水帷幕；2-基底；3-承压水测管水位；4-承压水含水层；5-隔水层</w:t>
      </w:r>
    </w:p>
    <w:tbl>
      <w:tblPr>
        <w:tblStyle w:val="32"/>
        <w:tblpPr w:leftFromText="180" w:rightFromText="180" w:vertAnchor="text" w:horzAnchor="margin" w:tblpY="210"/>
        <w:tblW w:w="0" w:type="auto"/>
        <w:tblInd w:w="0" w:type="dxa"/>
        <w:tblLayout w:type="fixed"/>
        <w:tblCellMar>
          <w:top w:w="0" w:type="dxa"/>
          <w:left w:w="108" w:type="dxa"/>
          <w:bottom w:w="0" w:type="dxa"/>
          <w:right w:w="108" w:type="dxa"/>
        </w:tblCellMar>
      </w:tblPr>
      <w:tblGrid>
        <w:gridCol w:w="4747"/>
        <w:gridCol w:w="4747"/>
      </w:tblGrid>
      <w:tr>
        <w:tblPrEx>
          <w:tblCellMar>
            <w:top w:w="0" w:type="dxa"/>
            <w:left w:w="108" w:type="dxa"/>
            <w:bottom w:w="0" w:type="dxa"/>
            <w:right w:w="108" w:type="dxa"/>
          </w:tblCellMar>
        </w:tblPrEx>
        <w:tc>
          <w:tcPr>
            <w:tcW w:w="4747" w:type="dxa"/>
            <w:vAlign w:val="center"/>
          </w:tcPr>
          <w:p>
            <w:pPr>
              <w:widowControl w:val="0"/>
              <w:spacing w:line="360" w:lineRule="auto"/>
              <w:jc w:val="right"/>
              <w:rPr>
                <w:rFonts w:ascii="Times New Roman" w:hAnsi="Times New Roman"/>
                <w:sz w:val="21"/>
                <w:szCs w:val="21"/>
              </w:rPr>
            </w:pPr>
            <w:r>
              <w:rPr>
                <w:position w:val="-30"/>
              </w:rPr>
              <w:drawing>
                <wp:inline distT="0" distB="0" distL="114300" distR="114300">
                  <wp:extent cx="701040" cy="432435"/>
                  <wp:effectExtent l="0" t="0" r="0" b="0"/>
                  <wp:docPr id="40"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88"/>
                          <pic:cNvPicPr>
                            <a:picLocks noChangeAspect="true"/>
                          </pic:cNvPicPr>
                        </pic:nvPicPr>
                        <pic:blipFill>
                          <a:blip r:embed="rId295"/>
                          <a:stretch>
                            <a:fillRect/>
                          </a:stretch>
                        </pic:blipFill>
                        <pic:spPr>
                          <a:xfrm>
                            <a:off x="0" y="0"/>
                            <a:ext cx="701040" cy="432435"/>
                          </a:xfrm>
                          <a:prstGeom prst="rect">
                            <a:avLst/>
                          </a:prstGeom>
                          <a:noFill/>
                          <a:ln>
                            <a:noFill/>
                          </a:ln>
                        </pic:spPr>
                      </pic:pic>
                    </a:graphicData>
                  </a:graphic>
                </wp:inline>
              </w:drawing>
            </w:r>
          </w:p>
        </w:tc>
        <w:tc>
          <w:tcPr>
            <w:tcW w:w="4747" w:type="dxa"/>
            <w:vAlign w:val="center"/>
          </w:tcPr>
          <w:p>
            <w:pPr>
              <w:widowControl w:val="0"/>
              <w:spacing w:line="360" w:lineRule="auto"/>
              <w:jc w:val="right"/>
              <w:rPr>
                <w:rFonts w:ascii="Times New Roman" w:hAnsi="Times New Roman"/>
                <w:szCs w:val="24"/>
              </w:rPr>
            </w:pPr>
            <w:r>
              <w:rPr>
                <w:rFonts w:hint="eastAsia" w:ascii="Times New Roman" w:hAnsi="Times New Roman"/>
                <w:szCs w:val="24"/>
              </w:rPr>
              <w:t>(6.5.1)</w:t>
            </w:r>
          </w:p>
        </w:tc>
      </w:tr>
    </w:tbl>
    <w:p>
      <w:pPr>
        <w:widowControl w:val="0"/>
        <w:spacing w:line="360" w:lineRule="auto"/>
      </w:pPr>
      <w:r>
        <w:rPr>
          <w:rFonts w:hint="eastAsia"/>
        </w:rPr>
        <w:t xml:space="preserve">式中： </w:t>
      </w:r>
      <w:r>
        <w:rPr>
          <w:position w:val="-12"/>
        </w:rPr>
        <w:drawing>
          <wp:inline distT="0" distB="0" distL="114300" distR="114300">
            <wp:extent cx="215900" cy="228600"/>
            <wp:effectExtent l="0" t="0" r="12700" b="0"/>
            <wp:docPr id="33"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89"/>
                    <pic:cNvPicPr>
                      <a:picLocks noChangeAspect="true"/>
                    </pic:cNvPicPr>
                  </pic:nvPicPr>
                  <pic:blipFill>
                    <a:blip r:embed="rId296"/>
                    <a:stretch>
                      <a:fillRect/>
                    </a:stretch>
                  </pic:blipFill>
                  <pic:spPr>
                    <a:xfrm>
                      <a:off x="0" y="0"/>
                      <a:ext cx="215900" cy="228600"/>
                    </a:xfrm>
                    <a:prstGeom prst="rect">
                      <a:avLst/>
                    </a:prstGeom>
                    <a:noFill/>
                    <a:ln>
                      <a:noFill/>
                    </a:ln>
                  </pic:spPr>
                </pic:pic>
              </a:graphicData>
            </a:graphic>
          </wp:inline>
        </w:drawing>
      </w:r>
      <w:r>
        <w:rPr>
          <w:rFonts w:ascii="Times New Roman" w:hAnsi="Times New Roman"/>
          <w:szCs w:val="24"/>
        </w:rPr>
        <w:t>——</w:t>
      </w:r>
      <w:r>
        <w:rPr>
          <w:rFonts w:hint="eastAsia"/>
        </w:rPr>
        <w:t>突涌稳定性安全系数；</w:t>
      </w:r>
      <w:r>
        <w:rPr>
          <w:rFonts w:hint="eastAsia"/>
          <w:i/>
        </w:rPr>
        <w:t xml:space="preserve"> </w:t>
      </w:r>
      <w:r>
        <w:rPr>
          <w:position w:val="-12"/>
        </w:rPr>
        <w:drawing>
          <wp:inline distT="0" distB="0" distL="114300" distR="114300">
            <wp:extent cx="215900" cy="228600"/>
            <wp:effectExtent l="0" t="0" r="12700" b="0"/>
            <wp:docPr id="35"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90"/>
                    <pic:cNvPicPr>
                      <a:picLocks noChangeAspect="true"/>
                    </pic:cNvPicPr>
                  </pic:nvPicPr>
                  <pic:blipFill>
                    <a:blip r:embed="rId296"/>
                    <a:stretch>
                      <a:fillRect/>
                    </a:stretch>
                  </pic:blipFill>
                  <pic:spPr>
                    <a:xfrm>
                      <a:off x="0" y="0"/>
                      <a:ext cx="215900" cy="228600"/>
                    </a:xfrm>
                    <a:prstGeom prst="rect">
                      <a:avLst/>
                    </a:prstGeom>
                    <a:noFill/>
                    <a:ln>
                      <a:noFill/>
                    </a:ln>
                  </pic:spPr>
                </pic:pic>
              </a:graphicData>
            </a:graphic>
          </wp:inline>
        </w:drawing>
      </w:r>
      <w:r>
        <w:rPr>
          <w:rFonts w:hint="eastAsia"/>
        </w:rPr>
        <w:t>不应小于</w:t>
      </w:r>
      <w:r>
        <w:rPr>
          <w:rFonts w:hint="eastAsia" w:ascii="Times New Roman" w:hAnsi="Times New Roman"/>
        </w:rPr>
        <w:t>1</w:t>
      </w:r>
      <w:r>
        <w:rPr>
          <w:rFonts w:hint="eastAsia"/>
        </w:rPr>
        <w:t>.</w:t>
      </w:r>
      <w:r>
        <w:rPr>
          <w:rFonts w:hint="eastAsia" w:ascii="Times New Roman" w:hAnsi="Times New Roman"/>
        </w:rPr>
        <w:t>1</w:t>
      </w:r>
      <w:r>
        <w:rPr>
          <w:rFonts w:hint="eastAsia"/>
        </w:rPr>
        <w:t xml:space="preserve">； </w:t>
      </w:r>
    </w:p>
    <w:p>
      <w:pPr>
        <w:widowControl w:val="0"/>
        <w:tabs>
          <w:tab w:val="left" w:pos="672"/>
          <w:tab w:val="left" w:pos="1036"/>
          <w:tab w:val="left" w:pos="1620"/>
          <w:tab w:val="left" w:pos="2160"/>
          <w:tab w:val="left" w:pos="7020"/>
        </w:tabs>
        <w:spacing w:line="360" w:lineRule="auto"/>
        <w:ind w:firstLine="840" w:firstLineChars="350"/>
      </w:pPr>
      <w:r>
        <w:rPr>
          <w:position w:val="-4"/>
        </w:rPr>
        <w:object>
          <v:shape id="_x0000_i1131" o:spt="75" type="#_x0000_t75" style="height:13.45pt;width:13.45pt;" o:ole="t" filled="f" coordsize="21600,21600">
            <v:path/>
            <v:fill on="f" focussize="0,0"/>
            <v:stroke/>
            <v:imagedata r:id="rId298" o:title=""/>
            <o:lock v:ext="edit" aspectratio="t"/>
            <w10:wrap type="none"/>
            <w10:anchorlock/>
          </v:shape>
          <o:OLEObject Type="Embed" ProgID="Equation.3" ShapeID="_x0000_i1131" DrawAspect="Content" ObjectID="_1468075831" r:id="rId297">
            <o:LockedField>false</o:LockedField>
          </o:OLEObject>
        </w:object>
      </w:r>
      <w:r>
        <w:rPr>
          <w:rFonts w:ascii="Times New Roman" w:hAnsi="Times New Roman"/>
          <w:szCs w:val="24"/>
        </w:rPr>
        <w:t>——</w:t>
      </w:r>
      <w:r>
        <w:rPr>
          <w:rFonts w:hint="eastAsia"/>
        </w:rPr>
        <w:t xml:space="preserve">承压水含水层顶面至坑底的土层厚度 </w:t>
      </w:r>
      <w:r>
        <w:rPr>
          <w:rFonts w:hint="eastAsia" w:ascii="Times New Roman" w:hAnsi="Times New Roman"/>
          <w:sz w:val="21"/>
        </w:rPr>
        <w:t>(m)</w:t>
      </w:r>
      <w:r>
        <w:rPr>
          <w:rFonts w:hint="eastAsia"/>
        </w:rPr>
        <w:t>；</w:t>
      </w:r>
    </w:p>
    <w:p>
      <w:pPr>
        <w:widowControl w:val="0"/>
        <w:tabs>
          <w:tab w:val="left" w:pos="672"/>
          <w:tab w:val="left" w:pos="1036"/>
          <w:tab w:val="left" w:pos="1620"/>
          <w:tab w:val="left" w:pos="2160"/>
          <w:tab w:val="left" w:pos="7020"/>
        </w:tabs>
        <w:spacing w:line="360" w:lineRule="auto"/>
        <w:ind w:left="1553" w:leftChars="347" w:hanging="720" w:hangingChars="300"/>
      </w:pPr>
      <w:r>
        <w:rPr>
          <w:i/>
          <w:position w:val="-10"/>
        </w:rPr>
        <w:object>
          <v:shape id="_x0000_i1132" o:spt="75" type="#_x0000_t75" style="height:13.45pt;width:10.3pt;" o:ole="t" filled="f" coordsize="21600,21600">
            <v:path/>
            <v:fill on="f" focussize="0,0"/>
            <v:stroke/>
            <v:imagedata r:id="rId300" o:title=""/>
            <o:lock v:ext="edit" aspectratio="t"/>
            <w10:wrap type="none"/>
            <w10:anchorlock/>
          </v:shape>
          <o:OLEObject Type="Embed" ProgID="Equation.3" ShapeID="_x0000_i1132" DrawAspect="Content" ObjectID="_1468075832" r:id="rId299">
            <o:LockedField>false</o:LockedField>
          </o:OLEObject>
        </w:object>
      </w:r>
      <w:r>
        <w:rPr>
          <w:rFonts w:ascii="Times New Roman" w:hAnsi="Times New Roman"/>
          <w:szCs w:val="24"/>
        </w:rPr>
        <w:t>——</w:t>
      </w:r>
      <w:r>
        <w:rPr>
          <w:rFonts w:hint="eastAsia"/>
        </w:rPr>
        <w:t xml:space="preserve">承压水含水层顶面至坑底土层的天然重度 </w:t>
      </w:r>
      <w:r>
        <w:rPr>
          <w:rFonts w:hint="eastAsia" w:ascii="Times New Roman" w:hAnsi="Times New Roman"/>
          <w:sz w:val="21"/>
        </w:rPr>
        <w:t>(kN/m</w:t>
      </w:r>
      <w:r>
        <w:rPr>
          <w:rFonts w:hint="eastAsia" w:ascii="Times New Roman" w:hAnsi="Times New Roman"/>
          <w:sz w:val="21"/>
          <w:vertAlign w:val="superscript"/>
        </w:rPr>
        <w:t>3</w:t>
      </w:r>
      <w:r>
        <w:rPr>
          <w:rFonts w:hint="eastAsia" w:ascii="Times New Roman" w:hAnsi="Times New Roman"/>
          <w:sz w:val="21"/>
        </w:rPr>
        <w:t>)</w:t>
      </w:r>
      <w:r>
        <w:rPr>
          <w:rFonts w:hint="eastAsia"/>
        </w:rPr>
        <w:t>；对多层土，取按土层厚度加权的平均天然重度；</w:t>
      </w:r>
    </w:p>
    <w:p>
      <w:pPr>
        <w:widowControl w:val="0"/>
        <w:tabs>
          <w:tab w:val="left" w:pos="672"/>
          <w:tab w:val="left" w:pos="1036"/>
          <w:tab w:val="left" w:pos="1620"/>
          <w:tab w:val="left" w:pos="2160"/>
          <w:tab w:val="left" w:pos="7020"/>
        </w:tabs>
        <w:spacing w:line="360" w:lineRule="auto"/>
        <w:ind w:firstLine="840" w:firstLineChars="350"/>
      </w:pPr>
      <w:r>
        <w:rPr>
          <w:position w:val="-12"/>
        </w:rPr>
        <w:drawing>
          <wp:inline distT="0" distB="0" distL="114300" distR="114300">
            <wp:extent cx="203200" cy="228600"/>
            <wp:effectExtent l="0" t="0" r="0" b="0"/>
            <wp:docPr id="42"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93"/>
                    <pic:cNvPicPr>
                      <a:picLocks noChangeAspect="true"/>
                    </pic:cNvPicPr>
                  </pic:nvPicPr>
                  <pic:blipFill>
                    <a:blip r:embed="rId301"/>
                    <a:stretch>
                      <a:fillRect/>
                    </a:stretch>
                  </pic:blipFill>
                  <pic:spPr>
                    <a:xfrm>
                      <a:off x="0" y="0"/>
                      <a:ext cx="203200" cy="228600"/>
                    </a:xfrm>
                    <a:prstGeom prst="rect">
                      <a:avLst/>
                    </a:prstGeom>
                    <a:noFill/>
                    <a:ln>
                      <a:noFill/>
                    </a:ln>
                  </pic:spPr>
                </pic:pic>
              </a:graphicData>
            </a:graphic>
          </wp:inline>
        </w:drawing>
      </w:r>
      <w:r>
        <w:rPr>
          <w:rFonts w:ascii="Times New Roman" w:hAnsi="Times New Roman"/>
          <w:szCs w:val="24"/>
        </w:rPr>
        <w:t>——</w:t>
      </w:r>
      <w:r>
        <w:rPr>
          <w:rFonts w:hint="eastAsia"/>
        </w:rPr>
        <w:t xml:space="preserve">承压水含水层顶面的压力水头高度 </w:t>
      </w:r>
      <w:r>
        <w:rPr>
          <w:rFonts w:hint="eastAsia" w:ascii="Times New Roman" w:hAnsi="Times New Roman"/>
          <w:sz w:val="21"/>
        </w:rPr>
        <w:t>(m)</w:t>
      </w:r>
      <w:r>
        <w:rPr>
          <w:rFonts w:hint="eastAsia"/>
        </w:rPr>
        <w:t>；</w:t>
      </w:r>
    </w:p>
    <w:p>
      <w:pPr>
        <w:widowControl w:val="0"/>
        <w:tabs>
          <w:tab w:val="left" w:pos="672"/>
          <w:tab w:val="left" w:pos="1036"/>
          <w:tab w:val="left" w:pos="1620"/>
          <w:tab w:val="left" w:pos="2160"/>
          <w:tab w:val="left" w:pos="7020"/>
        </w:tabs>
        <w:spacing w:line="360" w:lineRule="auto"/>
        <w:ind w:firstLine="840" w:firstLineChars="350"/>
      </w:pPr>
      <w:r>
        <w:rPr>
          <w:position w:val="-12"/>
        </w:rPr>
        <w:drawing>
          <wp:inline distT="0" distB="0" distL="114300" distR="114300">
            <wp:extent cx="203200" cy="228600"/>
            <wp:effectExtent l="0" t="0" r="10160" b="0"/>
            <wp:docPr id="34"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94"/>
                    <pic:cNvPicPr>
                      <a:picLocks noChangeAspect="true"/>
                    </pic:cNvPicPr>
                  </pic:nvPicPr>
                  <pic:blipFill>
                    <a:blip r:embed="rId302"/>
                    <a:stretch>
                      <a:fillRect/>
                    </a:stretch>
                  </pic:blipFill>
                  <pic:spPr>
                    <a:xfrm>
                      <a:off x="0" y="0"/>
                      <a:ext cx="203200" cy="228600"/>
                    </a:xfrm>
                    <a:prstGeom prst="rect">
                      <a:avLst/>
                    </a:prstGeom>
                    <a:noFill/>
                    <a:ln>
                      <a:noFill/>
                    </a:ln>
                  </pic:spPr>
                </pic:pic>
              </a:graphicData>
            </a:graphic>
          </wp:inline>
        </w:drawing>
      </w:r>
      <w:r>
        <w:rPr>
          <w:rFonts w:ascii="Times New Roman" w:hAnsi="Times New Roman"/>
          <w:szCs w:val="24"/>
        </w:rPr>
        <w:t>——</w:t>
      </w:r>
      <w:r>
        <w:rPr>
          <w:rFonts w:hint="eastAsia"/>
        </w:rPr>
        <w:t xml:space="preserve">水的重度 </w:t>
      </w:r>
      <w:r>
        <w:rPr>
          <w:rFonts w:hint="eastAsia" w:ascii="Times New Roman" w:hAnsi="Times New Roman"/>
          <w:sz w:val="21"/>
        </w:rPr>
        <w:t>(kN/m</w:t>
      </w:r>
      <w:r>
        <w:rPr>
          <w:rFonts w:hint="eastAsia" w:ascii="Times New Roman" w:hAnsi="Times New Roman"/>
          <w:sz w:val="21"/>
          <w:vertAlign w:val="superscript"/>
        </w:rPr>
        <w:t>3</w:t>
      </w:r>
      <w:r>
        <w:rPr>
          <w:rFonts w:hint="eastAsia" w:ascii="Times New Roman" w:hAnsi="Times New Roman"/>
          <w:sz w:val="21"/>
        </w:rPr>
        <w:t>)</w:t>
      </w:r>
      <w:r>
        <w:rPr>
          <w:rFonts w:hint="eastAsia"/>
        </w:rPr>
        <w:t>。</w:t>
      </w:r>
    </w:p>
    <w:p>
      <w:pPr>
        <w:widowControl w:val="0"/>
        <w:tabs>
          <w:tab w:val="left" w:pos="672"/>
          <w:tab w:val="left" w:pos="1036"/>
          <w:tab w:val="left" w:pos="1620"/>
          <w:tab w:val="left" w:pos="2160"/>
          <w:tab w:val="left" w:pos="7020"/>
        </w:tabs>
        <w:spacing w:line="360" w:lineRule="auto"/>
        <w:rPr>
          <w:rFonts w:hint="eastAsia" w:eastAsia="宋体"/>
          <w:lang w:eastAsia="zh-CN"/>
        </w:rPr>
      </w:pPr>
      <w:r>
        <w:rPr>
          <w:rFonts w:hint="eastAsia" w:ascii="Times New Roman" w:hAnsi="Times New Roman"/>
          <w:b/>
        </w:rPr>
        <w:t>6.5.2</w:t>
      </w:r>
      <w:r>
        <w:rPr>
          <w:rFonts w:hint="eastAsia"/>
          <w:b/>
        </w:rPr>
        <w:t xml:space="preserve"> </w:t>
      </w:r>
      <w:r>
        <w:rPr>
          <w:rFonts w:hint="eastAsia"/>
        </w:rPr>
        <w:t>悬挂式截水帷幕底端位于碎石土、砂土或粉土含水层时，对均质含水层，地下水渗流的流土稳定性应符</w:t>
      </w:r>
      <w:r>
        <w:rPr>
          <w:rFonts w:hint="eastAsia"/>
          <w:color w:val="auto"/>
        </w:rPr>
        <w:t>合式</w:t>
      </w:r>
      <w:r>
        <w:rPr>
          <w:rFonts w:hint="eastAsia" w:eastAsia="宋体"/>
          <w:color w:val="auto"/>
          <w:lang w:eastAsia="zh-CN"/>
        </w:rPr>
        <w:t>（</w:t>
      </w:r>
      <w:r>
        <w:rPr>
          <w:rFonts w:hint="eastAsia" w:ascii="Calibri" w:eastAsia="宋体"/>
          <w:color w:val="auto"/>
          <w:lang w:val="en-US" w:eastAsia="zh-CN"/>
        </w:rPr>
        <w:t>6.5.2</w:t>
      </w:r>
      <w:r>
        <w:rPr>
          <w:rFonts w:hint="eastAsia" w:eastAsia="宋体"/>
          <w:color w:val="auto"/>
          <w:lang w:eastAsia="zh-CN"/>
        </w:rPr>
        <w:t>）</w:t>
      </w:r>
      <w:r>
        <w:rPr>
          <w:rFonts w:hint="eastAsia"/>
        </w:rPr>
        <w:t>规定，对渗透系数不同的非均质含水层，宜采用数值方法进行渗流稳定性分析。采用悬挂式帷幕截水时的流土稳定性验算</w:t>
      </w:r>
      <w:r>
        <w:rPr>
          <w:rFonts w:hint="eastAsia" w:ascii="Calibri" w:eastAsia="宋体"/>
          <w:lang w:val="en-US" w:eastAsia="zh-CN"/>
        </w:rPr>
        <w:t>示意</w:t>
      </w:r>
      <w:r>
        <w:rPr>
          <w:rFonts w:hint="eastAsia"/>
        </w:rPr>
        <w:t>（图</w:t>
      </w:r>
      <w:r>
        <w:rPr>
          <w:rFonts w:hint="eastAsia" w:ascii="Times New Roman" w:hAnsi="Times New Roman"/>
        </w:rPr>
        <w:t>6</w:t>
      </w:r>
      <w:r>
        <w:rPr>
          <w:rFonts w:hint="eastAsia"/>
        </w:rPr>
        <w:t>.</w:t>
      </w:r>
      <w:r>
        <w:rPr>
          <w:rFonts w:hint="eastAsia" w:ascii="Times New Roman" w:hAnsi="Times New Roman"/>
        </w:rPr>
        <w:t>5</w:t>
      </w:r>
      <w:r>
        <w:rPr>
          <w:rFonts w:hint="eastAsia"/>
        </w:rPr>
        <w:t>.</w:t>
      </w:r>
      <w:r>
        <w:rPr>
          <w:rFonts w:hint="eastAsia" w:ascii="Times New Roman" w:hAnsi="Times New Roman"/>
        </w:rPr>
        <w:t>2</w:t>
      </w:r>
      <w:r>
        <w:rPr>
          <w:rFonts w:hint="eastAsia"/>
        </w:rPr>
        <w:t>）</w:t>
      </w:r>
      <w:r>
        <w:rPr>
          <w:rFonts w:hint="eastAsia" w:eastAsia="宋体"/>
          <w:lang w:eastAsia="zh-CN"/>
        </w:rPr>
        <w:t>。</w:t>
      </w:r>
    </w:p>
    <w:p>
      <w:pPr>
        <w:widowControl w:val="0"/>
        <w:tabs>
          <w:tab w:val="left" w:pos="672"/>
          <w:tab w:val="left" w:pos="1036"/>
          <w:tab w:val="left" w:pos="1620"/>
          <w:tab w:val="left" w:pos="2160"/>
          <w:tab w:val="left" w:pos="7020"/>
        </w:tabs>
        <w:spacing w:line="360" w:lineRule="auto"/>
      </w:pPr>
      <w:r>
        <w:rPr>
          <w:rFonts w:ascii="Times New Roman" w:hAnsi="Times New Roman"/>
          <w:b/>
          <w:szCs w:val="28"/>
        </w:rPr>
        <w:drawing>
          <wp:inline distT="0" distB="0" distL="114300" distR="114300">
            <wp:extent cx="6115685" cy="2328545"/>
            <wp:effectExtent l="0" t="0" r="10795" b="3175"/>
            <wp:docPr id="36"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95"/>
                    <pic:cNvPicPr>
                      <a:picLocks noChangeAspect="true"/>
                    </pic:cNvPicPr>
                  </pic:nvPicPr>
                  <pic:blipFill>
                    <a:blip r:embed="rId303"/>
                    <a:srcRect t="4750" b="4054"/>
                    <a:stretch>
                      <a:fillRect/>
                    </a:stretch>
                  </pic:blipFill>
                  <pic:spPr>
                    <a:xfrm>
                      <a:off x="0" y="0"/>
                      <a:ext cx="6115685" cy="2328545"/>
                    </a:xfrm>
                    <a:prstGeom prst="rect">
                      <a:avLst/>
                    </a:prstGeom>
                    <a:noFill/>
                    <a:ln>
                      <a:noFill/>
                    </a:ln>
                  </pic:spPr>
                </pic:pic>
              </a:graphicData>
            </a:graphic>
          </wp:inline>
        </w:drawing>
      </w:r>
    </w:p>
    <w:p>
      <w:pPr>
        <w:widowControl w:val="0"/>
        <w:spacing w:line="480" w:lineRule="exact"/>
        <w:ind w:firstLine="2047" w:firstLineChars="850"/>
        <w:rPr>
          <w:rFonts w:ascii="Times New Roman" w:hAnsi="Times New Roman"/>
          <w:sz w:val="21"/>
          <w:szCs w:val="21"/>
        </w:rPr>
      </w:pPr>
      <w:r>
        <w:rPr>
          <w:rFonts w:hint="eastAsia" w:ascii="Times New Roman" w:hAnsi="Times New Roman"/>
          <w:b/>
          <w:szCs w:val="28"/>
        </w:rPr>
        <w:t xml:space="preserve"> </w:t>
      </w:r>
      <w:r>
        <w:rPr>
          <w:rFonts w:hint="eastAsia" w:ascii="Times New Roman" w:hAnsi="Times New Roman"/>
          <w:sz w:val="21"/>
          <w:szCs w:val="21"/>
        </w:rPr>
        <w:t>（a）潜水                                  （b）承压水</w:t>
      </w:r>
    </w:p>
    <w:p>
      <w:pPr>
        <w:widowControl w:val="0"/>
        <w:spacing w:line="480" w:lineRule="exact"/>
        <w:jc w:val="center"/>
        <w:rPr>
          <w:rFonts w:ascii="Times New Roman" w:hAnsi="Times New Roman"/>
          <w:sz w:val="21"/>
          <w:szCs w:val="21"/>
        </w:rPr>
      </w:pPr>
      <w:r>
        <w:rPr>
          <w:rFonts w:hint="eastAsia" w:ascii="Times New Roman" w:hAnsi="Times New Roman"/>
          <w:sz w:val="21"/>
          <w:szCs w:val="21"/>
        </w:rPr>
        <w:t>图6.5.2  采用悬挂式帷幕截水时的流土稳定性验算</w:t>
      </w:r>
    </w:p>
    <w:p>
      <w:pPr>
        <w:widowControl w:val="0"/>
        <w:spacing w:line="480" w:lineRule="exact"/>
        <w:ind w:left="720" w:leftChars="300" w:firstLine="2625" w:firstLineChars="1250"/>
        <w:rPr>
          <w:rFonts w:ascii="Times New Roman" w:hAnsi="Times New Roman"/>
          <w:sz w:val="21"/>
          <w:szCs w:val="21"/>
        </w:rPr>
      </w:pPr>
      <w:r>
        <w:rPr>
          <w:rFonts w:hint="eastAsia" w:ascii="Times New Roman" w:hAnsi="Times New Roman"/>
          <w:sz w:val="21"/>
          <w:szCs w:val="21"/>
        </w:rPr>
        <w:t>1-截水帷幕； 2-基坑底面； 3-含水层；</w:t>
      </w:r>
    </w:p>
    <w:p>
      <w:pPr>
        <w:widowControl w:val="0"/>
        <w:spacing w:line="480" w:lineRule="exact"/>
        <w:ind w:left="360"/>
        <w:jc w:val="center"/>
        <w:rPr>
          <w:rFonts w:ascii="Times New Roman" w:hAnsi="Times New Roman"/>
          <w:sz w:val="21"/>
          <w:szCs w:val="21"/>
        </w:rPr>
      </w:pPr>
      <w:r>
        <w:rPr>
          <w:rFonts w:hint="eastAsia" w:ascii="Times New Roman" w:hAnsi="Times New Roman"/>
          <w:sz w:val="21"/>
          <w:szCs w:val="21"/>
        </w:rPr>
        <w:t>4-潜水水位； 5-承压水测管水位； 6-承压水含水层顶面</w:t>
      </w:r>
    </w:p>
    <w:tbl>
      <w:tblPr>
        <w:tblStyle w:val="32"/>
        <w:tblW w:w="0" w:type="auto"/>
        <w:tblInd w:w="360" w:type="dxa"/>
        <w:tblLayout w:type="fixed"/>
        <w:tblCellMar>
          <w:top w:w="0" w:type="dxa"/>
          <w:left w:w="108" w:type="dxa"/>
          <w:bottom w:w="0" w:type="dxa"/>
          <w:right w:w="108" w:type="dxa"/>
        </w:tblCellMar>
      </w:tblPr>
      <w:tblGrid>
        <w:gridCol w:w="5844"/>
        <w:gridCol w:w="3650"/>
      </w:tblGrid>
      <w:tr>
        <w:tblPrEx>
          <w:tblCellMar>
            <w:top w:w="0" w:type="dxa"/>
            <w:left w:w="108" w:type="dxa"/>
            <w:bottom w:w="0" w:type="dxa"/>
            <w:right w:w="108" w:type="dxa"/>
          </w:tblCellMar>
        </w:tblPrEx>
        <w:tc>
          <w:tcPr>
            <w:tcW w:w="5844" w:type="dxa"/>
            <w:vAlign w:val="center"/>
          </w:tcPr>
          <w:p>
            <w:pPr>
              <w:widowControl w:val="0"/>
              <w:spacing w:line="360" w:lineRule="auto"/>
              <w:jc w:val="right"/>
            </w:pPr>
            <w:r>
              <w:rPr>
                <w:position w:val="-30"/>
              </w:rPr>
              <w:drawing>
                <wp:inline distT="0" distB="0" distL="114300" distR="114300">
                  <wp:extent cx="1263015" cy="424815"/>
                  <wp:effectExtent l="0" t="0" r="0" b="0"/>
                  <wp:docPr id="43"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96"/>
                          <pic:cNvPicPr>
                            <a:picLocks noChangeAspect="true"/>
                          </pic:cNvPicPr>
                        </pic:nvPicPr>
                        <pic:blipFill>
                          <a:blip r:embed="rId304"/>
                          <a:stretch>
                            <a:fillRect/>
                          </a:stretch>
                        </pic:blipFill>
                        <pic:spPr>
                          <a:xfrm>
                            <a:off x="0" y="0"/>
                            <a:ext cx="1263015" cy="424815"/>
                          </a:xfrm>
                          <a:prstGeom prst="rect">
                            <a:avLst/>
                          </a:prstGeom>
                          <a:noFill/>
                          <a:ln>
                            <a:noFill/>
                          </a:ln>
                        </pic:spPr>
                      </pic:pic>
                    </a:graphicData>
                  </a:graphic>
                </wp:inline>
              </w:drawing>
            </w:r>
          </w:p>
        </w:tc>
        <w:tc>
          <w:tcPr>
            <w:tcW w:w="3650" w:type="dxa"/>
            <w:vAlign w:val="center"/>
          </w:tcPr>
          <w:p>
            <w:pPr>
              <w:widowControl w:val="0"/>
              <w:spacing w:line="360" w:lineRule="auto"/>
              <w:jc w:val="right"/>
              <w:rPr>
                <w:rFonts w:ascii="Times New Roman" w:hAnsi="Times New Roman"/>
              </w:rPr>
            </w:pPr>
            <w:r>
              <w:rPr>
                <w:rFonts w:hint="eastAsia" w:ascii="Times New Roman" w:hAnsi="Times New Roman"/>
              </w:rPr>
              <w:t>(</w:t>
            </w:r>
            <w:r>
              <w:rPr>
                <w:rFonts w:ascii="Times New Roman" w:hAnsi="Times New Roman"/>
              </w:rPr>
              <w:t>6.5.2</w:t>
            </w:r>
            <w:r>
              <w:rPr>
                <w:rFonts w:hint="eastAsia" w:ascii="Times New Roman" w:hAnsi="Times New Roman"/>
              </w:rPr>
              <w:t>)</w:t>
            </w:r>
          </w:p>
        </w:tc>
      </w:tr>
    </w:tbl>
    <w:p>
      <w:pPr>
        <w:widowControl w:val="0"/>
        <w:tabs>
          <w:tab w:val="left" w:pos="672"/>
          <w:tab w:val="left" w:pos="1036"/>
          <w:tab w:val="left" w:pos="1620"/>
          <w:tab w:val="left" w:pos="2160"/>
          <w:tab w:val="left" w:pos="7020"/>
        </w:tabs>
        <w:spacing w:line="360" w:lineRule="auto"/>
        <w:ind w:left="1699" w:leftChars="58" w:hanging="1560" w:hangingChars="650"/>
      </w:pPr>
      <w:r>
        <w:rPr>
          <w:rFonts w:hint="eastAsia"/>
        </w:rPr>
        <w:t>式中：</w:t>
      </w:r>
      <w:r>
        <w:rPr>
          <w:position w:val="-14"/>
        </w:rPr>
        <w:drawing>
          <wp:inline distT="0" distB="0" distL="114300" distR="114300">
            <wp:extent cx="228600" cy="241300"/>
            <wp:effectExtent l="0" t="0" r="0" b="1905"/>
            <wp:docPr id="38" name="图片 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97"/>
                    <pic:cNvPicPr>
                      <a:picLocks noChangeAspect="true"/>
                    </pic:cNvPicPr>
                  </pic:nvPicPr>
                  <pic:blipFill>
                    <a:blip r:embed="rId305"/>
                    <a:stretch>
                      <a:fillRect/>
                    </a:stretch>
                  </pic:blipFill>
                  <pic:spPr>
                    <a:xfrm>
                      <a:off x="0" y="0"/>
                      <a:ext cx="228600" cy="241300"/>
                    </a:xfrm>
                    <a:prstGeom prst="rect">
                      <a:avLst/>
                    </a:prstGeom>
                    <a:noFill/>
                    <a:ln>
                      <a:noFill/>
                    </a:ln>
                  </pic:spPr>
                </pic:pic>
              </a:graphicData>
            </a:graphic>
          </wp:inline>
        </w:drawing>
      </w:r>
      <w:r>
        <w:rPr>
          <w:rFonts w:ascii="Times New Roman" w:hAnsi="Times New Roman"/>
          <w:szCs w:val="24"/>
        </w:rPr>
        <w:t>——</w:t>
      </w:r>
      <w:r>
        <w:rPr>
          <w:rFonts w:hint="eastAsia"/>
        </w:rPr>
        <w:t>流土稳定性安全系数；</w:t>
      </w:r>
      <w:r>
        <w:rPr>
          <w:rFonts w:hint="eastAsia" w:ascii="Times New Roman" w:hAnsi="Times New Roman"/>
          <w:szCs w:val="24"/>
        </w:rPr>
        <w:t>基坑工程</w:t>
      </w:r>
      <w:r>
        <w:rPr>
          <w:rFonts w:hint="eastAsia"/>
        </w:rPr>
        <w:t>安全等级为一、二、三级的支挡结构，</w:t>
      </w:r>
      <w:r>
        <w:rPr>
          <w:position w:val="-14"/>
        </w:rPr>
        <w:drawing>
          <wp:inline distT="0" distB="0" distL="114300" distR="114300">
            <wp:extent cx="228600" cy="241300"/>
            <wp:effectExtent l="0" t="0" r="0" b="1905"/>
            <wp:docPr id="37"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98"/>
                    <pic:cNvPicPr>
                      <a:picLocks noChangeAspect="true"/>
                    </pic:cNvPicPr>
                  </pic:nvPicPr>
                  <pic:blipFill>
                    <a:blip r:embed="rId305"/>
                    <a:stretch>
                      <a:fillRect/>
                    </a:stretch>
                  </pic:blipFill>
                  <pic:spPr>
                    <a:xfrm>
                      <a:off x="0" y="0"/>
                      <a:ext cx="228600" cy="241300"/>
                    </a:xfrm>
                    <a:prstGeom prst="rect">
                      <a:avLst/>
                    </a:prstGeom>
                    <a:noFill/>
                    <a:ln>
                      <a:noFill/>
                    </a:ln>
                  </pic:spPr>
                </pic:pic>
              </a:graphicData>
            </a:graphic>
          </wp:inline>
        </w:drawing>
      </w:r>
      <w:r>
        <w:rPr>
          <w:rFonts w:hint="eastAsia"/>
        </w:rPr>
        <w:t>分别不应小于</w:t>
      </w:r>
      <w:r>
        <w:rPr>
          <w:rFonts w:hint="eastAsia" w:ascii="Times New Roman" w:hAnsi="Times New Roman"/>
        </w:rPr>
        <w:t>1</w:t>
      </w:r>
      <w:r>
        <w:rPr>
          <w:rFonts w:hint="eastAsia"/>
        </w:rPr>
        <w:t>.</w:t>
      </w:r>
      <w:r>
        <w:rPr>
          <w:rFonts w:hint="eastAsia" w:ascii="Times New Roman" w:hAnsi="Times New Roman"/>
        </w:rPr>
        <w:t>6</w:t>
      </w:r>
      <w:r>
        <w:rPr>
          <w:rFonts w:hint="eastAsia"/>
        </w:rPr>
        <w:t>、</w:t>
      </w:r>
      <w:r>
        <w:rPr>
          <w:rFonts w:hint="eastAsia" w:ascii="Times New Roman" w:hAnsi="Times New Roman"/>
        </w:rPr>
        <w:t>1</w:t>
      </w:r>
      <w:r>
        <w:rPr>
          <w:rFonts w:hint="eastAsia"/>
        </w:rPr>
        <w:t>.</w:t>
      </w:r>
      <w:r>
        <w:rPr>
          <w:rFonts w:hint="eastAsia" w:ascii="Times New Roman" w:hAnsi="Times New Roman"/>
        </w:rPr>
        <w:t>5</w:t>
      </w:r>
      <w:r>
        <w:rPr>
          <w:rFonts w:hint="eastAsia"/>
        </w:rPr>
        <w:t>、</w:t>
      </w:r>
      <w:r>
        <w:rPr>
          <w:rFonts w:hint="eastAsia" w:ascii="Times New Roman" w:hAnsi="Times New Roman"/>
        </w:rPr>
        <w:t>1</w:t>
      </w:r>
      <w:r>
        <w:rPr>
          <w:rFonts w:hint="eastAsia"/>
        </w:rPr>
        <w:t>.</w:t>
      </w:r>
      <w:r>
        <w:rPr>
          <w:rFonts w:hint="eastAsia" w:ascii="Times New Roman" w:hAnsi="Times New Roman"/>
        </w:rPr>
        <w:t>4</w:t>
      </w:r>
      <w:r>
        <w:rPr>
          <w:rFonts w:hint="eastAsia"/>
        </w:rPr>
        <w:t xml:space="preserve">； </w:t>
      </w:r>
    </w:p>
    <w:p>
      <w:pPr>
        <w:widowControl w:val="0"/>
        <w:tabs>
          <w:tab w:val="left" w:pos="672"/>
          <w:tab w:val="left" w:pos="1036"/>
          <w:tab w:val="left" w:pos="1620"/>
          <w:tab w:val="left" w:pos="2160"/>
          <w:tab w:val="left" w:pos="7020"/>
        </w:tabs>
        <w:spacing w:line="360" w:lineRule="auto"/>
        <w:ind w:firstLine="960" w:firstLineChars="400"/>
      </w:pPr>
      <w:r>
        <w:rPr>
          <w:position w:val="-12"/>
        </w:rPr>
        <w:drawing>
          <wp:inline distT="0" distB="0" distL="114300" distR="114300">
            <wp:extent cx="179070" cy="297180"/>
            <wp:effectExtent l="0" t="0" r="0" b="0"/>
            <wp:docPr id="3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99"/>
                    <pic:cNvPicPr>
                      <a:picLocks noChangeAspect="true"/>
                    </pic:cNvPicPr>
                  </pic:nvPicPr>
                  <pic:blipFill>
                    <a:blip r:embed="rId306"/>
                    <a:stretch>
                      <a:fillRect/>
                    </a:stretch>
                  </pic:blipFill>
                  <pic:spPr>
                    <a:xfrm>
                      <a:off x="0" y="0"/>
                      <a:ext cx="179070" cy="297180"/>
                    </a:xfrm>
                    <a:prstGeom prst="rect">
                      <a:avLst/>
                    </a:prstGeom>
                    <a:noFill/>
                    <a:ln>
                      <a:noFill/>
                    </a:ln>
                  </pic:spPr>
                </pic:pic>
              </a:graphicData>
            </a:graphic>
          </wp:inline>
        </w:drawing>
      </w:r>
      <w:r>
        <w:rPr>
          <w:rFonts w:ascii="Times New Roman" w:hAnsi="Times New Roman"/>
          <w:szCs w:val="24"/>
        </w:rPr>
        <w:t>——</w:t>
      </w:r>
      <w:r>
        <w:rPr>
          <w:rFonts w:hint="eastAsia"/>
        </w:rPr>
        <w:t xml:space="preserve">截水帷幕在坑底以下的插入深度 </w:t>
      </w:r>
      <w:r>
        <w:rPr>
          <w:rFonts w:hint="eastAsia" w:ascii="Times New Roman" w:hAnsi="Times New Roman"/>
          <w:sz w:val="21"/>
        </w:rPr>
        <w:t>(m)</w:t>
      </w:r>
      <w:r>
        <w:rPr>
          <w:rFonts w:hint="eastAsia"/>
        </w:rPr>
        <w:t>；</w:t>
      </w:r>
    </w:p>
    <w:p>
      <w:pPr>
        <w:widowControl w:val="0"/>
        <w:tabs>
          <w:tab w:val="left" w:pos="1036"/>
          <w:tab w:val="left" w:pos="1260"/>
          <w:tab w:val="left" w:pos="1620"/>
          <w:tab w:val="left" w:pos="2160"/>
          <w:tab w:val="left" w:pos="7020"/>
        </w:tabs>
        <w:spacing w:line="360" w:lineRule="auto"/>
        <w:ind w:firstLine="960" w:firstLineChars="400"/>
      </w:pPr>
      <w:r>
        <w:rPr>
          <w:i/>
          <w:position w:val="-10"/>
        </w:rPr>
        <w:object>
          <v:shape id="_x0000_i1133" o:spt="75" type="#_x0000_t75" style="height:16.6pt;width:15.05pt;" o:ole="t" filled="f" coordsize="21600,21600">
            <v:path/>
            <v:fill on="f" focussize="0,0"/>
            <v:stroke/>
            <v:imagedata r:id="rId308" o:title=""/>
            <o:lock v:ext="edit" aspectratio="t"/>
            <w10:wrap type="none"/>
            <w10:anchorlock/>
          </v:shape>
          <o:OLEObject Type="Embed" ProgID="Equation.3" ShapeID="_x0000_i1133" DrawAspect="Content" ObjectID="_1468075833" r:id="rId307">
            <o:LockedField>false</o:LockedField>
          </o:OLEObject>
        </w:object>
      </w:r>
      <w:r>
        <w:rPr>
          <w:rFonts w:ascii="Times New Roman" w:hAnsi="Times New Roman"/>
          <w:szCs w:val="24"/>
        </w:rPr>
        <w:t>——</w:t>
      </w:r>
      <w:r>
        <w:rPr>
          <w:rFonts w:hint="eastAsia"/>
        </w:rPr>
        <w:t xml:space="preserve">潜水面或承压水含水层顶面至基坑底面的土层厚度 </w:t>
      </w:r>
      <w:r>
        <w:rPr>
          <w:rFonts w:hint="eastAsia" w:ascii="Times New Roman" w:hAnsi="Times New Roman"/>
          <w:sz w:val="21"/>
        </w:rPr>
        <w:t>(m)</w:t>
      </w:r>
      <w:r>
        <w:rPr>
          <w:rFonts w:hint="eastAsia"/>
        </w:rPr>
        <w:t>；</w:t>
      </w:r>
    </w:p>
    <w:p>
      <w:pPr>
        <w:widowControl w:val="0"/>
        <w:tabs>
          <w:tab w:val="left" w:pos="672"/>
          <w:tab w:val="left" w:pos="1036"/>
          <w:tab w:val="left" w:pos="1620"/>
          <w:tab w:val="left" w:pos="2160"/>
          <w:tab w:val="left" w:pos="7020"/>
        </w:tabs>
        <w:spacing w:line="360" w:lineRule="auto"/>
        <w:ind w:firstLine="960" w:firstLineChars="400"/>
      </w:pPr>
      <w:r>
        <w:rPr>
          <w:position w:val="-10"/>
        </w:rPr>
        <w:drawing>
          <wp:inline distT="0" distB="0" distL="114300" distR="114300">
            <wp:extent cx="165100" cy="203200"/>
            <wp:effectExtent l="0" t="0" r="0" b="10795"/>
            <wp:docPr id="41" name="图片 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01"/>
                    <pic:cNvPicPr>
                      <a:picLocks noChangeAspect="true"/>
                    </pic:cNvPicPr>
                  </pic:nvPicPr>
                  <pic:blipFill>
                    <a:blip r:embed="rId309"/>
                    <a:stretch>
                      <a:fillRect/>
                    </a:stretch>
                  </pic:blipFill>
                  <pic:spPr>
                    <a:xfrm>
                      <a:off x="0" y="0"/>
                      <a:ext cx="165100" cy="203200"/>
                    </a:xfrm>
                    <a:prstGeom prst="rect">
                      <a:avLst/>
                    </a:prstGeom>
                    <a:noFill/>
                    <a:ln>
                      <a:noFill/>
                    </a:ln>
                  </pic:spPr>
                </pic:pic>
              </a:graphicData>
            </a:graphic>
          </wp:inline>
        </w:drawing>
      </w:r>
      <w:r>
        <w:rPr>
          <w:rFonts w:ascii="Times New Roman" w:hAnsi="Times New Roman"/>
          <w:szCs w:val="24"/>
        </w:rPr>
        <w:t>——</w:t>
      </w:r>
      <w:r>
        <w:rPr>
          <w:rFonts w:hint="eastAsia"/>
        </w:rPr>
        <w:t xml:space="preserve">土的浮重度 </w:t>
      </w:r>
      <w:r>
        <w:rPr>
          <w:rFonts w:hint="eastAsia" w:ascii="Times New Roman" w:hAnsi="Times New Roman"/>
          <w:sz w:val="21"/>
        </w:rPr>
        <w:t>(kN/m</w:t>
      </w:r>
      <w:r>
        <w:rPr>
          <w:rFonts w:hint="eastAsia" w:ascii="Times New Roman" w:hAnsi="Times New Roman"/>
          <w:sz w:val="21"/>
          <w:vertAlign w:val="superscript"/>
        </w:rPr>
        <w:t>3</w:t>
      </w:r>
      <w:r>
        <w:rPr>
          <w:rFonts w:hint="eastAsia" w:ascii="Times New Roman" w:hAnsi="Times New Roman"/>
          <w:sz w:val="21"/>
        </w:rPr>
        <w:t>)</w:t>
      </w:r>
      <w:r>
        <w:rPr>
          <w:rFonts w:hint="eastAsia"/>
        </w:rPr>
        <w:t>；</w:t>
      </w:r>
    </w:p>
    <w:p>
      <w:pPr>
        <w:widowControl w:val="0"/>
        <w:tabs>
          <w:tab w:val="left" w:pos="672"/>
          <w:tab w:val="left" w:pos="1036"/>
          <w:tab w:val="left" w:pos="1620"/>
          <w:tab w:val="left" w:pos="2160"/>
          <w:tab w:val="left" w:pos="7020"/>
        </w:tabs>
        <w:spacing w:line="360" w:lineRule="auto"/>
        <w:ind w:firstLine="840" w:firstLineChars="350"/>
      </w:pPr>
      <w:r>
        <w:rPr>
          <w:position w:val="-6"/>
        </w:rPr>
        <w:drawing>
          <wp:inline distT="0" distB="0" distL="114300" distR="114300">
            <wp:extent cx="215900" cy="177165"/>
            <wp:effectExtent l="0" t="0" r="12700" b="0"/>
            <wp:docPr id="44"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02"/>
                    <pic:cNvPicPr>
                      <a:picLocks noChangeAspect="true"/>
                    </pic:cNvPicPr>
                  </pic:nvPicPr>
                  <pic:blipFill>
                    <a:blip r:embed="rId310"/>
                    <a:stretch>
                      <a:fillRect/>
                    </a:stretch>
                  </pic:blipFill>
                  <pic:spPr>
                    <a:xfrm>
                      <a:off x="0" y="0"/>
                      <a:ext cx="215900" cy="177165"/>
                    </a:xfrm>
                    <a:prstGeom prst="rect">
                      <a:avLst/>
                    </a:prstGeom>
                    <a:noFill/>
                    <a:ln>
                      <a:noFill/>
                    </a:ln>
                  </pic:spPr>
                </pic:pic>
              </a:graphicData>
            </a:graphic>
          </wp:inline>
        </w:drawing>
      </w:r>
      <w:r>
        <w:rPr>
          <w:rFonts w:ascii="Times New Roman" w:hAnsi="Times New Roman"/>
          <w:szCs w:val="24"/>
        </w:rPr>
        <w:t>——</w:t>
      </w:r>
      <w:r>
        <w:rPr>
          <w:rFonts w:hint="eastAsia"/>
        </w:rPr>
        <w:t xml:space="preserve">基坑内外的水头差 </w:t>
      </w:r>
      <w:r>
        <w:rPr>
          <w:rFonts w:hint="eastAsia" w:ascii="Times New Roman" w:hAnsi="Times New Roman"/>
          <w:sz w:val="21"/>
        </w:rPr>
        <w:t>(m)</w:t>
      </w:r>
      <w:r>
        <w:rPr>
          <w:rFonts w:hint="eastAsia"/>
        </w:rPr>
        <w:t>；</w:t>
      </w:r>
    </w:p>
    <w:p>
      <w:pPr>
        <w:widowControl w:val="0"/>
        <w:tabs>
          <w:tab w:val="left" w:pos="672"/>
          <w:tab w:val="left" w:pos="1036"/>
          <w:tab w:val="left" w:pos="1620"/>
          <w:tab w:val="left" w:pos="2160"/>
          <w:tab w:val="left" w:pos="7020"/>
        </w:tabs>
        <w:spacing w:line="360" w:lineRule="auto"/>
        <w:ind w:firstLine="840" w:firstLineChars="350"/>
      </w:pPr>
      <w:r>
        <w:rPr>
          <w:position w:val="-12"/>
        </w:rPr>
        <w:drawing>
          <wp:inline distT="0" distB="0" distL="114300" distR="114300">
            <wp:extent cx="203200" cy="228600"/>
            <wp:effectExtent l="0" t="0" r="10160" b="0"/>
            <wp:docPr id="31" name="图片 1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03"/>
                    <pic:cNvPicPr>
                      <a:picLocks noChangeAspect="true"/>
                    </pic:cNvPicPr>
                  </pic:nvPicPr>
                  <pic:blipFill>
                    <a:blip r:embed="rId302"/>
                    <a:stretch>
                      <a:fillRect/>
                    </a:stretch>
                  </pic:blipFill>
                  <pic:spPr>
                    <a:xfrm>
                      <a:off x="0" y="0"/>
                      <a:ext cx="203200" cy="228600"/>
                    </a:xfrm>
                    <a:prstGeom prst="rect">
                      <a:avLst/>
                    </a:prstGeom>
                    <a:noFill/>
                    <a:ln>
                      <a:noFill/>
                    </a:ln>
                  </pic:spPr>
                </pic:pic>
              </a:graphicData>
            </a:graphic>
          </wp:inline>
        </w:drawing>
      </w:r>
      <w:r>
        <w:rPr>
          <w:rFonts w:ascii="Times New Roman" w:hAnsi="Times New Roman"/>
          <w:szCs w:val="24"/>
        </w:rPr>
        <w:t>———</w:t>
      </w:r>
      <w:r>
        <w:rPr>
          <w:rFonts w:hint="eastAsia"/>
        </w:rPr>
        <w:t xml:space="preserve">水的重度 </w:t>
      </w:r>
      <w:r>
        <w:rPr>
          <w:rFonts w:hint="eastAsia" w:ascii="Times New Roman" w:hAnsi="Times New Roman"/>
          <w:sz w:val="21"/>
        </w:rPr>
        <w:t>(kN/m</w:t>
      </w:r>
      <w:r>
        <w:rPr>
          <w:rFonts w:hint="eastAsia" w:ascii="Times New Roman" w:hAnsi="Times New Roman"/>
          <w:sz w:val="21"/>
          <w:vertAlign w:val="superscript"/>
        </w:rPr>
        <w:t>3</w:t>
      </w:r>
      <w:r>
        <w:rPr>
          <w:rFonts w:hint="eastAsia" w:ascii="Times New Roman" w:hAnsi="Times New Roman"/>
          <w:sz w:val="21"/>
        </w:rPr>
        <w:t>)</w:t>
      </w:r>
      <w:r>
        <w:rPr>
          <w:rFonts w:hint="eastAsia"/>
        </w:rPr>
        <w:t>。</w:t>
      </w:r>
    </w:p>
    <w:p>
      <w:pPr>
        <w:widowControl w:val="0"/>
        <w:tabs>
          <w:tab w:val="left" w:pos="672"/>
          <w:tab w:val="left" w:pos="1036"/>
          <w:tab w:val="left" w:pos="1620"/>
          <w:tab w:val="left" w:pos="2160"/>
          <w:tab w:val="left" w:pos="7020"/>
        </w:tabs>
        <w:spacing w:line="480" w:lineRule="exact"/>
      </w:pPr>
      <w:r>
        <w:rPr>
          <w:rFonts w:ascii="Times New Roman" w:hAnsi="Times New Roman"/>
          <w:b/>
        </w:rPr>
        <w:t>6.5.3</w:t>
      </w:r>
      <w:r>
        <w:rPr>
          <w:rFonts w:hint="eastAsia" w:ascii="Times New Roman" w:hAnsi="Times New Roman"/>
          <w:b/>
        </w:rPr>
        <w:t xml:space="preserve"> </w:t>
      </w:r>
      <w:r>
        <w:rPr>
          <w:rFonts w:hint="eastAsia"/>
        </w:rPr>
        <w:t>坑底以下为级配不连续的不均匀砂土、碎石土含水层时，应进行土的管涌可能性判别。</w:t>
      </w:r>
    </w:p>
    <w:p>
      <w:pPr>
        <w:spacing w:line="360" w:lineRule="auto"/>
        <w:jc w:val="left"/>
      </w:pPr>
    </w:p>
    <w:p>
      <w:pPr>
        <w:jc w:val="left"/>
        <w:rPr>
          <w:rFonts w:ascii="Cambria" w:hAnsi="Cambria"/>
          <w:b/>
          <w:bCs/>
          <w:sz w:val="32"/>
          <w:szCs w:val="32"/>
        </w:rPr>
      </w:pPr>
      <w:r>
        <w:br w:type="page"/>
      </w:r>
      <w:bookmarkStart w:id="324" w:name="_Toc388643552"/>
      <w:bookmarkStart w:id="325" w:name="_Toc381951592"/>
      <w:bookmarkStart w:id="326" w:name="_Toc388643435"/>
      <w:bookmarkStart w:id="327" w:name="_Toc385581704"/>
      <w:bookmarkStart w:id="328" w:name="_Toc384310071"/>
      <w:bookmarkStart w:id="329" w:name="_Toc384300278"/>
      <w:bookmarkStart w:id="330" w:name="_Toc384300130"/>
      <w:bookmarkStart w:id="331" w:name="_Toc381950757"/>
      <w:bookmarkStart w:id="332" w:name="_Toc384304358"/>
      <w:bookmarkStart w:id="333" w:name="_Toc381951397"/>
      <w:bookmarkStart w:id="334" w:name="_Toc382559736"/>
      <w:bookmarkStart w:id="335" w:name="_Toc385518831"/>
      <w:bookmarkStart w:id="336" w:name="_Toc385576928"/>
      <w:bookmarkStart w:id="337" w:name="_Toc384309850"/>
      <w:bookmarkStart w:id="338" w:name="_Toc381951013"/>
      <w:bookmarkStart w:id="339" w:name="_Toc382559898"/>
      <w:bookmarkStart w:id="340" w:name="_Toc367261480"/>
      <w:bookmarkStart w:id="341" w:name="_Toc364431767"/>
      <w:bookmarkStart w:id="342" w:name="_Toc363547178"/>
      <w:bookmarkStart w:id="343" w:name="_Toc363548488"/>
      <w:bookmarkStart w:id="344" w:name="_Toc363803536"/>
      <w:bookmarkStart w:id="345" w:name="_Toc364930770"/>
      <w:bookmarkStart w:id="346" w:name="_Toc375039694"/>
      <w:bookmarkStart w:id="347" w:name="_Toc363199056"/>
      <w:bookmarkStart w:id="348" w:name="_Toc364680568"/>
      <w:bookmarkStart w:id="349" w:name="_Toc364772953"/>
      <w:bookmarkStart w:id="350" w:name="_Toc363133994"/>
      <w:bookmarkStart w:id="351" w:name="_Toc363566474"/>
    </w:p>
    <w:p>
      <w:pPr>
        <w:pStyle w:val="2"/>
        <w:bidi w:val="0"/>
      </w:pPr>
      <w:bookmarkStart w:id="352" w:name="_Toc31843"/>
      <w:bookmarkStart w:id="353" w:name="_Toc1699"/>
      <w:bookmarkStart w:id="354" w:name="_Toc25085"/>
      <w:r>
        <w:rPr>
          <w:rFonts w:hint="eastAsia" w:ascii="Times New Roman" w:hAnsi="Times New Roman"/>
        </w:rPr>
        <w:t>7</w:t>
      </w:r>
      <w:r>
        <w:rPr>
          <w:rFonts w:hint="eastAsia"/>
        </w:rPr>
        <w:t xml:space="preserve">  支护结构选型</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52"/>
      <w:bookmarkEnd w:id="353"/>
      <w:bookmarkEnd w:id="354"/>
    </w:p>
    <w:p>
      <w:pPr>
        <w:pStyle w:val="3"/>
        <w:bidi w:val="0"/>
      </w:pPr>
      <w:bookmarkStart w:id="355" w:name="_Toc385576929"/>
      <w:bookmarkStart w:id="356" w:name="_Toc385581705"/>
      <w:bookmarkStart w:id="357" w:name="_Toc381950758"/>
      <w:bookmarkStart w:id="358" w:name="_Toc388643553"/>
      <w:bookmarkStart w:id="359" w:name="_Toc382559899"/>
      <w:bookmarkStart w:id="360" w:name="_Toc31891"/>
      <w:bookmarkStart w:id="361" w:name="_Toc382559737"/>
      <w:bookmarkStart w:id="362" w:name="_Toc381951593"/>
      <w:bookmarkStart w:id="363" w:name="_Toc6782"/>
      <w:bookmarkStart w:id="364" w:name="_Toc385518832"/>
      <w:bookmarkStart w:id="365" w:name="_Toc23710"/>
      <w:bookmarkStart w:id="366" w:name="_Toc384309851"/>
      <w:bookmarkStart w:id="367" w:name="_Toc381951398"/>
      <w:bookmarkStart w:id="368" w:name="_Toc381951014"/>
      <w:bookmarkStart w:id="369" w:name="_Toc384300279"/>
      <w:bookmarkStart w:id="370" w:name="_Toc388643436"/>
      <w:bookmarkStart w:id="371" w:name="_Toc384310072"/>
      <w:bookmarkStart w:id="372" w:name="_Toc384304359"/>
      <w:bookmarkStart w:id="373" w:name="_Toc384300131"/>
      <w:r>
        <w:rPr>
          <w:rFonts w:hint="eastAsia"/>
        </w:rPr>
        <w:t>7.1  一般规定</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End w:id="340"/>
    <w:bookmarkEnd w:id="341"/>
    <w:bookmarkEnd w:id="342"/>
    <w:bookmarkEnd w:id="343"/>
    <w:bookmarkEnd w:id="344"/>
    <w:bookmarkEnd w:id="345"/>
    <w:bookmarkEnd w:id="346"/>
    <w:bookmarkEnd w:id="347"/>
    <w:bookmarkEnd w:id="348"/>
    <w:bookmarkEnd w:id="349"/>
    <w:bookmarkEnd w:id="350"/>
    <w:bookmarkEnd w:id="351"/>
    <w:p>
      <w:pPr>
        <w:widowControl w:val="0"/>
        <w:spacing w:line="480" w:lineRule="exact"/>
        <w:rPr>
          <w:rFonts w:ascii="Times New Roman" w:hAnsi="Times New Roman" w:eastAsia="宋体" w:cs="Times New Roman"/>
          <w:sz w:val="24"/>
        </w:rPr>
      </w:pPr>
      <w:bookmarkStart w:id="374" w:name="_Toc388643554"/>
      <w:bookmarkStart w:id="375" w:name="_Toc385576930"/>
      <w:bookmarkStart w:id="376" w:name="_Toc382559900"/>
      <w:bookmarkStart w:id="377" w:name="_Toc385581706"/>
      <w:bookmarkStart w:id="378" w:name="_Toc384304360"/>
      <w:bookmarkStart w:id="379" w:name="_Toc388643437"/>
      <w:bookmarkStart w:id="380" w:name="_Toc381951594"/>
      <w:bookmarkStart w:id="381" w:name="_Toc381951399"/>
      <w:bookmarkStart w:id="382" w:name="_Toc6734"/>
      <w:bookmarkStart w:id="383" w:name="_Toc384310073"/>
      <w:bookmarkStart w:id="384" w:name="_Toc385518833"/>
      <w:bookmarkStart w:id="385" w:name="_Toc382559738"/>
      <w:bookmarkStart w:id="386" w:name="_Toc384300132"/>
      <w:bookmarkStart w:id="387" w:name="_Toc384300280"/>
      <w:bookmarkStart w:id="388" w:name="_Toc384309852"/>
      <w:bookmarkStart w:id="389" w:name="_Toc381950759"/>
      <w:bookmarkStart w:id="390" w:name="_Toc381951015"/>
      <w:bookmarkStart w:id="391" w:name="_Toc363548492"/>
      <w:bookmarkStart w:id="392" w:name="_Toc388643439"/>
      <w:bookmarkStart w:id="393" w:name="_Toc364680572"/>
      <w:bookmarkStart w:id="394" w:name="_Toc381951596"/>
      <w:bookmarkStart w:id="395" w:name="_Toc363803540"/>
      <w:bookmarkStart w:id="396" w:name="_Toc363566478"/>
      <w:bookmarkStart w:id="397" w:name="_Toc381951017"/>
      <w:bookmarkStart w:id="398" w:name="_Toc381951401"/>
      <w:bookmarkStart w:id="399" w:name="_Toc381950761"/>
      <w:bookmarkStart w:id="400" w:name="_Toc384309854"/>
      <w:bookmarkStart w:id="401" w:name="_Toc367261484"/>
      <w:bookmarkStart w:id="402" w:name="_Toc382559902"/>
      <w:bookmarkStart w:id="403" w:name="_Toc388643556"/>
      <w:bookmarkStart w:id="404" w:name="_Toc384310075"/>
      <w:bookmarkStart w:id="405" w:name="_Toc364772957"/>
      <w:bookmarkStart w:id="406" w:name="_Toc385518835"/>
      <w:bookmarkStart w:id="407" w:name="_Toc385576932"/>
      <w:bookmarkStart w:id="408" w:name="_Toc385581708"/>
      <w:bookmarkStart w:id="409" w:name="_Toc363199060"/>
      <w:bookmarkStart w:id="410" w:name="_Toc384304362"/>
      <w:bookmarkStart w:id="411" w:name="_Toc364930774"/>
      <w:bookmarkStart w:id="412" w:name="_Toc384300134"/>
      <w:bookmarkStart w:id="413" w:name="_Toc363547182"/>
      <w:bookmarkStart w:id="414" w:name="_Toc375039698"/>
      <w:bookmarkStart w:id="415" w:name="_Toc382559740"/>
      <w:bookmarkStart w:id="416" w:name="_Toc364431771"/>
      <w:bookmarkStart w:id="417" w:name="_Toc384300282"/>
      <w:bookmarkStart w:id="418" w:name="_Toc363133998"/>
      <w:r>
        <w:rPr>
          <w:rFonts w:hint="eastAsia" w:ascii="Times New Roman" w:hAnsi="Times New Roman" w:eastAsia="宋体" w:cs="Times New Roman"/>
          <w:b/>
          <w:sz w:val="24"/>
          <w:szCs w:val="28"/>
        </w:rPr>
        <w:t xml:space="preserve">7.1.1 </w:t>
      </w:r>
      <w:r>
        <w:rPr>
          <w:rFonts w:hint="eastAsia" w:ascii="Times New Roman" w:hAnsi="Times New Roman" w:eastAsia="宋体" w:cs="Times New Roman"/>
          <w:sz w:val="24"/>
          <w:szCs w:val="28"/>
        </w:rPr>
        <w:t>支护结</w:t>
      </w:r>
      <w:r>
        <w:rPr>
          <w:rFonts w:hint="eastAsia" w:ascii="Times New Roman" w:hAnsi="Times New Roman" w:eastAsia="宋体" w:cs="Times New Roman"/>
          <w:sz w:val="24"/>
        </w:rPr>
        <w:t>构选型时，应综合考虑下列因素：</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1 基坑开挖深度；</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2场地工程地质与水文地质条件；</w:t>
      </w:r>
    </w:p>
    <w:p>
      <w:pPr>
        <w:widowControl w:val="0"/>
        <w:spacing w:line="480" w:lineRule="exact"/>
        <w:ind w:firstLine="480"/>
        <w:rPr>
          <w:rFonts w:ascii="Times New Roman" w:hAnsi="Times New Roman" w:eastAsia="宋体" w:cs="Times New Roman"/>
          <w:sz w:val="24"/>
          <w:szCs w:val="28"/>
        </w:rPr>
      </w:pPr>
      <w:r>
        <w:rPr>
          <w:rFonts w:ascii="Times New Roman" w:hAnsi="Times New Roman" w:eastAsia="宋体" w:cs="Times New Roman"/>
          <w:sz w:val="24"/>
          <w:szCs w:val="28"/>
        </w:rPr>
        <w:t xml:space="preserve">3 </w:t>
      </w:r>
      <w:r>
        <w:rPr>
          <w:rFonts w:hint="eastAsia" w:ascii="Times New Roman" w:hAnsi="Times New Roman" w:eastAsia="宋体" w:cs="Times New Roman"/>
          <w:sz w:val="24"/>
          <w:szCs w:val="28"/>
        </w:rPr>
        <w:t>基坑周边环境条件（包括</w:t>
      </w:r>
      <w:r>
        <w:rPr>
          <w:rFonts w:ascii="Times New Roman" w:hAnsi="Times New Roman" w:eastAsia="宋体" w:cs="Times New Roman"/>
          <w:sz w:val="24"/>
          <w:szCs w:val="28"/>
        </w:rPr>
        <w:t>基坑内工程桩条件）</w:t>
      </w:r>
      <w:r>
        <w:rPr>
          <w:rFonts w:hint="eastAsia" w:ascii="Times New Roman" w:hAnsi="Times New Roman" w:eastAsia="宋体" w:cs="Times New Roman"/>
          <w:sz w:val="24"/>
          <w:szCs w:val="28"/>
        </w:rPr>
        <w:t>及对变形的承受能力；</w:t>
      </w:r>
    </w:p>
    <w:p>
      <w:pPr>
        <w:widowControl w:val="0"/>
        <w:spacing w:line="480" w:lineRule="exact"/>
        <w:ind w:firstLine="480"/>
        <w:rPr>
          <w:rFonts w:ascii="Times New Roman" w:hAnsi="Times New Roman" w:eastAsia="宋体" w:cs="Times New Roman"/>
          <w:sz w:val="24"/>
          <w:szCs w:val="28"/>
        </w:rPr>
      </w:pPr>
      <w:r>
        <w:rPr>
          <w:rFonts w:ascii="Times New Roman" w:hAnsi="Times New Roman" w:eastAsia="宋体" w:cs="Times New Roman"/>
          <w:sz w:val="24"/>
          <w:szCs w:val="28"/>
        </w:rPr>
        <w:t xml:space="preserve">4 </w:t>
      </w:r>
      <w:r>
        <w:rPr>
          <w:rFonts w:hint="eastAsia" w:ascii="Times New Roman" w:hAnsi="Times New Roman" w:eastAsia="宋体" w:cs="Times New Roman"/>
          <w:sz w:val="24"/>
          <w:szCs w:val="28"/>
        </w:rPr>
        <w:t>主体地下结构和基础形式、施工顺序与</w:t>
      </w:r>
      <w:r>
        <w:rPr>
          <w:rFonts w:ascii="Times New Roman" w:hAnsi="Times New Roman" w:eastAsia="宋体" w:cs="Times New Roman"/>
          <w:sz w:val="24"/>
          <w:szCs w:val="28"/>
        </w:rPr>
        <w:t>方法</w:t>
      </w:r>
      <w:r>
        <w:rPr>
          <w:rFonts w:hint="eastAsia" w:ascii="Times New Roman" w:hAnsi="Times New Roman" w:eastAsia="宋体" w:cs="Times New Roman"/>
          <w:sz w:val="24"/>
          <w:szCs w:val="28"/>
        </w:rPr>
        <w:t>、基坑平面形状及尺寸；</w:t>
      </w:r>
    </w:p>
    <w:p>
      <w:pPr>
        <w:widowControl w:val="0"/>
        <w:spacing w:line="480" w:lineRule="exact"/>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5 支护结构的空间效应和受力特点、支护结构材料的受力性状、支护结构施工工艺的可行性；</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6 施工条件及施工季节；</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7 当地的工程经验；</w:t>
      </w:r>
    </w:p>
    <w:p>
      <w:pPr>
        <w:widowControl w:val="0"/>
        <w:spacing w:line="480" w:lineRule="exact"/>
        <w:ind w:firstLine="480"/>
        <w:rPr>
          <w:rFonts w:ascii="Times New Roman" w:hAnsi="Times New Roman" w:eastAsia="宋体" w:cs="Times New Roman"/>
          <w:sz w:val="24"/>
          <w:szCs w:val="28"/>
        </w:rPr>
      </w:pPr>
      <w:r>
        <w:rPr>
          <w:rFonts w:ascii="Times New Roman" w:hAnsi="Times New Roman" w:eastAsia="宋体" w:cs="Times New Roman"/>
          <w:sz w:val="24"/>
          <w:szCs w:val="28"/>
        </w:rPr>
        <w:t xml:space="preserve">8 </w:t>
      </w:r>
      <w:r>
        <w:rPr>
          <w:rFonts w:hint="eastAsia" w:ascii="Times New Roman" w:hAnsi="Times New Roman" w:eastAsia="宋体" w:cs="Times New Roman"/>
          <w:sz w:val="24"/>
          <w:szCs w:val="28"/>
        </w:rPr>
        <w:t>经济指标、环保水平和施工工期。</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b/>
          <w:sz w:val="24"/>
          <w:szCs w:val="28"/>
        </w:rPr>
        <w:t xml:space="preserve">7.1.2 </w:t>
      </w:r>
      <w:r>
        <w:rPr>
          <w:rFonts w:hint="eastAsia" w:ascii="Times New Roman" w:hAnsi="Times New Roman" w:eastAsia="宋体" w:cs="Times New Roman"/>
          <w:sz w:val="24"/>
          <w:szCs w:val="28"/>
        </w:rPr>
        <w:t>经综合分析比较，选择安全可靠，技术可行，施工方便，经济合理的支护结构形式。</w:t>
      </w:r>
    </w:p>
    <w:p>
      <w:pPr>
        <w:keepNext/>
        <w:keepLines/>
        <w:widowControl/>
        <w:spacing w:line="416" w:lineRule="auto"/>
        <w:jc w:val="center"/>
        <w:outlineLvl w:val="1"/>
        <w:rPr>
          <w:rFonts w:ascii="Cambria" w:hAnsi="Cambria" w:eastAsia="宋体" w:cs="Times New Roman"/>
          <w:b/>
          <w:bCs/>
          <w:sz w:val="32"/>
          <w:szCs w:val="32"/>
        </w:rPr>
      </w:pPr>
      <w:bookmarkStart w:id="419" w:name="_Toc25140"/>
      <w:bookmarkStart w:id="420" w:name="_Toc16484"/>
      <w:r>
        <w:rPr>
          <w:rFonts w:hint="eastAsia" w:ascii="Cambria" w:hAnsi="Cambria" w:eastAsia="宋体" w:cs="Times New Roman"/>
          <w:b/>
          <w:bCs/>
          <w:sz w:val="32"/>
          <w:szCs w:val="32"/>
        </w:rPr>
        <w:t>7.2  现场周边环境</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419"/>
      <w:bookmarkEnd w:id="420"/>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b/>
          <w:sz w:val="24"/>
          <w:szCs w:val="28"/>
        </w:rPr>
        <w:t>7.2.1</w:t>
      </w:r>
      <w:r>
        <w:rPr>
          <w:rFonts w:hint="eastAsia" w:ascii="Times New Roman" w:hAnsi="Times New Roman" w:eastAsia="宋体" w:cs="Times New Roman"/>
          <w:sz w:val="24"/>
          <w:szCs w:val="28"/>
        </w:rPr>
        <w:t xml:space="preserve"> 支护结构选型前，应考虑基坑周边2倍开挖深度范围内下列周边环境条件：</w:t>
      </w:r>
    </w:p>
    <w:p>
      <w:pPr>
        <w:widowControl w:val="0"/>
        <w:spacing w:line="480" w:lineRule="exact"/>
        <w:ind w:firstLine="480"/>
        <w:rPr>
          <w:rFonts w:ascii="Times New Roman" w:hAnsi="Times New Roman" w:eastAsia="宋体" w:cs="Times New Roman"/>
          <w:sz w:val="24"/>
          <w:szCs w:val="28"/>
        </w:rPr>
      </w:pPr>
      <w:r>
        <w:rPr>
          <w:rFonts w:hint="eastAsia" w:ascii="Times New Roman" w:hAnsi="Times New Roman" w:eastAsia="宋体" w:cs="Times New Roman"/>
          <w:sz w:val="24"/>
          <w:szCs w:val="28"/>
        </w:rPr>
        <w:t>1 既有建（构）筑物的结构类型、层数、位置、基础形式和尺寸、埋深、使用年限、用途等；</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2 各种既有地下管线、地下构筑物的类型、位置、尺寸、埋深、使用年限、用途等；对既有供水、污水、雨水等地下输水管线，尚应包括其使用状况及渗漏状况；</w:t>
      </w:r>
    </w:p>
    <w:p>
      <w:pPr>
        <w:widowControl w:val="0"/>
        <w:spacing w:line="480" w:lineRule="exact"/>
        <w:ind w:firstLine="480"/>
        <w:rPr>
          <w:rFonts w:ascii="Times New Roman" w:hAnsi="Times New Roman" w:eastAsia="宋体" w:cs="Times New Roman"/>
          <w:sz w:val="24"/>
          <w:szCs w:val="28"/>
        </w:rPr>
      </w:pPr>
      <w:r>
        <w:rPr>
          <w:rFonts w:hint="eastAsia" w:ascii="Times New Roman" w:hAnsi="Times New Roman" w:eastAsia="宋体" w:cs="Times New Roman"/>
          <w:sz w:val="24"/>
          <w:szCs w:val="28"/>
        </w:rPr>
        <w:t>3 道路的类型、位置、宽度、车辆行驶情况、最大车辆荷载等；</w:t>
      </w:r>
    </w:p>
    <w:p>
      <w:pPr>
        <w:widowControl w:val="0"/>
        <w:spacing w:line="480" w:lineRule="exact"/>
        <w:ind w:firstLine="480"/>
        <w:rPr>
          <w:rFonts w:ascii="Times New Roman" w:hAnsi="Times New Roman" w:eastAsia="宋体" w:cs="Times New Roman"/>
          <w:sz w:val="24"/>
          <w:szCs w:val="28"/>
        </w:rPr>
      </w:pPr>
      <w:r>
        <w:rPr>
          <w:rFonts w:ascii="Times New Roman" w:hAnsi="Times New Roman" w:eastAsia="宋体" w:cs="Times New Roman"/>
          <w:sz w:val="24"/>
          <w:szCs w:val="28"/>
        </w:rPr>
        <w:t>4</w:t>
      </w:r>
      <w:r>
        <w:rPr>
          <w:rFonts w:hint="eastAsia" w:ascii="Times New Roman" w:hAnsi="Times New Roman" w:eastAsia="宋体" w:cs="Times New Roman"/>
          <w:sz w:val="24"/>
          <w:szCs w:val="28"/>
        </w:rPr>
        <w:t xml:space="preserve"> 地下轨道交通设施及其运营情况、变形控制等要求；</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5 调查确定基坑开挖与支护结构设计工作年限内施工材料、施工设备等施工荷载的情况；</w:t>
      </w:r>
    </w:p>
    <w:p>
      <w:pPr>
        <w:widowControl w:val="0"/>
        <w:spacing w:line="480" w:lineRule="exact"/>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6 雨季时场地周围地表水汇流和排泄条件，地表水的入渗对土层性状影响的状况；</w:t>
      </w:r>
    </w:p>
    <w:p>
      <w:pPr>
        <w:widowControl w:val="0"/>
        <w:spacing w:line="480" w:lineRule="exact"/>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7 拟建、已建及同期施工的相邻建设工程基坑工程的支护方法。</w:t>
      </w:r>
    </w:p>
    <w:p>
      <w:pPr>
        <w:widowControl w:val="0"/>
        <w:spacing w:line="480" w:lineRule="exact"/>
        <w:rPr>
          <w:rFonts w:ascii="Times New Roman" w:hAnsi="Times New Roman" w:eastAsia="宋体" w:cs="Times New Roman"/>
          <w:sz w:val="24"/>
          <w:szCs w:val="28"/>
        </w:rPr>
      </w:pPr>
      <w:r>
        <w:rPr>
          <w:rFonts w:hint="eastAsia" w:ascii="Times New Roman" w:hAnsi="Times New Roman" w:eastAsia="宋体" w:cs="Times New Roman"/>
          <w:b/>
          <w:sz w:val="24"/>
          <w:szCs w:val="28"/>
        </w:rPr>
        <w:t>7.2.2</w:t>
      </w:r>
      <w:r>
        <w:rPr>
          <w:rFonts w:hint="eastAsia" w:ascii="Times New Roman" w:hAnsi="Times New Roman" w:eastAsia="宋体" w:cs="Times New Roman"/>
          <w:sz w:val="24"/>
          <w:szCs w:val="28"/>
        </w:rPr>
        <w:t xml:space="preserve"> 当在2</w:t>
      </w:r>
      <w:r>
        <w:rPr>
          <w:rFonts w:hint="eastAsia" w:ascii="Times New Roman" w:hAnsi="Times New Roman" w:cs="Times New Roman"/>
          <w:sz w:val="24"/>
          <w:szCs w:val="28"/>
          <w:lang w:val="en-US" w:eastAsia="zh-CN"/>
        </w:rPr>
        <w:t>倍</w:t>
      </w:r>
      <w:r>
        <w:rPr>
          <w:rFonts w:hint="eastAsia" w:ascii="Times New Roman" w:hAnsi="Times New Roman" w:eastAsia="宋体" w:cs="Times New Roman"/>
          <w:sz w:val="24"/>
          <w:szCs w:val="28"/>
        </w:rPr>
        <w:t>~3倍开挖深度范围内有优秀历史建筑、精密仪器与设备的厂房、轨道交通设施、隧道、防汛设施、自来水总管、煤气总管等重要建（构）筑物设施时尚应调查这些被保护对象的状况。</w:t>
      </w:r>
    </w:p>
    <w:p>
      <w:pPr>
        <w:keepNext/>
        <w:keepLines/>
        <w:widowControl/>
        <w:spacing w:line="416" w:lineRule="auto"/>
        <w:jc w:val="center"/>
        <w:outlineLvl w:val="1"/>
        <w:rPr>
          <w:rFonts w:ascii="Cambria" w:hAnsi="Cambria" w:eastAsia="宋体" w:cs="Times New Roman"/>
          <w:b/>
          <w:bCs/>
          <w:sz w:val="32"/>
          <w:szCs w:val="32"/>
        </w:rPr>
      </w:pPr>
      <w:bookmarkStart w:id="421" w:name="_Toc384300281"/>
      <w:bookmarkStart w:id="422" w:name="_Toc384310074"/>
      <w:bookmarkStart w:id="423" w:name="_Toc384300133"/>
      <w:bookmarkStart w:id="424" w:name="_Toc385518834"/>
      <w:bookmarkStart w:id="425" w:name="_Toc2227"/>
      <w:bookmarkStart w:id="426" w:name="_Toc381951016"/>
      <w:bookmarkStart w:id="427" w:name="_Toc388643438"/>
      <w:bookmarkStart w:id="428" w:name="_Toc382559739"/>
      <w:bookmarkStart w:id="429" w:name="_Toc384309853"/>
      <w:bookmarkStart w:id="430" w:name="_Toc381950760"/>
      <w:bookmarkStart w:id="431" w:name="_Toc3070"/>
      <w:bookmarkStart w:id="432" w:name="_Toc388643555"/>
      <w:bookmarkStart w:id="433" w:name="_Toc385581707"/>
      <w:bookmarkStart w:id="434" w:name="_Toc381951595"/>
      <w:bookmarkStart w:id="435" w:name="_Toc381951400"/>
      <w:bookmarkStart w:id="436" w:name="_Toc24375"/>
      <w:bookmarkStart w:id="437" w:name="_Toc385576931"/>
      <w:bookmarkStart w:id="438" w:name="_Toc382559901"/>
      <w:bookmarkStart w:id="439" w:name="_Toc384304361"/>
      <w:r>
        <w:rPr>
          <w:rFonts w:hint="eastAsia" w:ascii="Cambria" w:hAnsi="Cambria" w:eastAsia="宋体" w:cs="Times New Roman"/>
          <w:b/>
          <w:bCs/>
          <w:sz w:val="32"/>
          <w:szCs w:val="32"/>
        </w:rPr>
        <w:t>7.3  支护结构和适用条件</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widowControl w:val="0"/>
        <w:spacing w:line="500" w:lineRule="exact"/>
        <w:rPr>
          <w:rFonts w:ascii="Times New Roman" w:hAnsi="Times New Roman" w:eastAsia="宋体" w:cs="Times New Roman"/>
          <w:sz w:val="24"/>
          <w:szCs w:val="28"/>
        </w:rPr>
      </w:pPr>
      <w:r>
        <w:rPr>
          <w:rFonts w:ascii="Times New Roman" w:hAnsi="Times New Roman" w:eastAsia="宋体" w:cs="Times New Roman"/>
          <w:b/>
          <w:sz w:val="24"/>
          <w:szCs w:val="28"/>
        </w:rPr>
        <w:t xml:space="preserve">7.3.1 </w:t>
      </w:r>
      <w:r>
        <w:rPr>
          <w:rFonts w:hint="eastAsia" w:ascii="Times New Roman" w:hAnsi="Times New Roman" w:eastAsia="宋体" w:cs="Times New Roman"/>
          <w:sz w:val="24"/>
          <w:szCs w:val="28"/>
        </w:rPr>
        <w:t>支护结构的类型、适用条件可按表</w:t>
      </w:r>
      <w:r>
        <w:rPr>
          <w:rFonts w:ascii="Times New Roman" w:hAnsi="Times New Roman" w:eastAsia="宋体" w:cs="Times New Roman"/>
          <w:sz w:val="24"/>
          <w:szCs w:val="28"/>
        </w:rPr>
        <w:t>7.3.1</w:t>
      </w:r>
      <w:r>
        <w:rPr>
          <w:rFonts w:hint="eastAsia" w:ascii="Times New Roman" w:hAnsi="Times New Roman" w:eastAsia="宋体" w:cs="Times New Roman"/>
          <w:sz w:val="24"/>
          <w:szCs w:val="28"/>
        </w:rPr>
        <w:t>选用。</w:t>
      </w:r>
    </w:p>
    <w:p>
      <w:pPr>
        <w:widowControl/>
        <w:spacing w:line="500" w:lineRule="exact"/>
        <w:jc w:val="center"/>
        <w:rPr>
          <w:rFonts w:ascii="Calibri" w:hAnsi="Calibri" w:eastAsia="宋体" w:cs="Times New Roman"/>
          <w:b/>
          <w:bCs/>
          <w:sz w:val="24"/>
        </w:rPr>
      </w:pPr>
      <w:r>
        <w:rPr>
          <w:rFonts w:hint="eastAsia" w:ascii="Calibri" w:hAnsi="Calibri" w:eastAsia="宋体" w:cs="Times New Roman"/>
          <w:b/>
          <w:bCs/>
          <w:sz w:val="24"/>
        </w:rPr>
        <w:t>表7.3.1  支护结构类型及适用条件</w:t>
      </w:r>
    </w:p>
    <w:p>
      <w:pPr>
        <w:widowControl/>
        <w:jc w:val="left"/>
        <w:rPr>
          <w:rFonts w:ascii="Calibri" w:hAnsi="Calibri" w:eastAsia="宋体" w:cs="Times New Roman"/>
          <w:b/>
          <w:bCs/>
          <w:sz w:val="24"/>
        </w:rPr>
      </w:pPr>
    </w:p>
    <w:tbl>
      <w:tblPr>
        <w:tblStyle w:val="32"/>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540"/>
        <w:gridCol w:w="5453"/>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721" w:type="dxa"/>
            <w:gridSpan w:val="2"/>
            <w:vMerge w:val="restart"/>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结构类型</w:t>
            </w:r>
          </w:p>
        </w:tc>
        <w:tc>
          <w:tcPr>
            <w:tcW w:w="5453"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适 用 条 件</w:t>
            </w:r>
          </w:p>
        </w:tc>
        <w:tc>
          <w:tcPr>
            <w:tcW w:w="1073" w:type="dxa"/>
            <w:vMerge w:val="restart"/>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安全</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721" w:type="dxa"/>
            <w:gridSpan w:val="2"/>
            <w:vMerge w:val="continue"/>
            <w:vAlign w:val="center"/>
          </w:tcPr>
          <w:p>
            <w:pPr>
              <w:widowControl w:val="0"/>
              <w:jc w:val="center"/>
              <w:rPr>
                <w:rFonts w:ascii="Times New Roman" w:hAnsi="Times New Roman" w:eastAsia="宋体" w:cs="Times New Roman"/>
                <w:sz w:val="21"/>
                <w:szCs w:val="21"/>
              </w:rPr>
            </w:pPr>
          </w:p>
        </w:tc>
        <w:tc>
          <w:tcPr>
            <w:tcW w:w="5453"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基坑深度、环境条件、土类和地下水条件</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181" w:type="dxa"/>
            <w:vMerge w:val="restart"/>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支挡结构</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（排桩、钢板桩、型钢水泥土搅拌墙、地下连续墙）</w:t>
            </w: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锚拉结构</w:t>
            </w:r>
          </w:p>
        </w:tc>
        <w:tc>
          <w:tcPr>
            <w:tcW w:w="5453" w:type="dxa"/>
            <w:vAlign w:val="center"/>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适用于较深的基坑；当锚杆施工会造成基坑周边建（构）筑物的损害或违反城市地下空间规划等规定时，不应采用锚拉结构</w:t>
            </w:r>
          </w:p>
        </w:tc>
        <w:tc>
          <w:tcPr>
            <w:tcW w:w="1073" w:type="dxa"/>
            <w:vMerge w:val="restart"/>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一级</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二级</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1" w:hRule="atLeast"/>
          <w:jc w:val="center"/>
        </w:trPr>
        <w:tc>
          <w:tcPr>
            <w:tcW w:w="1181" w:type="dxa"/>
            <w:vMerge w:val="continue"/>
            <w:vAlign w:val="center"/>
          </w:tcPr>
          <w:p>
            <w:pPr>
              <w:widowControl w:val="0"/>
              <w:jc w:val="center"/>
              <w:rPr>
                <w:rFonts w:ascii="Times New Roman" w:hAnsi="Times New Roman" w:eastAsia="宋体" w:cs="Times New Roman"/>
                <w:sz w:val="21"/>
                <w:szCs w:val="21"/>
              </w:rPr>
            </w:pP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内支撑结构</w:t>
            </w:r>
          </w:p>
        </w:tc>
        <w:tc>
          <w:tcPr>
            <w:tcW w:w="5453" w:type="dxa"/>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适用于较深的基坑；当变形控制要求严格时宜选用</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181" w:type="dxa"/>
            <w:vMerge w:val="continue"/>
            <w:vAlign w:val="center"/>
          </w:tcPr>
          <w:p>
            <w:pPr>
              <w:widowControl w:val="0"/>
              <w:jc w:val="center"/>
              <w:rPr>
                <w:rFonts w:ascii="Times New Roman" w:hAnsi="Times New Roman" w:eastAsia="宋体" w:cs="Times New Roman"/>
                <w:sz w:val="21"/>
                <w:szCs w:val="21"/>
              </w:rPr>
            </w:pP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悬臂结构</w:t>
            </w:r>
          </w:p>
        </w:tc>
        <w:tc>
          <w:tcPr>
            <w:tcW w:w="5453" w:type="dxa"/>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适用于较浅的基坑；当变形制要求严格时或存在较厚软土地层时不</w:t>
            </w:r>
            <w:r>
              <w:rPr>
                <w:rFonts w:ascii="Times New Roman" w:hAnsi="Times New Roman" w:eastAsia="宋体" w:cs="Times New Roman"/>
                <w:sz w:val="21"/>
                <w:szCs w:val="21"/>
              </w:rPr>
              <w:t>宜</w:t>
            </w:r>
            <w:r>
              <w:rPr>
                <w:rFonts w:hint="eastAsia" w:ascii="Times New Roman" w:hAnsi="Times New Roman" w:eastAsia="宋体" w:cs="Times New Roman"/>
                <w:sz w:val="21"/>
                <w:szCs w:val="21"/>
              </w:rPr>
              <w:t>选</w:t>
            </w:r>
            <w:r>
              <w:rPr>
                <w:rFonts w:ascii="Times New Roman" w:hAnsi="Times New Roman" w:eastAsia="宋体" w:cs="Times New Roman"/>
                <w:sz w:val="21"/>
                <w:szCs w:val="21"/>
              </w:rPr>
              <w:t>用</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81" w:type="dxa"/>
            <w:vMerge w:val="continue"/>
            <w:vAlign w:val="center"/>
          </w:tcPr>
          <w:p>
            <w:pPr>
              <w:widowControl w:val="0"/>
              <w:jc w:val="center"/>
              <w:rPr>
                <w:rFonts w:ascii="Times New Roman" w:hAnsi="Times New Roman" w:eastAsia="宋体" w:cs="Times New Roman"/>
                <w:sz w:val="21"/>
                <w:szCs w:val="21"/>
              </w:rPr>
            </w:pP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pacing w:val="-6"/>
                <w:sz w:val="21"/>
                <w:szCs w:val="21"/>
              </w:rPr>
              <w:t>逆作结构</w:t>
            </w:r>
          </w:p>
        </w:tc>
        <w:tc>
          <w:tcPr>
            <w:tcW w:w="5453" w:type="dxa"/>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适用于周边环境条件很复杂、</w:t>
            </w:r>
            <w:r>
              <w:rPr>
                <w:rFonts w:ascii="Times New Roman" w:hAnsi="Times New Roman" w:eastAsia="宋体" w:cs="Times New Roman"/>
                <w:sz w:val="21"/>
                <w:szCs w:val="21"/>
              </w:rPr>
              <w:t>面积较大、开挖深度</w:t>
            </w:r>
            <w:r>
              <w:rPr>
                <w:rFonts w:hint="eastAsia" w:ascii="Times New Roman" w:hAnsi="Times New Roman" w:eastAsia="宋体" w:cs="Times New Roman"/>
                <w:sz w:val="21"/>
                <w:szCs w:val="21"/>
              </w:rPr>
              <w:t>较大或</w:t>
            </w:r>
            <w:r>
              <w:rPr>
                <w:rFonts w:ascii="Times New Roman" w:hAnsi="Times New Roman" w:eastAsia="宋体" w:cs="Times New Roman"/>
                <w:sz w:val="21"/>
                <w:szCs w:val="21"/>
              </w:rPr>
              <w:t>形状</w:t>
            </w:r>
            <w:r>
              <w:rPr>
                <w:rFonts w:hint="eastAsia" w:ascii="Times New Roman" w:hAnsi="Times New Roman" w:eastAsia="宋体" w:cs="Times New Roman"/>
                <w:sz w:val="21"/>
                <w:szCs w:val="21"/>
              </w:rPr>
              <w:t>很</w:t>
            </w:r>
            <w:r>
              <w:rPr>
                <w:rFonts w:ascii="Times New Roman" w:hAnsi="Times New Roman" w:eastAsia="宋体" w:cs="Times New Roman"/>
                <w:sz w:val="21"/>
                <w:szCs w:val="21"/>
              </w:rPr>
              <w:t>复杂的</w:t>
            </w:r>
            <w:r>
              <w:rPr>
                <w:rFonts w:hint="eastAsia" w:ascii="Times New Roman" w:hAnsi="Times New Roman" w:eastAsia="宋体" w:cs="Times New Roman"/>
                <w:sz w:val="21"/>
                <w:szCs w:val="21"/>
              </w:rPr>
              <w:t>基坑</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81" w:type="dxa"/>
            <w:vMerge w:val="restart"/>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土钉墙及复合土钉墙</w:t>
            </w: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单一土钉墙</w:t>
            </w:r>
          </w:p>
        </w:tc>
        <w:tc>
          <w:tcPr>
            <w:tcW w:w="5453" w:type="dxa"/>
            <w:vAlign w:val="center"/>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适用于地下水位以上或降水的非软土基坑，且基坑深度不宜大于12m</w:t>
            </w:r>
          </w:p>
        </w:tc>
        <w:tc>
          <w:tcPr>
            <w:tcW w:w="1073" w:type="dxa"/>
            <w:vMerge w:val="restart"/>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二级</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jc w:val="center"/>
        </w:trPr>
        <w:tc>
          <w:tcPr>
            <w:tcW w:w="1181" w:type="dxa"/>
            <w:vMerge w:val="continue"/>
          </w:tcPr>
          <w:p>
            <w:pPr>
              <w:widowControl w:val="0"/>
              <w:rPr>
                <w:rFonts w:ascii="Times New Roman" w:hAnsi="Times New Roman" w:eastAsia="宋体" w:cs="Times New Roman"/>
                <w:sz w:val="21"/>
                <w:szCs w:val="21"/>
              </w:rPr>
            </w:pP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预应力锚杆复合土钉墙</w:t>
            </w:r>
          </w:p>
        </w:tc>
        <w:tc>
          <w:tcPr>
            <w:tcW w:w="5453" w:type="dxa"/>
            <w:vAlign w:val="center"/>
          </w:tcPr>
          <w:p>
            <w:pPr>
              <w:widowControl w:val="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适用于地下水位以上或降水的非软土基坑，且基坑深度不宜大于15m</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81" w:type="dxa"/>
            <w:vMerge w:val="continue"/>
          </w:tcPr>
          <w:p>
            <w:pPr>
              <w:widowControl w:val="0"/>
              <w:rPr>
                <w:rFonts w:ascii="Times New Roman" w:hAnsi="Times New Roman" w:eastAsia="宋体" w:cs="Times New Roman"/>
                <w:sz w:val="21"/>
                <w:szCs w:val="21"/>
              </w:rPr>
            </w:pP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水泥土桩复合土钉墙</w:t>
            </w:r>
          </w:p>
        </w:tc>
        <w:tc>
          <w:tcPr>
            <w:tcW w:w="5453" w:type="dxa"/>
            <w:vAlign w:val="center"/>
          </w:tcPr>
          <w:p>
            <w:pPr>
              <w:widowControl w:val="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用于非软土基坑时，基坑深度不宜大于12m；用于淤泥质土基坑时，基坑深度不宜大于6m；不宜用在高水位的碎石土、砂土层中</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1" w:type="dxa"/>
            <w:vMerge w:val="continue"/>
          </w:tcPr>
          <w:p>
            <w:pPr>
              <w:widowControl w:val="0"/>
              <w:rPr>
                <w:rFonts w:ascii="Times New Roman" w:hAnsi="Times New Roman" w:eastAsia="宋体" w:cs="Times New Roman"/>
                <w:sz w:val="21"/>
                <w:szCs w:val="21"/>
              </w:rPr>
            </w:pPr>
          </w:p>
        </w:tc>
        <w:tc>
          <w:tcPr>
            <w:tcW w:w="1540"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微型桩复合土钉墙</w:t>
            </w:r>
          </w:p>
        </w:tc>
        <w:tc>
          <w:tcPr>
            <w:tcW w:w="5453" w:type="dxa"/>
            <w:vAlign w:val="center"/>
          </w:tcPr>
          <w:p>
            <w:pPr>
              <w:widowControl w:val="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适用于地下水位以上或降水的基坑，用于非软土基坑时，基坑深度不宜大于12m；用于淤泥质土基坑时，基坑深度不宜大于6m</w:t>
            </w:r>
          </w:p>
        </w:tc>
        <w:tc>
          <w:tcPr>
            <w:tcW w:w="1073" w:type="dxa"/>
            <w:vMerge w:val="continue"/>
            <w:vAlign w:val="center"/>
          </w:tcPr>
          <w:p>
            <w:pPr>
              <w:widowControl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721" w:type="dxa"/>
            <w:gridSpan w:val="2"/>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重力式水泥土墙</w:t>
            </w:r>
          </w:p>
        </w:tc>
        <w:tc>
          <w:tcPr>
            <w:tcW w:w="5453" w:type="dxa"/>
            <w:vAlign w:val="center"/>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适用于淤泥质土、淤泥基坑，基坑深度不宜大于7m；当变形控制要求严格时不宜选用</w:t>
            </w:r>
          </w:p>
        </w:tc>
        <w:tc>
          <w:tcPr>
            <w:tcW w:w="1073"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二级</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2721" w:type="dxa"/>
            <w:gridSpan w:val="2"/>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放坡</w:t>
            </w:r>
          </w:p>
        </w:tc>
        <w:tc>
          <w:tcPr>
            <w:tcW w:w="5453" w:type="dxa"/>
            <w:vAlign w:val="center"/>
          </w:tcPr>
          <w:p>
            <w:pPr>
              <w:widowControl w:val="0"/>
              <w:rPr>
                <w:rFonts w:ascii="Times New Roman" w:hAnsi="Times New Roman" w:eastAsia="宋体" w:cs="Times New Roman"/>
                <w:sz w:val="21"/>
                <w:szCs w:val="21"/>
              </w:rPr>
            </w:pPr>
            <w:r>
              <w:rPr>
                <w:rFonts w:hint="eastAsia" w:ascii="Times New Roman" w:hAnsi="Times New Roman" w:eastAsia="宋体" w:cs="Times New Roman"/>
                <w:sz w:val="21"/>
                <w:szCs w:val="21"/>
              </w:rPr>
              <w:t>适用于周边环境简单、具备放坡场地条件的</w:t>
            </w:r>
            <w:r>
              <w:rPr>
                <w:rFonts w:ascii="Times New Roman" w:hAnsi="Times New Roman" w:eastAsia="宋体" w:cs="Times New Roman"/>
                <w:sz w:val="21"/>
                <w:szCs w:val="21"/>
              </w:rPr>
              <w:t>基坑；</w:t>
            </w:r>
            <w:r>
              <w:rPr>
                <w:rFonts w:hint="eastAsia" w:ascii="Times New Roman" w:hAnsi="Times New Roman" w:eastAsia="宋体" w:cs="Times New Roman"/>
                <w:sz w:val="21"/>
                <w:szCs w:val="21"/>
              </w:rPr>
              <w:t>当基坑深度较大</w:t>
            </w:r>
            <w:r>
              <w:rPr>
                <w:rFonts w:ascii="Times New Roman" w:hAnsi="Times New Roman" w:eastAsia="宋体" w:cs="Times New Roman"/>
                <w:sz w:val="21"/>
                <w:szCs w:val="21"/>
              </w:rPr>
              <w:t>时</w:t>
            </w:r>
            <w:r>
              <w:rPr>
                <w:rFonts w:hint="eastAsia" w:ascii="Times New Roman" w:hAnsi="Times New Roman" w:eastAsia="宋体" w:cs="Times New Roman"/>
                <w:sz w:val="21"/>
                <w:szCs w:val="21"/>
              </w:rPr>
              <w:t>，可</w:t>
            </w:r>
            <w:r>
              <w:rPr>
                <w:rFonts w:ascii="Times New Roman" w:hAnsi="Times New Roman" w:eastAsia="宋体" w:cs="Times New Roman"/>
                <w:sz w:val="21"/>
                <w:szCs w:val="21"/>
              </w:rPr>
              <w:t>采用</w:t>
            </w:r>
            <w:r>
              <w:rPr>
                <w:rFonts w:hint="eastAsia" w:ascii="Times New Roman" w:hAnsi="Times New Roman" w:eastAsia="宋体" w:cs="Times New Roman"/>
                <w:sz w:val="21"/>
                <w:szCs w:val="21"/>
              </w:rPr>
              <w:t>放坡与上述支护结构形式相结合</w:t>
            </w:r>
          </w:p>
        </w:tc>
        <w:tc>
          <w:tcPr>
            <w:tcW w:w="1073"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二级</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三级</w:t>
            </w:r>
          </w:p>
        </w:tc>
      </w:tr>
    </w:tbl>
    <w:p>
      <w:pPr>
        <w:widowControl w:val="0"/>
        <w:ind w:left="1110" w:leftChars="200" w:hanging="630" w:hangingChars="300"/>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注：1 当基坑不同部位的周边环境条件，土层性状、基坑深度不同时，可在不同部位分别采用不同的支护结构</w:t>
      </w:r>
      <w:r>
        <w:rPr>
          <w:rFonts w:hint="eastAsia" w:ascii="Times New Roman" w:hAnsi="Times New Roman" w:cs="Times New Roman"/>
          <w:sz w:val="21"/>
          <w:szCs w:val="21"/>
          <w:lang w:eastAsia="zh-CN"/>
        </w:rPr>
        <w:t>；</w:t>
      </w:r>
    </w:p>
    <w:p>
      <w:pPr>
        <w:widowControl/>
        <w:ind w:firstLine="787" w:firstLineChars="375"/>
        <w:rPr>
          <w:rFonts w:ascii="Times New Roman" w:hAnsi="Times New Roman" w:eastAsia="宋体" w:cs="Times New Roman"/>
          <w:sz w:val="21"/>
          <w:szCs w:val="21"/>
        </w:rPr>
      </w:pPr>
      <w:r>
        <w:rPr>
          <w:rFonts w:hint="eastAsia" w:ascii="Times New Roman" w:hAnsi="Times New Roman" w:eastAsia="宋体" w:cs="Times New Roman"/>
          <w:sz w:val="21"/>
          <w:szCs w:val="21"/>
        </w:rPr>
        <w:t>2 当基坑潜在滑动面内有建（构）筑物、重要的地下管线时，不宜采用土钉墙；</w:t>
      </w:r>
    </w:p>
    <w:p>
      <w:pPr>
        <w:widowControl/>
        <w:ind w:firstLine="787" w:firstLineChars="375"/>
        <w:rPr>
          <w:rFonts w:ascii="Calibri" w:hAnsi="Calibri" w:eastAsia="宋体" w:cs="Times New Roman"/>
          <w:b/>
          <w:bCs/>
          <w:sz w:val="24"/>
        </w:rPr>
      </w:pPr>
      <w:r>
        <w:rPr>
          <w:rFonts w:ascii="Times New Roman" w:hAnsi="Times New Roman" w:eastAsia="宋体" w:cs="Times New Roman"/>
          <w:sz w:val="21"/>
          <w:szCs w:val="21"/>
        </w:rPr>
        <w:t>3</w:t>
      </w:r>
      <w:r>
        <w:rPr>
          <w:rFonts w:hint="eastAsia" w:ascii="Times New Roman" w:hAnsi="Times New Roman" w:eastAsia="宋体" w:cs="Times New Roman"/>
          <w:sz w:val="21"/>
          <w:szCs w:val="21"/>
        </w:rPr>
        <w:t xml:space="preserve"> 支护结构可采用上、下部以不同结构类型组合的形式。</w:t>
      </w:r>
    </w:p>
    <w:p>
      <w:pPr>
        <w:widowControl w:val="0"/>
        <w:spacing w:line="360" w:lineRule="auto"/>
        <w:rPr>
          <w:rFonts w:ascii="Times New Roman" w:hAnsi="Times New Roman" w:eastAsia="宋体" w:cs="Times New Roman"/>
          <w:sz w:val="24"/>
          <w:szCs w:val="28"/>
        </w:rPr>
      </w:pPr>
      <w:r>
        <w:rPr>
          <w:rFonts w:hint="eastAsia" w:ascii="Times New Roman" w:hAnsi="Times New Roman" w:eastAsia="宋体" w:cs="Times New Roman"/>
          <w:b/>
          <w:sz w:val="24"/>
          <w:szCs w:val="28"/>
        </w:rPr>
        <w:t>7.3.2</w:t>
      </w:r>
      <w:r>
        <w:rPr>
          <w:rFonts w:hint="eastAsia" w:ascii="Times New Roman" w:hAnsi="Times New Roman" w:eastAsia="宋体" w:cs="Times New Roman"/>
          <w:sz w:val="24"/>
          <w:szCs w:val="28"/>
        </w:rPr>
        <w:t xml:space="preserve"> 不同支护结构形式的结合处应考虑各结构间的变形协调问题，不同支护结构之间应有可靠的连接措施，应采取有效构造措施保证支护结构的整体性。</w:t>
      </w:r>
    </w:p>
    <w:p>
      <w:pPr>
        <w:widowControl w:val="0"/>
        <w:spacing w:line="360" w:lineRule="auto"/>
        <w:rPr>
          <w:rFonts w:ascii="Times New Roman" w:hAnsi="Times New Roman" w:eastAsia="宋体" w:cs="Times New Roman"/>
          <w:sz w:val="24"/>
          <w:szCs w:val="28"/>
        </w:rPr>
      </w:pPr>
      <w:r>
        <w:rPr>
          <w:rFonts w:hint="eastAsia" w:ascii="Times New Roman" w:hAnsi="Times New Roman" w:eastAsia="宋体" w:cs="Times New Roman"/>
          <w:b/>
          <w:sz w:val="24"/>
          <w:szCs w:val="28"/>
        </w:rPr>
        <w:t xml:space="preserve">7.3.3 </w:t>
      </w:r>
      <w:r>
        <w:rPr>
          <w:rFonts w:hint="eastAsia" w:ascii="Times New Roman" w:hAnsi="Times New Roman" w:eastAsia="宋体" w:cs="Times New Roman"/>
          <w:sz w:val="24"/>
          <w:szCs w:val="28"/>
        </w:rPr>
        <w:t>支护结构上部采用土钉墙或放坡，下部采用支挡结构时，上部土钉墙或放坡应符合本</w:t>
      </w:r>
      <w:r>
        <w:rPr>
          <w:rFonts w:hint="eastAsia" w:ascii="Times New Roman" w:hAnsi="Times New Roman" w:cs="Times New Roman"/>
          <w:sz w:val="24"/>
          <w:szCs w:val="28"/>
          <w:lang w:eastAsia="zh-CN"/>
        </w:rPr>
        <w:t>标准</w:t>
      </w:r>
      <w:r>
        <w:rPr>
          <w:rFonts w:hint="eastAsia" w:ascii="Times New Roman" w:hAnsi="Times New Roman" w:eastAsia="宋体" w:cs="Times New Roman"/>
          <w:sz w:val="24"/>
          <w:szCs w:val="28"/>
        </w:rPr>
        <w:t>对其支护结构形式的规定，支挡结构应考虑上部土钉墙或放坡的作用。</w:t>
      </w:r>
    </w:p>
    <w:p>
      <w:pPr>
        <w:widowControl w:val="0"/>
        <w:spacing w:line="360" w:lineRule="auto"/>
        <w:rPr>
          <w:rFonts w:ascii="Times New Roman" w:hAnsi="Times New Roman" w:eastAsia="宋体" w:cs="Times New Roman"/>
          <w:sz w:val="24"/>
          <w:szCs w:val="28"/>
        </w:rPr>
      </w:pPr>
      <w:r>
        <w:rPr>
          <w:rFonts w:hint="eastAsia" w:ascii="Times New Roman" w:hAnsi="Times New Roman" w:eastAsia="宋体" w:cs="Times New Roman"/>
          <w:b/>
          <w:sz w:val="24"/>
          <w:szCs w:val="28"/>
        </w:rPr>
        <w:t xml:space="preserve">7.3.4 </w:t>
      </w:r>
      <w:r>
        <w:rPr>
          <w:rFonts w:hint="eastAsia" w:ascii="Times New Roman" w:hAnsi="Times New Roman" w:eastAsia="宋体" w:cs="Times New Roman"/>
          <w:sz w:val="24"/>
          <w:szCs w:val="28"/>
        </w:rPr>
        <w:t>当坑底以下为软弱土时，可采用水泥土搅拌桩、高压喷射注浆等方法对坑底土体进行局部或整体加固，水泥土搅拌桩、高压喷射注浆加固体宜采用格栅或实体形式。</w:t>
      </w:r>
    </w:p>
    <w:p>
      <w:pPr>
        <w:widowControl w:val="0"/>
        <w:spacing w:line="360" w:lineRule="auto"/>
        <w:rPr>
          <w:rFonts w:ascii="Times New Roman" w:hAnsi="Times New Roman" w:eastAsia="宋体" w:cs="Times New Roman"/>
          <w:sz w:val="24"/>
          <w:szCs w:val="28"/>
        </w:rPr>
      </w:pPr>
      <w:r>
        <w:rPr>
          <w:rFonts w:hint="eastAsia" w:ascii="Times New Roman" w:hAnsi="Times New Roman" w:eastAsia="宋体" w:cs="Times New Roman"/>
          <w:b/>
          <w:sz w:val="24"/>
          <w:szCs w:val="28"/>
        </w:rPr>
        <w:t xml:space="preserve">7.3.5 </w:t>
      </w:r>
      <w:r>
        <w:rPr>
          <w:rFonts w:hint="eastAsia" w:ascii="Times New Roman" w:hAnsi="Times New Roman" w:eastAsia="宋体" w:cs="Times New Roman"/>
          <w:sz w:val="24"/>
          <w:szCs w:val="28"/>
        </w:rPr>
        <w:t>基坑开挖采用放坡或支护结构上部采用放坡时，应按本</w:t>
      </w:r>
      <w:r>
        <w:rPr>
          <w:rFonts w:hint="eastAsia" w:ascii="Times New Roman" w:hAnsi="Times New Roman" w:cs="Times New Roman"/>
          <w:sz w:val="24"/>
          <w:szCs w:val="28"/>
          <w:lang w:eastAsia="zh-CN"/>
        </w:rPr>
        <w:t>标准</w:t>
      </w:r>
      <w:r>
        <w:rPr>
          <w:rFonts w:hint="eastAsia" w:ascii="Times New Roman" w:hAnsi="Times New Roman" w:eastAsia="宋体" w:cs="Times New Roman"/>
          <w:sz w:val="24"/>
          <w:szCs w:val="28"/>
        </w:rPr>
        <w:t>第6.2.1条的规定验算边坡的滑动稳定性，放坡坡面应设置防护层。</w:t>
      </w:r>
    </w:p>
    <w:p>
      <w:pPr>
        <w:jc w:val="left"/>
        <w:rPr>
          <w:rFonts w:ascii="Times New Roman" w:hAnsi="Times New Roman"/>
          <w:b/>
          <w:bCs/>
          <w:sz w:val="32"/>
          <w:szCs w:val="32"/>
        </w:rPr>
      </w:pPr>
      <w:r>
        <w:rPr>
          <w:rFonts w:ascii="Times New Roman" w:hAnsi="Times New Roman"/>
        </w:rPr>
        <w:br w:type="page"/>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Pr>
        <w:pStyle w:val="2"/>
        <w:bidi w:val="0"/>
        <w:rPr>
          <w:rFonts w:hint="default"/>
          <w:lang w:val="en-US" w:eastAsia="zh-CN"/>
        </w:rPr>
      </w:pPr>
      <w:bookmarkStart w:id="440" w:name="_Toc12611"/>
      <w:bookmarkStart w:id="441" w:name="_Toc16087"/>
      <w:bookmarkStart w:id="442" w:name="_Toc3132"/>
      <w:bookmarkStart w:id="443" w:name="_Toc13458"/>
      <w:r>
        <w:rPr>
          <w:rFonts w:hint="eastAsia"/>
        </w:rPr>
        <w:t>8  支</w:t>
      </w:r>
      <w:r>
        <w:rPr>
          <w:rFonts w:hint="eastAsia"/>
          <w:lang w:val="en-US" w:eastAsia="zh-CN"/>
        </w:rPr>
        <w:t>挡</w:t>
      </w:r>
      <w:r>
        <w:rPr>
          <w:rFonts w:hint="eastAsia"/>
        </w:rPr>
        <w:t>结构</w:t>
      </w:r>
      <w:bookmarkEnd w:id="440"/>
      <w:bookmarkEnd w:id="441"/>
      <w:bookmarkEnd w:id="442"/>
      <w:bookmarkStart w:id="444" w:name="_Toc388643440"/>
      <w:bookmarkStart w:id="445" w:name="_Toc385581709"/>
      <w:bookmarkStart w:id="446" w:name="_Toc25269"/>
      <w:bookmarkStart w:id="447" w:name="_Toc385576933"/>
      <w:bookmarkStart w:id="448" w:name="_Toc388643557"/>
      <w:bookmarkStart w:id="449" w:name="_Toc384300135"/>
      <w:bookmarkStart w:id="450" w:name="_Toc384300283"/>
      <w:bookmarkStart w:id="451" w:name="_Toc381950762"/>
      <w:bookmarkStart w:id="452" w:name="_Toc367261485"/>
      <w:bookmarkStart w:id="453" w:name="_Toc382559903"/>
      <w:bookmarkStart w:id="454" w:name="_Toc384304363"/>
      <w:bookmarkStart w:id="455" w:name="_Toc381951018"/>
      <w:bookmarkStart w:id="456" w:name="_Toc363803541"/>
      <w:bookmarkStart w:id="457" w:name="_Toc364930775"/>
      <w:bookmarkStart w:id="458" w:name="_Toc385518836"/>
      <w:bookmarkStart w:id="459" w:name="_Toc364680573"/>
      <w:bookmarkStart w:id="460" w:name="_Toc363566479"/>
      <w:bookmarkStart w:id="461" w:name="_Toc381951402"/>
      <w:bookmarkStart w:id="462" w:name="_Toc381951597"/>
      <w:bookmarkStart w:id="463" w:name="_Toc382559741"/>
      <w:bookmarkStart w:id="464" w:name="_Toc384310076"/>
      <w:bookmarkStart w:id="465" w:name="_Toc364772958"/>
      <w:bookmarkStart w:id="466" w:name="_Toc384309855"/>
      <w:bookmarkStart w:id="467" w:name="_Toc375039699"/>
      <w:bookmarkStart w:id="468" w:name="_Toc364431772"/>
    </w:p>
    <w:bookmarkEnd w:id="444"/>
    <w:bookmarkEnd w:id="445"/>
    <w:bookmarkEnd w:id="446"/>
    <w:bookmarkEnd w:id="447"/>
    <w:bookmarkEnd w:id="448"/>
    <w:p>
      <w:pPr>
        <w:pStyle w:val="3"/>
        <w:bidi w:val="0"/>
        <w:rPr>
          <w:rFonts w:ascii="Times New Roman" w:hAnsi="Times New Roman"/>
        </w:rPr>
      </w:pPr>
      <w:bookmarkStart w:id="469" w:name="_Toc25753"/>
      <w:bookmarkStart w:id="470" w:name="_Toc10705"/>
      <w:r>
        <w:rPr>
          <w:rFonts w:hint="eastAsia" w:ascii="Times New Roman" w:hAnsi="Times New Roman"/>
        </w:rPr>
        <w:t>8.1  排桩支护</w:t>
      </w:r>
      <w:bookmarkEnd w:id="469"/>
      <w:bookmarkEnd w:id="470"/>
    </w:p>
    <w:p>
      <w:pPr>
        <w:bidi w:val="0"/>
        <w:jc w:val="center"/>
        <w:rPr>
          <w:b/>
          <w:bCs/>
          <w:sz w:val="28"/>
          <w:szCs w:val="24"/>
        </w:rPr>
      </w:pPr>
      <w:r>
        <w:rPr>
          <w:rFonts w:hint="eastAsia"/>
          <w:b/>
          <w:bCs/>
          <w:sz w:val="28"/>
          <w:szCs w:val="24"/>
        </w:rPr>
        <w:t>Ⅰ</w:t>
      </w:r>
      <w:r>
        <w:rPr>
          <w:b/>
          <w:bCs/>
          <w:sz w:val="28"/>
          <w:szCs w:val="24"/>
        </w:rPr>
        <w:t xml:space="preserve"> </w:t>
      </w:r>
      <w:r>
        <w:rPr>
          <w:rFonts w:hint="eastAsia"/>
          <w:b/>
          <w:bCs/>
          <w:sz w:val="28"/>
          <w:szCs w:val="24"/>
        </w:rPr>
        <w:t>一般规定</w:t>
      </w:r>
    </w:p>
    <w:p>
      <w:pPr>
        <w:widowControl w:val="0"/>
        <w:spacing w:line="360" w:lineRule="auto"/>
        <w:rPr>
          <w:rFonts w:hint="eastAsia" w:ascii="Times New Roman" w:hAnsi="Times New Roman"/>
        </w:rPr>
      </w:pPr>
      <w:r>
        <w:rPr>
          <w:rFonts w:hint="eastAsia" w:ascii="Times New Roman" w:hAnsi="Times New Roman"/>
          <w:b/>
          <w:szCs w:val="28"/>
        </w:rPr>
        <w:t xml:space="preserve">8.1.1 </w:t>
      </w:r>
      <w:r>
        <w:rPr>
          <w:rFonts w:hint="eastAsia" w:ascii="Times New Roman" w:hAnsi="Times New Roman"/>
        </w:rPr>
        <w:t>排桩支护结构选型应综合考虑以下因素：基坑深度、土的性质、地下水条件、基坑周边环境条件、施工场地条件、施工季节、施工工艺可行性及施工工期等。基坑较深或基坑周边环境对支护结构位移的限制严格时，宜采用锚拉式支挡结构（锚杆</w:t>
      </w:r>
      <w:r>
        <w:rPr>
          <w:rFonts w:ascii="Times New Roman" w:hAnsi="Times New Roman"/>
        </w:rPr>
        <w:t>+</w:t>
      </w:r>
      <w:r>
        <w:rPr>
          <w:rFonts w:hint="eastAsia" w:ascii="Times New Roman" w:hAnsi="Times New Roman"/>
        </w:rPr>
        <w:t>排桩支护）、支撑式支挡结构（内支撑</w:t>
      </w:r>
      <w:r>
        <w:rPr>
          <w:rFonts w:ascii="Times New Roman" w:hAnsi="Times New Roman"/>
        </w:rPr>
        <w:t>+</w:t>
      </w:r>
      <w:r>
        <w:rPr>
          <w:rFonts w:hint="eastAsia" w:ascii="Times New Roman" w:hAnsi="Times New Roman"/>
        </w:rPr>
        <w:t>排桩支护）。基坑较浅且基坑周边环境对支护结构位移的限制不严格时，可采用悬臂式排桩结构。当场地不具备锚拉式、支撑式和悬臂式结构施工及基坑深度适宜时，可考虑采用双排桩结构。</w:t>
      </w:r>
    </w:p>
    <w:p>
      <w:pPr>
        <w:widowControl w:val="0"/>
        <w:spacing w:line="360" w:lineRule="auto"/>
        <w:rPr>
          <w:rFonts w:ascii="Times New Roman" w:hAnsi="Times New Roman"/>
        </w:rPr>
      </w:pPr>
      <w:r>
        <w:rPr>
          <w:rFonts w:hint="eastAsia" w:ascii="Times New Roman" w:hAnsi="Times New Roman"/>
          <w:b/>
          <w:szCs w:val="28"/>
        </w:rPr>
        <w:t xml:space="preserve">8.1.2 </w:t>
      </w:r>
      <w:r>
        <w:rPr>
          <w:rFonts w:hint="eastAsia" w:ascii="Times New Roman" w:hAnsi="Times New Roman"/>
          <w:color w:val="auto"/>
          <w:szCs w:val="28"/>
        </w:rPr>
        <w:t>排桩桩型一般为钢筋混凝土排桩、钢筋混凝土预制桩、钢板（管）桩（见本标准8.2）等。支护排桩的桩型与成桩工艺应根据桩所穿越土层的性质、地下水条件及基坑周边环</w:t>
      </w:r>
      <w:r>
        <w:rPr>
          <w:rFonts w:hint="eastAsia" w:ascii="Times New Roman" w:hAnsi="Times New Roman"/>
          <w:color w:val="auto"/>
        </w:rPr>
        <w:t>境要求等因素，按安全适用、经济合理的原则进行选择，并应符合《建筑桩基技术规范》</w:t>
      </w:r>
      <w:r>
        <w:rPr>
          <w:rFonts w:ascii="Times New Roman" w:hAnsi="Times New Roman"/>
          <w:color w:val="auto"/>
        </w:rPr>
        <w:t>JGJ 94</w:t>
      </w:r>
      <w:r>
        <w:rPr>
          <w:rFonts w:hint="eastAsia" w:ascii="Times New Roman" w:hAnsi="Times New Roman"/>
          <w:color w:val="auto"/>
        </w:rPr>
        <w:t>、《预应力混凝土管桩技术标准》JGJ/T406、</w:t>
      </w:r>
      <w:r>
        <w:rPr>
          <w:rFonts w:hint="eastAsia" w:ascii="Times New Roman" w:hAnsi="Times New Roman"/>
          <w:color w:val="auto"/>
          <w:u w:val="none"/>
        </w:rPr>
        <w:t>《预应力混凝土预制桩技术标准》T/SXCAS013</w:t>
      </w:r>
      <w:r>
        <w:rPr>
          <w:rFonts w:hint="eastAsia" w:ascii="Times New Roman" w:hAnsi="Times New Roman"/>
          <w:color w:val="auto"/>
        </w:rPr>
        <w:t>等的有关规定。当基坑周边环境或场地地质条件复杂时，不应采用挤土效应严重、易塌孔、易缩径或震动较大的排桩施工工艺。</w:t>
      </w:r>
    </w:p>
    <w:p>
      <w:pPr>
        <w:widowControl w:val="0"/>
        <w:spacing w:line="360" w:lineRule="auto"/>
        <w:rPr>
          <w:rFonts w:ascii="Times New Roman" w:hAnsi="Times New Roman"/>
          <w:color w:val="auto"/>
        </w:rPr>
      </w:pPr>
      <w:r>
        <w:rPr>
          <w:rFonts w:hint="eastAsia" w:ascii="Times New Roman" w:hAnsi="Times New Roman"/>
          <w:b/>
          <w:szCs w:val="28"/>
        </w:rPr>
        <w:t xml:space="preserve">8.1.3 </w:t>
      </w:r>
      <w:r>
        <w:rPr>
          <w:rFonts w:hint="eastAsia" w:ascii="Times New Roman" w:hAnsi="Times New Roman"/>
        </w:rPr>
        <w:t>对需要隔水的基坑，</w:t>
      </w:r>
      <w:r>
        <w:rPr>
          <w:rFonts w:hint="eastAsia" w:ascii="Times New Roman" w:hAnsi="Times New Roman"/>
          <w:color w:val="auto"/>
        </w:rPr>
        <w:t>基坑支护应由排桩和隔水帷幕构成。隔水帷幕可采用连续搭接的水泥土搅拌桩、等厚度水泥土搅拌墙或高压喷射注浆等，宜优先采用三（多）轴水泥搅拌桩施工工艺。隔水帷幕宜设置在钢筋混凝土排桩外侧，在施工场地条件受到限制时，也可采用排桩与帷幕桩套打方式或混凝土咬合桩工艺。</w:t>
      </w:r>
    </w:p>
    <w:p>
      <w:pPr>
        <w:widowControl w:val="0"/>
        <w:spacing w:line="480" w:lineRule="exact"/>
        <w:rPr>
          <w:rFonts w:ascii="Times New Roman" w:hAnsi="Times New Roman"/>
        </w:rPr>
      </w:pPr>
      <w:r>
        <w:rPr>
          <w:rFonts w:hint="eastAsia" w:ascii="Times New Roman" w:hAnsi="Times New Roman"/>
          <w:b/>
          <w:szCs w:val="28"/>
        </w:rPr>
        <w:t xml:space="preserve">8.1.4 </w:t>
      </w:r>
      <w:r>
        <w:rPr>
          <w:rFonts w:hint="eastAsia" w:ascii="Times New Roman" w:hAnsi="Times New Roman"/>
        </w:rPr>
        <w:t>排桩结构应根据具体形式与受力、变形特性等采用下列分析方法：</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szCs w:val="28"/>
        </w:rPr>
        <w:t xml:space="preserve">  1</w:t>
      </w:r>
      <w:r>
        <w:rPr>
          <w:rFonts w:hint="eastAsia" w:ascii="Times New Roman" w:hAnsi="Times New Roman"/>
          <w:szCs w:val="28"/>
        </w:rPr>
        <w:t xml:space="preserve"> </w:t>
      </w:r>
      <w:r>
        <w:rPr>
          <w:rFonts w:hint="eastAsia" w:ascii="Times New Roman" w:hAnsi="Times New Roman"/>
        </w:rPr>
        <w:t>锚杆</w:t>
      </w:r>
      <w:r>
        <w:rPr>
          <w:rFonts w:hint="eastAsia" w:ascii="Times New Roman" w:hAnsi="Times New Roman"/>
          <w:lang w:val="en-US" w:eastAsia="zh-CN"/>
        </w:rPr>
        <w:t>-</w:t>
      </w:r>
      <w:r>
        <w:rPr>
          <w:rFonts w:hint="eastAsia" w:ascii="Times New Roman" w:hAnsi="Times New Roman"/>
        </w:rPr>
        <w:t>排桩结构，可以将整个结构分解为挡土结构、锚拉结构</w:t>
      </w:r>
      <w:r>
        <w:rPr>
          <w:rFonts w:ascii="Times New Roman" w:hAnsi="Times New Roman"/>
        </w:rPr>
        <w:t>(</w:t>
      </w:r>
      <w:r>
        <w:rPr>
          <w:rFonts w:hint="eastAsia" w:ascii="Times New Roman" w:hAnsi="Times New Roman"/>
        </w:rPr>
        <w:t>锚杆及腰梁、冠梁</w:t>
      </w:r>
      <w:r>
        <w:rPr>
          <w:rFonts w:ascii="Times New Roman" w:hAnsi="Times New Roman"/>
        </w:rPr>
        <w:t>)</w:t>
      </w:r>
      <w:r>
        <w:rPr>
          <w:rFonts w:hint="eastAsia" w:ascii="Times New Roman" w:hAnsi="Times New Roman"/>
        </w:rPr>
        <w:t>分别进行结构分析；挡土结构宜采用平面杆系结构弹性支点法进行结构分析；作用在锚拉结构上的荷载应取挡土结构分析时得出的支点力；</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szCs w:val="28"/>
        </w:rPr>
        <w:t xml:space="preserve">  2</w:t>
      </w:r>
      <w:r>
        <w:rPr>
          <w:rFonts w:hint="eastAsia" w:ascii="Times New Roman" w:hAnsi="Times New Roman"/>
          <w:szCs w:val="28"/>
        </w:rPr>
        <w:t xml:space="preserve"> </w:t>
      </w:r>
      <w:r>
        <w:rPr>
          <w:rFonts w:hint="eastAsia" w:ascii="Times New Roman" w:hAnsi="Times New Roman"/>
        </w:rPr>
        <w:t>内支撑</w:t>
      </w:r>
      <w:r>
        <w:rPr>
          <w:rFonts w:hint="eastAsia" w:ascii="Times New Roman" w:hAnsi="Times New Roman"/>
          <w:lang w:val="en-US" w:eastAsia="zh-CN"/>
        </w:rPr>
        <w:t>-</w:t>
      </w:r>
      <w:r>
        <w:rPr>
          <w:rFonts w:hint="eastAsia" w:ascii="Times New Roman" w:hAnsi="Times New Roman"/>
        </w:rPr>
        <w:t>排桩结构，可将整个结构分解为挡土结构、内支撑结构后分别进行结构分析；挡土结构宜采用平面杆系结构弹性支点法进行结构分析，内支撑结构可按平面结构进行分析，挡土结构传至内支撑的荷载应取挡土结构分析时得出的支点力；对挡土结构与内支撑结构分析时，应考虑其相互之间的变形协调；</w:t>
      </w:r>
    </w:p>
    <w:p>
      <w:pPr>
        <w:widowControl w:val="0"/>
        <w:spacing w:line="480" w:lineRule="exact"/>
        <w:rPr>
          <w:rFonts w:ascii="Times New Roman" w:hAnsi="Times New Roman"/>
          <w:szCs w:val="28"/>
        </w:rPr>
      </w:pPr>
      <w:r>
        <w:rPr>
          <w:rFonts w:ascii="Times New Roman" w:hAnsi="Times New Roman"/>
        </w:rPr>
        <w:t xml:space="preserve">  </w:t>
      </w:r>
      <w:r>
        <w:rPr>
          <w:rFonts w:ascii="Times New Roman" w:hAnsi="Times New Roman"/>
          <w:szCs w:val="28"/>
        </w:rPr>
        <w:t xml:space="preserve">  3</w:t>
      </w:r>
      <w:r>
        <w:rPr>
          <w:rFonts w:hint="eastAsia" w:ascii="Times New Roman" w:hAnsi="Times New Roman"/>
          <w:szCs w:val="28"/>
        </w:rPr>
        <w:t xml:space="preserve"> 悬臂式排桩、双排桩结构，宜采用平面杆系结构弹性支点法进行结构分析；</w:t>
      </w:r>
    </w:p>
    <w:p>
      <w:pPr>
        <w:widowControl w:val="0"/>
        <w:spacing w:line="480" w:lineRule="exact"/>
        <w:rPr>
          <w:rFonts w:ascii="Times New Roman" w:hAnsi="Times New Roman"/>
        </w:rPr>
      </w:pPr>
      <w:r>
        <w:rPr>
          <w:rFonts w:ascii="Times New Roman" w:hAnsi="Times New Roman"/>
          <w:szCs w:val="28"/>
        </w:rPr>
        <w:t xml:space="preserve"> </w:t>
      </w:r>
      <w:r>
        <w:rPr>
          <w:rFonts w:ascii="Times New Roman" w:hAnsi="Times New Roman"/>
        </w:rPr>
        <w:t xml:space="preserve"> </w:t>
      </w:r>
      <w:r>
        <w:rPr>
          <w:rFonts w:ascii="Times New Roman" w:hAnsi="Times New Roman"/>
          <w:szCs w:val="28"/>
        </w:rPr>
        <w:t xml:space="preserve">  4</w:t>
      </w:r>
      <w:r>
        <w:rPr>
          <w:rFonts w:hint="eastAsia" w:ascii="Times New Roman" w:hAnsi="Times New Roman"/>
          <w:szCs w:val="28"/>
        </w:rPr>
        <w:t xml:space="preserve"> </w:t>
      </w:r>
      <w:r>
        <w:rPr>
          <w:rFonts w:hint="eastAsia" w:ascii="Times New Roman" w:hAnsi="Times New Roman"/>
        </w:rPr>
        <w:t>当有可靠经验时，可采用空间结构分析方法对排桩结构进行整体分析或采用数值分析方法对支挡式结构与土进行整体分析。</w:t>
      </w:r>
    </w:p>
    <w:p>
      <w:pPr>
        <w:widowControl w:val="0"/>
        <w:spacing w:line="480" w:lineRule="exact"/>
        <w:rPr>
          <w:rFonts w:ascii="Times New Roman" w:hAnsi="Times New Roman"/>
        </w:rPr>
      </w:pPr>
      <w:r>
        <w:rPr>
          <w:rFonts w:hint="eastAsia" w:ascii="Times New Roman" w:hAnsi="Times New Roman"/>
          <w:b/>
          <w:szCs w:val="28"/>
        </w:rPr>
        <w:t>8.1.5</w:t>
      </w:r>
      <w:r>
        <w:rPr>
          <w:rFonts w:hint="eastAsia" w:ascii="Times New Roman" w:hAnsi="Times New Roman"/>
          <w:szCs w:val="28"/>
        </w:rPr>
        <w:t xml:space="preserve"> </w:t>
      </w:r>
      <w:r>
        <w:rPr>
          <w:rFonts w:hint="eastAsia" w:ascii="Times New Roman" w:hAnsi="Times New Roman"/>
        </w:rPr>
        <w:t>采用平面杆系结构弹性支点法进行设计计算时，应根据基坑各部位的不同深度、周边不同环境条件、地层条件等因素，划分设计计算剖面。对任一计算剖面，应按其最不利情况（工况）进行设计计算。</w:t>
      </w:r>
    </w:p>
    <w:p>
      <w:pPr>
        <w:widowControl w:val="0"/>
        <w:spacing w:line="480" w:lineRule="exact"/>
        <w:rPr>
          <w:rFonts w:ascii="Times New Roman" w:hAnsi="Times New Roman"/>
        </w:rPr>
      </w:pPr>
      <w:r>
        <w:rPr>
          <w:rFonts w:hint="eastAsia" w:ascii="Times New Roman" w:hAnsi="Times New Roman"/>
          <w:b/>
          <w:szCs w:val="28"/>
        </w:rPr>
        <w:t>8.1.6</w:t>
      </w:r>
      <w:r>
        <w:rPr>
          <w:rFonts w:hint="eastAsia" w:ascii="Times New Roman" w:hAnsi="Times New Roman"/>
          <w:szCs w:val="28"/>
        </w:rPr>
        <w:t xml:space="preserve"> </w:t>
      </w:r>
      <w:r>
        <w:rPr>
          <w:rFonts w:hint="eastAsia" w:ascii="Times New Roman" w:hAnsi="Times New Roman"/>
        </w:rPr>
        <w:t>排桩支护结构进行设计计算时，应根据基坑开挖过程施工工况进行计算，并应按各施工工况的最大内力值和支点力值进行承载力计算。支撑式支挡结构，当需要在地下主体结构施工过程拆除或增加支撑并以主体地下结构构件替换时，应将其作为设计工况。替换锚杆或支撑的主体地下结构构件应满足各工况的承载力、变形及稳定性要求。对大跨度的主体地下结构部位，采用设置临时支撑替换锚杆或支撑的方式时，临时支撑尚应满足各工况的受压承载力、变形及稳定性要求。</w:t>
      </w:r>
    </w:p>
    <w:p>
      <w:pPr>
        <w:widowControl w:val="0"/>
        <w:spacing w:line="480" w:lineRule="exact"/>
        <w:rPr>
          <w:rFonts w:ascii="Times New Roman" w:hAnsi="Times New Roman"/>
        </w:rPr>
      </w:pPr>
      <w:r>
        <w:rPr>
          <w:rFonts w:hint="eastAsia" w:ascii="Times New Roman" w:hAnsi="Times New Roman"/>
          <w:b/>
          <w:szCs w:val="28"/>
        </w:rPr>
        <w:t>8.1.7</w:t>
      </w:r>
      <w:r>
        <w:rPr>
          <w:rFonts w:ascii="Times New Roman" w:hAnsi="Times New Roman"/>
          <w:szCs w:val="28"/>
        </w:rPr>
        <w:t xml:space="preserve"> </w:t>
      </w:r>
      <w:r>
        <w:rPr>
          <w:rFonts w:hint="eastAsia" w:ascii="Times New Roman" w:hAnsi="Times New Roman"/>
        </w:rPr>
        <w:t>结构构件的承载能力计算应根据</w:t>
      </w:r>
      <w:r>
        <w:rPr>
          <w:rFonts w:hint="eastAsia" w:ascii="Times New Roman" w:hAnsi="Times New Roman"/>
          <w:color w:val="auto"/>
          <w:u w:val="none"/>
          <w:lang w:eastAsia="zh-CN"/>
        </w:rPr>
        <w:t>本标准</w:t>
      </w:r>
      <w:r>
        <w:rPr>
          <w:rFonts w:hint="eastAsia" w:ascii="Times New Roman" w:hAnsi="Times New Roman"/>
          <w:color w:val="auto"/>
          <w:u w:val="none"/>
        </w:rPr>
        <w:t>第3.0.7条</w:t>
      </w:r>
      <w:r>
        <w:rPr>
          <w:rFonts w:hint="eastAsia" w:ascii="Times New Roman" w:hAnsi="Times New Roman"/>
          <w:color w:val="auto"/>
        </w:rPr>
        <w:t>对</w:t>
      </w:r>
      <w:r>
        <w:rPr>
          <w:rFonts w:hint="eastAsia" w:ascii="Times New Roman" w:hAnsi="Times New Roman"/>
        </w:rPr>
        <w:t>承载能力极限状态下荷载效应基本组合的规定确定支护结构构件的内力设计值。</w:t>
      </w:r>
    </w:p>
    <w:p>
      <w:pPr>
        <w:widowControl w:val="0"/>
        <w:spacing w:line="480" w:lineRule="exact"/>
        <w:rPr>
          <w:rFonts w:ascii="Times New Roman" w:hAnsi="Times New Roman"/>
        </w:rPr>
      </w:pPr>
      <w:r>
        <w:rPr>
          <w:rFonts w:hint="eastAsia" w:ascii="Times New Roman" w:hAnsi="Times New Roman"/>
          <w:b/>
          <w:szCs w:val="28"/>
        </w:rPr>
        <w:t xml:space="preserve">8.1.8 </w:t>
      </w:r>
      <w:r>
        <w:rPr>
          <w:rFonts w:hint="eastAsia" w:ascii="Times New Roman" w:hAnsi="Times New Roman"/>
        </w:rPr>
        <w:t>在能保证桩顶以上边坡稳定和周围场地施工条件许可时，应降低桩顶标高，以便于主体建筑地下室进行管线穿越。</w:t>
      </w:r>
    </w:p>
    <w:p>
      <w:pPr>
        <w:bidi w:val="0"/>
        <w:jc w:val="center"/>
        <w:rPr>
          <w:rFonts w:hint="eastAsia"/>
          <w:b/>
          <w:bCs/>
          <w:sz w:val="28"/>
          <w:szCs w:val="24"/>
        </w:rPr>
      </w:pPr>
      <w:r>
        <w:rPr>
          <w:rFonts w:hint="eastAsia"/>
          <w:b/>
          <w:bCs/>
          <w:sz w:val="28"/>
          <w:szCs w:val="24"/>
        </w:rPr>
        <w:t>Ⅱ 设计计算</w:t>
      </w:r>
    </w:p>
    <w:p>
      <w:pPr>
        <w:widowControl w:val="0"/>
        <w:spacing w:line="360" w:lineRule="auto"/>
        <w:rPr>
          <w:rFonts w:ascii="Times New Roman" w:hAnsi="Times New Roman"/>
        </w:rPr>
      </w:pPr>
      <w:r>
        <w:rPr>
          <w:rFonts w:hint="eastAsia" w:ascii="Times New Roman" w:hAnsi="Times New Roman"/>
          <w:b/>
          <w:szCs w:val="28"/>
        </w:rPr>
        <w:t>8.1.9</w:t>
      </w:r>
      <w:r>
        <w:rPr>
          <w:rFonts w:hint="eastAsia" w:ascii="Times New Roman" w:hAnsi="Times New Roman"/>
          <w:szCs w:val="28"/>
        </w:rPr>
        <w:t xml:space="preserve"> </w:t>
      </w:r>
      <w:r>
        <w:rPr>
          <w:rFonts w:hint="eastAsia" w:ascii="Times New Roman" w:hAnsi="Times New Roman"/>
        </w:rPr>
        <w:t>排桩设计计算应包括下列内容：</w:t>
      </w:r>
      <w:r>
        <w:rPr>
          <w:rFonts w:ascii="Times New Roman" w:hAnsi="Times New Roman"/>
        </w:rPr>
        <w:t xml:space="preserve"> </w:t>
      </w:r>
    </w:p>
    <w:p>
      <w:pPr>
        <w:widowControl w:val="0"/>
        <w:spacing w:line="480" w:lineRule="exact"/>
        <w:ind w:firstLine="480" w:firstLineChars="200"/>
        <w:rPr>
          <w:rFonts w:ascii="Times New Roman" w:hAnsi="Times New Roman"/>
        </w:rPr>
      </w:pPr>
      <w:bookmarkStart w:id="471" w:name="_Toc18953"/>
      <w:bookmarkStart w:id="472" w:name="_Toc17474"/>
      <w:r>
        <w:rPr>
          <w:rFonts w:ascii="Times New Roman" w:hAnsi="Times New Roman"/>
        </w:rPr>
        <w:t>1</w:t>
      </w:r>
      <w:r>
        <w:rPr>
          <w:rFonts w:hint="eastAsia" w:ascii="Times New Roman" w:hAnsi="Times New Roman"/>
        </w:rPr>
        <w:t xml:space="preserve"> 支护结构的内力及变形计算；</w:t>
      </w:r>
      <w:bookmarkEnd w:id="471"/>
      <w:bookmarkEnd w:id="472"/>
    </w:p>
    <w:p>
      <w:pPr>
        <w:widowControl w:val="0"/>
        <w:spacing w:line="360" w:lineRule="auto"/>
        <w:ind w:firstLine="480" w:firstLineChars="200"/>
        <w:rPr>
          <w:rFonts w:ascii="Times New Roman" w:hAnsi="Times New Roman"/>
          <w:szCs w:val="28"/>
        </w:rPr>
      </w:pPr>
      <w:r>
        <w:rPr>
          <w:rFonts w:ascii="Times New Roman" w:hAnsi="Times New Roman"/>
          <w:szCs w:val="28"/>
        </w:rPr>
        <w:t>2</w:t>
      </w:r>
      <w:r>
        <w:rPr>
          <w:rFonts w:hint="eastAsia" w:ascii="Times New Roman" w:hAnsi="Times New Roman"/>
          <w:szCs w:val="28"/>
        </w:rPr>
        <w:t xml:space="preserve"> 整体稳定性计算，抗倾覆稳定验算，必要时进行抗隆起稳定性和抗突涌、抗渗流稳定性等验算；</w:t>
      </w:r>
    </w:p>
    <w:p>
      <w:pPr>
        <w:widowControl w:val="0"/>
        <w:spacing w:line="360" w:lineRule="auto"/>
        <w:ind w:firstLine="480" w:firstLineChars="200"/>
        <w:rPr>
          <w:rFonts w:ascii="Times New Roman" w:hAnsi="Times New Roman"/>
          <w:szCs w:val="28"/>
        </w:rPr>
      </w:pPr>
      <w:r>
        <w:rPr>
          <w:rFonts w:ascii="Times New Roman" w:hAnsi="Times New Roman"/>
          <w:szCs w:val="28"/>
        </w:rPr>
        <w:t>3</w:t>
      </w:r>
      <w:r>
        <w:rPr>
          <w:rFonts w:hint="eastAsia" w:ascii="Times New Roman" w:hAnsi="Times New Roman"/>
          <w:szCs w:val="28"/>
        </w:rPr>
        <w:t xml:space="preserve"> 排桩嵌固长度计算，桩径、桩距及桩长设计，桩</w:t>
      </w:r>
      <w:r>
        <w:rPr>
          <w:rFonts w:hint="eastAsia" w:ascii="Times New Roman" w:hAnsi="Times New Roman"/>
          <w:color w:val="auto"/>
          <w:szCs w:val="28"/>
        </w:rPr>
        <w:t>身承载力</w:t>
      </w:r>
      <w:r>
        <w:rPr>
          <w:rFonts w:hint="eastAsia" w:ascii="Times New Roman" w:hAnsi="Times New Roman"/>
          <w:szCs w:val="28"/>
        </w:rPr>
        <w:t>计算；</w:t>
      </w:r>
    </w:p>
    <w:p>
      <w:pPr>
        <w:widowControl w:val="0"/>
        <w:spacing w:line="360" w:lineRule="auto"/>
        <w:ind w:firstLine="480" w:firstLineChars="200"/>
        <w:rPr>
          <w:rFonts w:ascii="Times New Roman" w:hAnsi="Times New Roman"/>
          <w:szCs w:val="28"/>
        </w:rPr>
      </w:pPr>
      <w:r>
        <w:rPr>
          <w:rFonts w:ascii="Times New Roman" w:hAnsi="Times New Roman"/>
          <w:szCs w:val="28"/>
        </w:rPr>
        <w:t>4</w:t>
      </w:r>
      <w:r>
        <w:rPr>
          <w:rFonts w:hint="eastAsia" w:ascii="Times New Roman" w:hAnsi="Times New Roman"/>
          <w:szCs w:val="28"/>
        </w:rPr>
        <w:t xml:space="preserve"> 基坑外地表变形的估算；</w:t>
      </w:r>
    </w:p>
    <w:p>
      <w:pPr>
        <w:widowControl w:val="0"/>
        <w:spacing w:line="360" w:lineRule="auto"/>
        <w:ind w:firstLine="480" w:firstLineChars="200"/>
        <w:rPr>
          <w:rFonts w:ascii="Times New Roman" w:hAnsi="Times New Roman"/>
          <w:szCs w:val="28"/>
        </w:rPr>
      </w:pPr>
      <w:r>
        <w:rPr>
          <w:rFonts w:ascii="Times New Roman" w:hAnsi="Times New Roman"/>
          <w:szCs w:val="28"/>
        </w:rPr>
        <w:t>5</w:t>
      </w:r>
      <w:r>
        <w:rPr>
          <w:rFonts w:hint="eastAsia" w:ascii="Times New Roman" w:hAnsi="Times New Roman"/>
          <w:szCs w:val="28"/>
        </w:rPr>
        <w:t xml:space="preserve"> 当排桩支护与主体结构相结合时，尚应按照主体结构的相关要求，验算使用阶段的结构内力和变形。</w:t>
      </w:r>
    </w:p>
    <w:p>
      <w:pPr>
        <w:widowControl w:val="0"/>
        <w:spacing w:line="360" w:lineRule="auto"/>
        <w:rPr>
          <w:rFonts w:ascii="Times New Roman" w:hAnsi="Times New Roman"/>
        </w:rPr>
      </w:pPr>
      <w:r>
        <w:rPr>
          <w:rFonts w:hint="eastAsia" w:ascii="Times New Roman" w:hAnsi="Times New Roman"/>
          <w:b/>
          <w:szCs w:val="28"/>
        </w:rPr>
        <w:t>8.1.10</w:t>
      </w:r>
      <w:r>
        <w:rPr>
          <w:rFonts w:hint="eastAsia" w:ascii="Times New Roman" w:hAnsi="Times New Roman"/>
          <w:szCs w:val="28"/>
        </w:rPr>
        <w:t xml:space="preserve"> </w:t>
      </w:r>
      <w:r>
        <w:rPr>
          <w:rFonts w:hint="eastAsia" w:ascii="Times New Roman" w:hAnsi="Times New Roman"/>
        </w:rPr>
        <w:t>支护结构采用平面结构弹性支点法计算时，应</w:t>
      </w:r>
      <w:r>
        <w:rPr>
          <w:rFonts w:hint="eastAsia" w:ascii="Times New Roman" w:hAnsi="Times New Roman"/>
          <w:szCs w:val="28"/>
        </w:rPr>
        <w:t>采用图8.1.10-1的</w:t>
      </w:r>
      <w:r>
        <w:rPr>
          <w:rFonts w:hint="eastAsia" w:ascii="Times New Roman" w:hAnsi="Times New Roman"/>
        </w:rPr>
        <w:t>计算图形进行支护桩的内力</w:t>
      </w:r>
      <w:r>
        <w:rPr>
          <w:rFonts w:ascii="Times New Roman" w:hAnsi="Times New Roman"/>
        </w:rPr>
        <w:t>(</w:t>
      </w:r>
      <w:r>
        <w:rPr>
          <w:rFonts w:hint="eastAsia" w:ascii="Times New Roman" w:hAnsi="Times New Roman"/>
        </w:rPr>
        <w:t>弯矩、剪力</w:t>
      </w:r>
      <w:r>
        <w:rPr>
          <w:rFonts w:ascii="Times New Roman" w:hAnsi="Times New Roman"/>
        </w:rPr>
        <w:t>)</w:t>
      </w:r>
      <w:r>
        <w:rPr>
          <w:rFonts w:hint="eastAsia" w:ascii="Times New Roman" w:hAnsi="Times New Roman"/>
        </w:rPr>
        <w:t>、位移、支点力及嵌固段的土的抗力计算。此时，嵌固段土对挡土结构的作用应</w:t>
      </w:r>
      <w:r>
        <w:rPr>
          <w:rFonts w:hint="eastAsia" w:ascii="Times New Roman" w:hAnsi="Times New Roman"/>
          <w:color w:val="auto"/>
        </w:rPr>
        <w:t>按</w:t>
      </w:r>
      <w:r>
        <w:rPr>
          <w:rFonts w:hint="eastAsia" w:ascii="Times New Roman" w:hAnsi="Times New Roman"/>
          <w:color w:val="auto"/>
          <w:u w:val="none"/>
          <w:lang w:eastAsia="zh-CN"/>
        </w:rPr>
        <w:t>本标准</w:t>
      </w:r>
      <w:r>
        <w:rPr>
          <w:rFonts w:hint="eastAsia" w:ascii="Times New Roman" w:hAnsi="Times New Roman"/>
          <w:color w:val="auto"/>
          <w:szCs w:val="28"/>
          <w:u w:val="none"/>
        </w:rPr>
        <w:t>第8.1.11条</w:t>
      </w:r>
      <w:r>
        <w:rPr>
          <w:rFonts w:hint="eastAsia" w:ascii="Times New Roman" w:hAnsi="Times New Roman"/>
          <w:color w:val="auto"/>
        </w:rPr>
        <w:t>规定的分布弹簧进行简化</w:t>
      </w:r>
      <w:r>
        <w:rPr>
          <w:rFonts w:ascii="Times New Roman" w:hAnsi="Times New Roman"/>
          <w:color w:val="auto"/>
        </w:rPr>
        <w:t>；</w:t>
      </w:r>
      <w:r>
        <w:rPr>
          <w:rFonts w:hint="eastAsia" w:ascii="Times New Roman" w:hAnsi="Times New Roman"/>
          <w:color w:val="auto"/>
        </w:rPr>
        <w:t>锚杆或支撑对挡土结构的作用应按</w:t>
      </w:r>
      <w:r>
        <w:rPr>
          <w:rFonts w:hint="eastAsia" w:ascii="Times New Roman" w:hAnsi="Times New Roman"/>
          <w:color w:val="auto"/>
          <w:u w:val="none"/>
          <w:lang w:eastAsia="zh-CN"/>
        </w:rPr>
        <w:t>本标准</w:t>
      </w:r>
      <w:r>
        <w:rPr>
          <w:rFonts w:hint="eastAsia" w:ascii="Times New Roman" w:hAnsi="Times New Roman"/>
          <w:color w:val="auto"/>
          <w:u w:val="none"/>
        </w:rPr>
        <w:t>第8.1.14～8.1.16条</w:t>
      </w:r>
      <w:r>
        <w:rPr>
          <w:rFonts w:hint="eastAsia" w:ascii="Times New Roman" w:hAnsi="Times New Roman"/>
          <w:color w:val="auto"/>
        </w:rPr>
        <w:t>规</w:t>
      </w:r>
      <w:r>
        <w:rPr>
          <w:rFonts w:hint="eastAsia" w:ascii="Times New Roman" w:hAnsi="Times New Roman"/>
        </w:rPr>
        <w:t>定的边界条件进行简化。</w:t>
      </w:r>
    </w:p>
    <w:p>
      <w:pPr>
        <w:widowControl w:val="0"/>
        <w:jc w:val="center"/>
        <w:rPr>
          <w:rFonts w:ascii="Times New Roman" w:hAnsi="Times New Roman"/>
        </w:rPr>
      </w:pPr>
      <w:r>
        <w:rPr>
          <w:rFonts w:ascii="Times New Roman" w:hAnsi="Times New Roman"/>
        </w:rPr>
        <w:drawing>
          <wp:inline distT="0" distB="0" distL="114300" distR="114300">
            <wp:extent cx="5572125" cy="2077720"/>
            <wp:effectExtent l="0" t="0" r="5715" b="10160"/>
            <wp:docPr id="54" name="图片 1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04"/>
                    <pic:cNvPicPr>
                      <a:picLocks noChangeAspect="true"/>
                    </pic:cNvPicPr>
                  </pic:nvPicPr>
                  <pic:blipFill>
                    <a:blip r:embed="rId311"/>
                    <a:srcRect b="18045"/>
                    <a:stretch>
                      <a:fillRect/>
                    </a:stretch>
                  </pic:blipFill>
                  <pic:spPr>
                    <a:xfrm>
                      <a:off x="0" y="0"/>
                      <a:ext cx="5572125" cy="2077720"/>
                    </a:xfrm>
                    <a:prstGeom prst="rect">
                      <a:avLst/>
                    </a:prstGeom>
                    <a:noFill/>
                    <a:ln>
                      <a:noFill/>
                    </a:ln>
                  </pic:spPr>
                </pic:pic>
              </a:graphicData>
            </a:graphic>
          </wp:inline>
        </w:drawing>
      </w:r>
    </w:p>
    <w:p>
      <w:pPr>
        <w:widowControl w:val="0"/>
        <w:ind w:firstLine="2080" w:firstLineChars="650"/>
        <w:rPr>
          <w:rFonts w:ascii="Times New Roman" w:hAnsi="Times New Roman"/>
          <w:sz w:val="32"/>
          <w:szCs w:val="32"/>
        </w:rPr>
      </w:pPr>
      <w:r>
        <w:rPr>
          <w:rFonts w:hint="eastAsia" w:ascii="Times New Roman" w:hAnsi="Times New Roman"/>
          <w:sz w:val="32"/>
          <w:szCs w:val="32"/>
        </w:rPr>
        <w:t>（</w:t>
      </w:r>
      <w:r>
        <w:rPr>
          <w:rFonts w:ascii="Times New Roman" w:hAnsi="Times New Roman"/>
          <w:sz w:val="32"/>
          <w:szCs w:val="32"/>
        </w:rPr>
        <w:t>a</w:t>
      </w:r>
      <w:r>
        <w:rPr>
          <w:rFonts w:hint="eastAsia" w:ascii="Times New Roman" w:hAnsi="Times New Roman"/>
          <w:sz w:val="32"/>
          <w:szCs w:val="32"/>
        </w:rPr>
        <w:t>）                     （</w:t>
      </w:r>
      <w:r>
        <w:rPr>
          <w:rFonts w:ascii="Times New Roman" w:hAnsi="Times New Roman"/>
          <w:sz w:val="32"/>
          <w:szCs w:val="32"/>
        </w:rPr>
        <w:t>b</w:t>
      </w:r>
      <w:r>
        <w:rPr>
          <w:rFonts w:hint="eastAsia" w:ascii="Times New Roman" w:hAnsi="Times New Roman"/>
          <w:sz w:val="32"/>
          <w:szCs w:val="32"/>
        </w:rPr>
        <w:t>）</w:t>
      </w:r>
    </w:p>
    <w:p>
      <w:pPr>
        <w:widowControl w:val="0"/>
        <w:rPr>
          <w:rFonts w:ascii="Times New Roman" w:hAnsi="Times New Roman"/>
          <w:sz w:val="21"/>
          <w:szCs w:val="21"/>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sz w:val="21"/>
          <w:szCs w:val="21"/>
        </w:rPr>
        <w:t xml:space="preserve"> </w:t>
      </w:r>
      <w:r>
        <w:rPr>
          <w:rFonts w:hint="eastAsia" w:ascii="Times New Roman" w:hAnsi="Times New Roman"/>
          <w:sz w:val="21"/>
          <w:szCs w:val="21"/>
        </w:rPr>
        <w:t>图8.1.10-1弹性支点法计算</w:t>
      </w:r>
    </w:p>
    <w:p>
      <w:pPr>
        <w:widowControl w:val="0"/>
        <w:ind w:firstLine="315" w:firstLineChars="150"/>
        <w:jc w:val="center"/>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a</w:t>
      </w:r>
      <w:r>
        <w:rPr>
          <w:rFonts w:hint="eastAsia" w:ascii="Times New Roman" w:hAnsi="Times New Roman"/>
          <w:sz w:val="21"/>
          <w:szCs w:val="21"/>
        </w:rPr>
        <w:t>）</w:t>
      </w:r>
      <w:r>
        <w:rPr>
          <w:rFonts w:ascii="Times New Roman" w:hAnsi="Times New Roman"/>
          <w:sz w:val="21"/>
          <w:szCs w:val="21"/>
        </w:rPr>
        <w:t xml:space="preserve"> </w:t>
      </w:r>
      <w:r>
        <w:rPr>
          <w:rFonts w:hint="eastAsia" w:ascii="Times New Roman" w:hAnsi="Times New Roman"/>
          <w:sz w:val="21"/>
          <w:szCs w:val="21"/>
        </w:rPr>
        <w:t>悬臂式支挡结构</w:t>
      </w:r>
      <w:r>
        <w:rPr>
          <w:rFonts w:ascii="Times New Roman" w:hAnsi="Times New Roman"/>
          <w:sz w:val="21"/>
          <w:szCs w:val="21"/>
        </w:rPr>
        <w:t xml:space="preserve">              </w:t>
      </w:r>
      <w:r>
        <w:rPr>
          <w:rFonts w:hint="eastAsia" w:ascii="Times New Roman" w:hAnsi="Times New Roman"/>
          <w:sz w:val="21"/>
          <w:szCs w:val="21"/>
        </w:rPr>
        <w:t>（</w:t>
      </w:r>
      <w:r>
        <w:rPr>
          <w:rFonts w:ascii="Times New Roman" w:hAnsi="Times New Roman"/>
          <w:sz w:val="21"/>
          <w:szCs w:val="21"/>
        </w:rPr>
        <w:t>b</w:t>
      </w:r>
      <w:r>
        <w:rPr>
          <w:rFonts w:hint="eastAsia" w:ascii="Times New Roman" w:hAnsi="Times New Roman"/>
          <w:sz w:val="21"/>
          <w:szCs w:val="21"/>
        </w:rPr>
        <w:t>）锚拉式支挡结构或支撑式支挡结构</w:t>
      </w:r>
    </w:p>
    <w:p>
      <w:pPr>
        <w:widowControl w:val="0"/>
        <w:tabs>
          <w:tab w:val="left" w:pos="5245"/>
          <w:tab w:val="left" w:pos="5812"/>
          <w:tab w:val="left" w:pos="6237"/>
        </w:tabs>
        <w:ind w:right="-58" w:rightChars="-24"/>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挡土构件；</w:t>
      </w:r>
      <w:r>
        <w:rPr>
          <w:rFonts w:ascii="Times New Roman" w:hAnsi="Times New Roman"/>
          <w:sz w:val="21"/>
          <w:szCs w:val="21"/>
        </w:rPr>
        <w:t xml:space="preserve"> 2</w:t>
      </w:r>
      <w:r>
        <w:rPr>
          <w:rFonts w:hint="eastAsia" w:ascii="Times New Roman" w:hAnsi="Times New Roman"/>
          <w:sz w:val="21"/>
          <w:szCs w:val="21"/>
        </w:rPr>
        <w:t>一由锚杆或支撑简化而成的弹性支座</w:t>
      </w:r>
      <w:r>
        <w:rPr>
          <w:rFonts w:ascii="Times New Roman" w:hAnsi="Times New Roman"/>
          <w:sz w:val="21"/>
          <w:szCs w:val="21"/>
        </w:rPr>
        <w:t>；  3—</w:t>
      </w:r>
      <w:r>
        <w:rPr>
          <w:rFonts w:hint="eastAsia" w:ascii="Times New Roman" w:hAnsi="Times New Roman"/>
          <w:sz w:val="21"/>
          <w:szCs w:val="21"/>
        </w:rPr>
        <w:t>计算土反力的弹性支座</w:t>
      </w:r>
    </w:p>
    <w:p>
      <w:pPr>
        <w:widowControl w:val="0"/>
        <w:jc w:val="center"/>
        <w:rPr>
          <w:rFonts w:ascii="Times New Roman" w:hAnsi="Times New Roman"/>
        </w:rPr>
      </w:pPr>
    </w:p>
    <w:p>
      <w:pPr>
        <w:widowControl w:val="0"/>
        <w:jc w:val="center"/>
        <w:rPr>
          <w:rFonts w:ascii="Times New Roman" w:hAnsi="Times New Roman"/>
        </w:rPr>
      </w:pPr>
      <w:r>
        <w:rPr>
          <w:rFonts w:ascii="Times New Roman" w:hAnsi="Times New Roman"/>
        </w:rPr>
        <w:drawing>
          <wp:inline distT="0" distB="0" distL="114300" distR="114300">
            <wp:extent cx="4981575" cy="2124075"/>
            <wp:effectExtent l="0" t="0" r="1905" b="9525"/>
            <wp:docPr id="50" name="图片 1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05"/>
                    <pic:cNvPicPr>
                      <a:picLocks noChangeAspect="true"/>
                    </pic:cNvPicPr>
                  </pic:nvPicPr>
                  <pic:blipFill>
                    <a:blip r:embed="rId312"/>
                    <a:srcRect b="17725"/>
                    <a:stretch>
                      <a:fillRect/>
                    </a:stretch>
                  </pic:blipFill>
                  <pic:spPr>
                    <a:xfrm>
                      <a:off x="0" y="0"/>
                      <a:ext cx="4981575" cy="2124075"/>
                    </a:xfrm>
                    <a:prstGeom prst="rect">
                      <a:avLst/>
                    </a:prstGeom>
                    <a:noFill/>
                    <a:ln>
                      <a:noFill/>
                    </a:ln>
                  </pic:spPr>
                </pic:pic>
              </a:graphicData>
            </a:graphic>
          </wp:inline>
        </w:drawing>
      </w:r>
    </w:p>
    <w:p>
      <w:pPr>
        <w:widowControl w:val="0"/>
        <w:ind w:firstLine="2080" w:firstLineChars="650"/>
        <w:rPr>
          <w:rFonts w:ascii="Times New Roman" w:hAnsi="Times New Roman"/>
          <w:sz w:val="32"/>
          <w:szCs w:val="32"/>
        </w:rPr>
      </w:pPr>
      <w:r>
        <w:rPr>
          <w:rFonts w:hint="eastAsia" w:ascii="Times New Roman" w:hAnsi="Times New Roman"/>
          <w:sz w:val="32"/>
          <w:szCs w:val="32"/>
        </w:rPr>
        <w:t>（</w:t>
      </w:r>
      <w:r>
        <w:rPr>
          <w:rFonts w:ascii="Times New Roman" w:hAnsi="Times New Roman"/>
          <w:sz w:val="32"/>
          <w:szCs w:val="32"/>
        </w:rPr>
        <w:t>a</w:t>
      </w:r>
      <w:r>
        <w:rPr>
          <w:rFonts w:hint="eastAsia" w:ascii="Times New Roman" w:hAnsi="Times New Roman"/>
          <w:sz w:val="32"/>
          <w:szCs w:val="32"/>
        </w:rPr>
        <w:t>）                     （</w:t>
      </w:r>
      <w:r>
        <w:rPr>
          <w:rFonts w:ascii="Times New Roman" w:hAnsi="Times New Roman"/>
          <w:sz w:val="32"/>
          <w:szCs w:val="32"/>
        </w:rPr>
        <w:t>b</w:t>
      </w:r>
      <w:r>
        <w:rPr>
          <w:rFonts w:hint="eastAsia" w:ascii="Times New Roman" w:hAnsi="Times New Roman"/>
          <w:sz w:val="32"/>
          <w:szCs w:val="32"/>
        </w:rPr>
        <w:t>）</w:t>
      </w:r>
    </w:p>
    <w:p>
      <w:pPr>
        <w:widowControl w:val="0"/>
        <w:jc w:val="center"/>
        <w:rPr>
          <w:rFonts w:ascii="Times New Roman" w:hAnsi="Times New Roman"/>
          <w:sz w:val="21"/>
          <w:szCs w:val="21"/>
        </w:rPr>
      </w:pPr>
      <w:r>
        <w:rPr>
          <w:rFonts w:hint="eastAsia" w:ascii="Times New Roman" w:hAnsi="Times New Roman"/>
          <w:sz w:val="21"/>
          <w:szCs w:val="21"/>
        </w:rPr>
        <w:t>图8.1.10-2排桩计算宽度</w:t>
      </w:r>
    </w:p>
    <w:p>
      <w:pPr>
        <w:widowControl w:val="0"/>
        <w:ind w:firstLine="315" w:firstLineChars="150"/>
        <w:jc w:val="center"/>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a</w:t>
      </w:r>
      <w:r>
        <w:rPr>
          <w:rFonts w:hint="eastAsia" w:ascii="Times New Roman" w:hAnsi="Times New Roman"/>
          <w:sz w:val="21"/>
          <w:szCs w:val="21"/>
        </w:rPr>
        <w:t>）</w:t>
      </w:r>
      <w:r>
        <w:rPr>
          <w:rFonts w:ascii="Times New Roman" w:hAnsi="Times New Roman"/>
          <w:sz w:val="21"/>
          <w:szCs w:val="21"/>
        </w:rPr>
        <w:t xml:space="preserve"> </w:t>
      </w:r>
      <w:r>
        <w:rPr>
          <w:rFonts w:hint="eastAsia" w:ascii="Times New Roman" w:hAnsi="Times New Roman"/>
          <w:sz w:val="21"/>
          <w:szCs w:val="21"/>
        </w:rPr>
        <w:t>圆形截面排桩计算宽度</w:t>
      </w:r>
      <w:r>
        <w:rPr>
          <w:rFonts w:ascii="Times New Roman" w:hAnsi="Times New Roman"/>
          <w:sz w:val="21"/>
          <w:szCs w:val="21"/>
        </w:rPr>
        <w:t xml:space="preserve">             </w:t>
      </w:r>
      <w:r>
        <w:rPr>
          <w:rFonts w:hint="eastAsia" w:ascii="Times New Roman" w:hAnsi="Times New Roman"/>
          <w:sz w:val="21"/>
          <w:szCs w:val="21"/>
        </w:rPr>
        <w:t>（</w:t>
      </w:r>
      <w:r>
        <w:rPr>
          <w:rFonts w:ascii="Times New Roman" w:hAnsi="Times New Roman"/>
          <w:sz w:val="21"/>
          <w:szCs w:val="21"/>
        </w:rPr>
        <w:t>b</w:t>
      </w:r>
      <w:r>
        <w:rPr>
          <w:rFonts w:hint="eastAsia" w:ascii="Times New Roman" w:hAnsi="Times New Roman"/>
          <w:sz w:val="21"/>
          <w:szCs w:val="21"/>
        </w:rPr>
        <w:t>）矩形或工字型截面排桩计算宽度</w:t>
      </w:r>
    </w:p>
    <w:p>
      <w:pPr>
        <w:widowControl w:val="0"/>
        <w:tabs>
          <w:tab w:val="left" w:pos="5245"/>
          <w:tab w:val="left" w:pos="5812"/>
          <w:tab w:val="left" w:pos="6237"/>
        </w:tabs>
        <w:ind w:right="-58" w:rightChars="-24"/>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排桩对称中心线；</w:t>
      </w:r>
      <w:r>
        <w:rPr>
          <w:rFonts w:ascii="Times New Roman" w:hAnsi="Times New Roman"/>
          <w:sz w:val="21"/>
          <w:szCs w:val="21"/>
        </w:rPr>
        <w:t xml:space="preserve">  2</w:t>
      </w:r>
      <w:r>
        <w:rPr>
          <w:rFonts w:hint="eastAsia" w:ascii="Times New Roman" w:hAnsi="Times New Roman"/>
          <w:sz w:val="21"/>
          <w:szCs w:val="21"/>
        </w:rPr>
        <w:t>一圆形桩</w:t>
      </w:r>
      <w:r>
        <w:rPr>
          <w:rFonts w:ascii="Times New Roman" w:hAnsi="Times New Roman"/>
          <w:sz w:val="21"/>
          <w:szCs w:val="21"/>
        </w:rPr>
        <w:t>；   3—</w:t>
      </w:r>
      <w:r>
        <w:rPr>
          <w:rFonts w:hint="eastAsia" w:ascii="Times New Roman" w:hAnsi="Times New Roman"/>
          <w:sz w:val="21"/>
          <w:szCs w:val="21"/>
        </w:rPr>
        <w:t>矩形桩或工字型桩</w:t>
      </w:r>
    </w:p>
    <w:p>
      <w:pPr>
        <w:widowControl w:val="0"/>
        <w:ind w:left="480" w:leftChars="200" w:firstLine="315" w:firstLineChars="150"/>
        <w:rPr>
          <w:rFonts w:ascii="Times New Roman" w:hAnsi="Times New Roman"/>
          <w:i/>
          <w:sz w:val="21"/>
          <w:szCs w:val="21"/>
          <w:vertAlign w:val="subscript"/>
        </w:rPr>
      </w:pPr>
      <w:r>
        <w:rPr>
          <w:rFonts w:hint="eastAsia" w:ascii="Times New Roman" w:hAnsi="Times New Roman"/>
          <w:sz w:val="21"/>
          <w:szCs w:val="21"/>
        </w:rPr>
        <w:t>注：排桩取单桩进行结构分析时，土压力计算宽度</w:t>
      </w:r>
      <w:r>
        <w:rPr>
          <w:rFonts w:ascii="Times New Roman" w:hAnsi="Times New Roman"/>
          <w:i/>
          <w:sz w:val="21"/>
          <w:szCs w:val="21"/>
        </w:rPr>
        <w:t>b</w:t>
      </w:r>
      <w:r>
        <w:rPr>
          <w:rFonts w:ascii="Times New Roman" w:hAnsi="Times New Roman"/>
          <w:i/>
          <w:sz w:val="21"/>
          <w:szCs w:val="21"/>
          <w:vertAlign w:val="subscript"/>
        </w:rPr>
        <w:t>a</w:t>
      </w:r>
      <w:r>
        <w:rPr>
          <w:rFonts w:hint="eastAsia" w:ascii="Times New Roman" w:hAnsi="Times New Roman"/>
          <w:sz w:val="21"/>
          <w:szCs w:val="21"/>
        </w:rPr>
        <w:t>取排桩间距</w:t>
      </w:r>
      <w:r>
        <w:rPr>
          <w:rFonts w:ascii="Times New Roman" w:hAnsi="Times New Roman"/>
          <w:i/>
          <w:sz w:val="21"/>
          <w:szCs w:val="21"/>
        </w:rPr>
        <w:t>S</w:t>
      </w:r>
      <w:r>
        <w:rPr>
          <w:rFonts w:ascii="Times New Roman" w:hAnsi="Times New Roman"/>
          <w:i/>
          <w:sz w:val="21"/>
          <w:szCs w:val="21"/>
          <w:vertAlign w:val="subscript"/>
        </w:rPr>
        <w:t>a</w:t>
      </w:r>
      <w:r>
        <w:rPr>
          <w:rFonts w:hint="eastAsia" w:ascii="Times New Roman" w:hAnsi="Times New Roman"/>
          <w:sz w:val="21"/>
          <w:szCs w:val="21"/>
        </w:rPr>
        <w:t>，土反力计算宽度</w:t>
      </w:r>
      <w:r>
        <w:rPr>
          <w:rFonts w:ascii="Times New Roman" w:hAnsi="Times New Roman"/>
          <w:i/>
          <w:sz w:val="21"/>
          <w:szCs w:val="21"/>
        </w:rPr>
        <w:t>b</w:t>
      </w:r>
      <w:r>
        <w:rPr>
          <w:rFonts w:ascii="Times New Roman" w:hAnsi="Times New Roman"/>
          <w:i/>
          <w:sz w:val="21"/>
          <w:szCs w:val="21"/>
          <w:vertAlign w:val="subscript"/>
        </w:rPr>
        <w:t>0</w:t>
      </w:r>
    </w:p>
    <w:p>
      <w:pPr>
        <w:widowControl w:val="0"/>
        <w:ind w:left="480" w:leftChars="200" w:firstLine="735" w:firstLineChars="350"/>
        <w:rPr>
          <w:rFonts w:ascii="Times New Roman" w:hAnsi="Times New Roman"/>
          <w:sz w:val="21"/>
          <w:szCs w:val="21"/>
        </w:rPr>
      </w:pPr>
      <w:r>
        <w:rPr>
          <w:rFonts w:hint="eastAsia" w:ascii="Times New Roman" w:hAnsi="Times New Roman"/>
          <w:sz w:val="21"/>
          <w:szCs w:val="21"/>
        </w:rPr>
        <w:t>按</w:t>
      </w:r>
      <w:r>
        <w:rPr>
          <w:rFonts w:hint="eastAsia" w:ascii="Times New Roman" w:hAnsi="Times New Roman"/>
          <w:sz w:val="21"/>
          <w:szCs w:val="21"/>
          <w:lang w:eastAsia="zh-CN"/>
        </w:rPr>
        <w:t>本标准</w:t>
      </w:r>
      <w:r>
        <w:rPr>
          <w:rFonts w:hint="eastAsia" w:ascii="Times New Roman" w:hAnsi="Times New Roman"/>
          <w:sz w:val="21"/>
          <w:szCs w:val="21"/>
        </w:rPr>
        <w:t>第8.1.12条的规定取值。</w:t>
      </w:r>
    </w:p>
    <w:p>
      <w:pPr>
        <w:widowControl w:val="0"/>
        <w:spacing w:line="480" w:lineRule="exact"/>
        <w:rPr>
          <w:rFonts w:ascii="Times New Roman" w:hAnsi="Times New Roman"/>
          <w:color w:val="auto"/>
        </w:rPr>
      </w:pPr>
      <w:r>
        <w:rPr>
          <w:rFonts w:hint="eastAsia" w:ascii="Times New Roman" w:hAnsi="Times New Roman"/>
          <w:b/>
          <w:szCs w:val="28"/>
        </w:rPr>
        <w:t>8.1.11</w:t>
      </w:r>
      <w:r>
        <w:rPr>
          <w:rFonts w:hint="eastAsia" w:ascii="Times New Roman" w:hAnsi="Times New Roman"/>
          <w:szCs w:val="28"/>
        </w:rPr>
        <w:t xml:space="preserve"> 排</w:t>
      </w:r>
      <w:r>
        <w:rPr>
          <w:rFonts w:hint="eastAsia" w:ascii="Times New Roman" w:hAnsi="Times New Roman"/>
        </w:rPr>
        <w:t>桩竖向挡土构件嵌固段的分布土反力可</w:t>
      </w:r>
      <w:r>
        <w:rPr>
          <w:rFonts w:hint="eastAsia" w:ascii="Times New Roman" w:hAnsi="Times New Roman"/>
          <w:color w:val="auto"/>
        </w:rPr>
        <w:t>按式</w:t>
      </w:r>
      <w:r>
        <w:rPr>
          <w:rFonts w:hint="eastAsia" w:ascii="Times New Roman" w:hAnsi="Times New Roman"/>
          <w:color w:val="auto"/>
          <w:lang w:eastAsia="zh-CN"/>
        </w:rPr>
        <w:t>（</w:t>
      </w:r>
      <w:r>
        <w:rPr>
          <w:rFonts w:hint="eastAsia" w:ascii="Times New Roman" w:hAnsi="Times New Roman"/>
          <w:color w:val="auto"/>
          <w:lang w:val="en-US" w:eastAsia="zh-CN"/>
        </w:rPr>
        <w:t>8.1.11-1</w:t>
      </w:r>
      <w:r>
        <w:rPr>
          <w:rFonts w:hint="eastAsia" w:ascii="Times New Roman" w:hAnsi="Times New Roman"/>
          <w:color w:val="auto"/>
          <w:lang w:eastAsia="zh-CN"/>
        </w:rPr>
        <w:t>）</w:t>
      </w:r>
      <w:r>
        <w:rPr>
          <w:rFonts w:hint="eastAsia" w:ascii="Times New Roman" w:hAnsi="Times New Roman"/>
          <w:color w:val="auto"/>
        </w:rPr>
        <w:t>计算：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color w:val="auto"/>
              </w:rPr>
            </w:pPr>
            <w:r>
              <w:rPr>
                <w:rFonts w:ascii="Times New Roman" w:hAnsi="Times New Roman"/>
                <w:color w:val="auto"/>
              </w:rPr>
              <w:drawing>
                <wp:inline distT="0" distB="0" distL="114300" distR="114300">
                  <wp:extent cx="1038225" cy="200025"/>
                  <wp:effectExtent l="0" t="0" r="13335" b="13970"/>
                  <wp:docPr id="51"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06"/>
                          <pic:cNvPicPr>
                            <a:picLocks noChangeAspect="true"/>
                          </pic:cNvPicPr>
                        </pic:nvPicPr>
                        <pic:blipFill>
                          <a:blip r:embed="rId313">
                            <a:clrChange>
                              <a:clrFrom>
                                <a:srgbClr val="FFFFFF"/>
                              </a:clrFrom>
                              <a:clrTo>
                                <a:srgbClr val="FFFFFF">
                                  <a:alpha val="0"/>
                                </a:srgbClr>
                              </a:clrTo>
                            </a:clrChange>
                          </a:blip>
                          <a:stretch>
                            <a:fillRect/>
                          </a:stretch>
                        </pic:blipFill>
                        <pic:spPr>
                          <a:xfrm>
                            <a:off x="0" y="0"/>
                            <a:ext cx="1038225" cy="200025"/>
                          </a:xfrm>
                          <a:prstGeom prst="rect">
                            <a:avLst/>
                          </a:prstGeom>
                          <a:noFill/>
                          <a:ln>
                            <a:noFill/>
                          </a:ln>
                        </pic:spPr>
                      </pic:pic>
                    </a:graphicData>
                  </a:graphic>
                </wp:inline>
              </w:drawing>
            </w:r>
          </w:p>
        </w:tc>
        <w:tc>
          <w:tcPr>
            <w:tcW w:w="4927" w:type="dxa"/>
          </w:tcPr>
          <w:p>
            <w:pPr>
              <w:widowControl w:val="0"/>
              <w:spacing w:line="480" w:lineRule="exact"/>
              <w:jc w:val="right"/>
              <w:rPr>
                <w:rFonts w:ascii="Times New Roman" w:hAnsi="Times New Roman"/>
                <w:color w:val="auto"/>
              </w:rPr>
            </w:pPr>
            <w:r>
              <w:rPr>
                <w:rFonts w:hint="eastAsia" w:ascii="Times New Roman" w:hAnsi="Times New Roman"/>
                <w:color w:val="auto"/>
                <w:szCs w:val="28"/>
              </w:rPr>
              <w:t>（8.1.11-1）</w:t>
            </w:r>
          </w:p>
        </w:tc>
      </w:tr>
    </w:tbl>
    <w:p>
      <w:pPr>
        <w:widowControl w:val="0"/>
        <w:spacing w:line="480" w:lineRule="exact"/>
        <w:ind w:firstLine="480" w:firstLineChars="200"/>
        <w:rPr>
          <w:rFonts w:ascii="Times New Roman" w:hAnsi="Times New Roman"/>
        </w:rPr>
      </w:pPr>
      <w:r>
        <w:rPr>
          <w:rFonts w:hint="eastAsia" w:ascii="Times New Roman" w:hAnsi="Times New Roman"/>
          <w:color w:val="auto"/>
        </w:rPr>
        <w:t>挡土构件嵌固段上的基坑内侧分布土反力应符合</w:t>
      </w:r>
      <w:r>
        <w:rPr>
          <w:rFonts w:hint="eastAsia" w:ascii="Times New Roman" w:hAnsi="Times New Roman"/>
          <w:color w:val="auto"/>
          <w:lang w:val="en-US" w:eastAsia="zh-CN"/>
        </w:rPr>
        <w:t>式（8.1.11-2）</w:t>
      </w:r>
      <w:r>
        <w:rPr>
          <w:rFonts w:hint="eastAsia" w:ascii="Times New Roman" w:hAnsi="Times New Roman"/>
          <w:color w:val="auto"/>
        </w:rPr>
        <w:t>条</w:t>
      </w:r>
      <w:r>
        <w:rPr>
          <w:rFonts w:hint="eastAsia" w:ascii="Times New Roman" w:hAnsi="Times New Roman"/>
        </w:rPr>
        <w:t>件：</w:t>
      </w:r>
    </w:p>
    <w:tbl>
      <w:tblPr>
        <w:tblStyle w:val="32"/>
        <w:tblW w:w="0" w:type="auto"/>
        <w:tblInd w:w="420" w:type="dxa"/>
        <w:tblLayout w:type="fixed"/>
        <w:tblCellMar>
          <w:top w:w="0" w:type="dxa"/>
          <w:left w:w="108" w:type="dxa"/>
          <w:bottom w:w="0" w:type="dxa"/>
          <w:right w:w="108" w:type="dxa"/>
        </w:tblCellMar>
      </w:tblPr>
      <w:tblGrid>
        <w:gridCol w:w="4697"/>
        <w:gridCol w:w="4737"/>
      </w:tblGrid>
      <w:tr>
        <w:tc>
          <w:tcPr>
            <w:tcW w:w="4697" w:type="dxa"/>
          </w:tcPr>
          <w:p>
            <w:pPr>
              <w:widowControl w:val="0"/>
              <w:spacing w:line="480" w:lineRule="exact"/>
              <w:ind w:right="480"/>
              <w:jc w:val="center"/>
              <w:rPr>
                <w:rFonts w:ascii="Times New Roman" w:hAnsi="Times New Roman"/>
              </w:rPr>
            </w:pPr>
            <w:r>
              <w:rPr>
                <w:rFonts w:hint="eastAsia" w:ascii="Times New Roman" w:hAnsi="Times New Roman"/>
              </w:rPr>
              <w:t xml:space="preserve">                    </w:t>
            </w:r>
            <w:r>
              <w:rPr>
                <w:rFonts w:hint="eastAsia" w:ascii="Times New Roman" w:hAnsi="Times New Roman"/>
                <w:i/>
              </w:rPr>
              <w:t>P</w:t>
            </w:r>
            <w:r>
              <w:rPr>
                <w:rFonts w:hint="eastAsia" w:ascii="Times New Roman" w:hAnsi="Times New Roman"/>
                <w:vertAlign w:val="subscript"/>
              </w:rPr>
              <w:t>Sk</w:t>
            </w:r>
            <w:r>
              <w:rPr>
                <w:rFonts w:hint="eastAsia" w:ascii="Times New Roman" w:hAnsi="Times New Roman"/>
              </w:rPr>
              <w:t>≤</w:t>
            </w:r>
            <w:r>
              <w:rPr>
                <w:rFonts w:hint="eastAsia" w:ascii="Times New Roman" w:hAnsi="Times New Roman"/>
                <w:i/>
              </w:rPr>
              <w:t>E</w:t>
            </w:r>
            <w:r>
              <w:rPr>
                <w:rFonts w:hint="eastAsia" w:ascii="Times New Roman" w:hAnsi="Times New Roman"/>
                <w:vertAlign w:val="subscript"/>
              </w:rPr>
              <w:t>pk</w:t>
            </w:r>
          </w:p>
        </w:tc>
        <w:tc>
          <w:tcPr>
            <w:tcW w:w="4737" w:type="dxa"/>
          </w:tcPr>
          <w:p>
            <w:pPr>
              <w:widowControl w:val="0"/>
              <w:spacing w:line="480" w:lineRule="exact"/>
              <w:jc w:val="right"/>
              <w:rPr>
                <w:rFonts w:ascii="Times New Roman" w:hAnsi="Times New Roman"/>
              </w:rPr>
            </w:pPr>
            <w:r>
              <w:rPr>
                <w:rFonts w:hint="eastAsia" w:ascii="Times New Roman" w:hAnsi="Times New Roman"/>
                <w:szCs w:val="28"/>
              </w:rPr>
              <w:t>（8.1.11-2）</w:t>
            </w:r>
          </w:p>
        </w:tc>
      </w:tr>
    </w:tbl>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当不符合式</w:t>
      </w:r>
      <w:r>
        <w:rPr>
          <w:rFonts w:ascii="Times New Roman" w:hAnsi="Times New Roman"/>
        </w:rPr>
        <w:t>(</w:t>
      </w:r>
      <w:r>
        <w:rPr>
          <w:rFonts w:hint="eastAsia" w:ascii="Times New Roman" w:hAnsi="Times New Roman"/>
          <w:szCs w:val="28"/>
        </w:rPr>
        <w:t>8.1.11-2</w:t>
      </w:r>
      <w:r>
        <w:rPr>
          <w:rFonts w:ascii="Times New Roman" w:hAnsi="Times New Roman"/>
        </w:rPr>
        <w:t xml:space="preserve"> )</w:t>
      </w:r>
      <w:r>
        <w:rPr>
          <w:rFonts w:hint="eastAsia" w:ascii="Times New Roman" w:hAnsi="Times New Roman"/>
        </w:rPr>
        <w:t>的计算条件时，应增加挡土构件的嵌固长度或取</w:t>
      </w:r>
      <w:r>
        <w:rPr>
          <w:rFonts w:hint="eastAsia" w:ascii="Times New Roman" w:hAnsi="Times New Roman"/>
          <w:position w:val="-6"/>
        </w:rPr>
        <w:drawing>
          <wp:inline distT="0" distB="0" distL="114300" distR="114300">
            <wp:extent cx="142875" cy="200025"/>
            <wp:effectExtent l="0" t="0" r="9525" b="13970"/>
            <wp:docPr id="53" name="图片 1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07"/>
                    <pic:cNvPicPr>
                      <a:picLocks noChangeAspect="true"/>
                    </pic:cNvPicPr>
                  </pic:nvPicPr>
                  <pic:blipFill>
                    <a:blip r:embed="rId314">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hint="eastAsia" w:ascii="Times New Roman" w:hAnsi="Times New Roman"/>
        </w:rPr>
        <w:t>=</w:t>
      </w:r>
      <w:r>
        <w:rPr>
          <w:rFonts w:hint="eastAsia" w:ascii="Times New Roman" w:hAnsi="Times New Roman"/>
          <w:position w:val="-6"/>
        </w:rPr>
        <w:drawing>
          <wp:inline distT="0" distB="0" distL="114300" distR="114300">
            <wp:extent cx="161925" cy="200025"/>
            <wp:effectExtent l="0" t="0" r="5715" b="13970"/>
            <wp:docPr id="55" name="图片 1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08"/>
                    <pic:cNvPicPr>
                      <a:picLocks noChangeAspect="true"/>
                    </pic:cNvPicPr>
                  </pic:nvPicPr>
                  <pic:blipFill>
                    <a:blip r:embed="rId315">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hint="eastAsia" w:ascii="Times New Roman" w:hAnsi="Times New Roman"/>
        </w:rPr>
        <w:t>时的分布土反力。</w:t>
      </w:r>
    </w:p>
    <w:p>
      <w:pPr>
        <w:widowControl w:val="0"/>
        <w:spacing w:line="480" w:lineRule="exact"/>
        <w:rPr>
          <w:rFonts w:ascii="Times New Roman" w:hAnsi="Times New Roman"/>
        </w:rPr>
      </w:pPr>
      <w:r>
        <w:rPr>
          <w:rFonts w:hint="eastAsia" w:ascii="Times New Roman" w:hAnsi="Times New Roman"/>
        </w:rPr>
        <w:t xml:space="preserve">式中： </w:t>
      </w:r>
      <w:r>
        <w:rPr>
          <w:rFonts w:hint="eastAsia" w:ascii="Times New Roman" w:hAnsi="Times New Roman"/>
          <w:position w:val="-6"/>
        </w:rPr>
        <w:drawing>
          <wp:inline distT="0" distB="0" distL="114300" distR="114300">
            <wp:extent cx="142875" cy="200025"/>
            <wp:effectExtent l="0" t="0" r="9525" b="13970"/>
            <wp:docPr id="56" name="图片 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109"/>
                    <pic:cNvPicPr>
                      <a:picLocks noChangeAspect="true"/>
                    </pic:cNvPicPr>
                  </pic:nvPicPr>
                  <pic:blipFill>
                    <a:blip r:embed="rId314">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挡土构件嵌固段的分布土反力（kPa）；</w:t>
      </w:r>
      <w:r>
        <w:rPr>
          <w:rFonts w:ascii="Times New Roman" w:hAnsi="Times New Roman"/>
        </w:rPr>
        <w:t xml:space="preserve"> </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position w:val="-6"/>
        </w:rPr>
        <w:drawing>
          <wp:inline distT="0" distB="0" distL="114300" distR="114300">
            <wp:extent cx="152400" cy="200025"/>
            <wp:effectExtent l="0" t="0" r="0" b="13970"/>
            <wp:docPr id="59" name="图片 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10"/>
                    <pic:cNvPicPr>
                      <a:picLocks noChangeAspect="true"/>
                    </pic:cNvPicPr>
                  </pic:nvPicPr>
                  <pic:blipFill>
                    <a:blip r:embed="rId316">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土的水平反力系数，对多层土，按不同土层分别取值（kN/m</w:t>
      </w:r>
      <w:r>
        <w:rPr>
          <w:rFonts w:hint="eastAsia" w:ascii="Times New Roman" w:hAnsi="Times New Roman"/>
          <w:vertAlign w:val="superscript"/>
        </w:rPr>
        <w:t>3</w:t>
      </w:r>
      <w:r>
        <w:rPr>
          <w:rFonts w:hint="eastAsia" w:ascii="Times New Roman" w:hAnsi="Times New Roman"/>
        </w:rPr>
        <w:t>）；</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152400" cy="200025"/>
            <wp:effectExtent l="0" t="0" r="0" b="13970"/>
            <wp:docPr id="57" name="图片 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111"/>
                    <pic:cNvPicPr>
                      <a:picLocks noChangeAspect="true"/>
                    </pic:cNvPicPr>
                  </pic:nvPicPr>
                  <pic:blipFill>
                    <a:blip r:embed="rId317">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分布土反力计算点的挡土构件水平位移值（m）；</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209550" cy="200025"/>
            <wp:effectExtent l="0" t="0" r="3810" b="13970"/>
            <wp:docPr id="58" name="图片 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112"/>
                    <pic:cNvPicPr>
                      <a:picLocks noChangeAspect="true"/>
                    </pic:cNvPicPr>
                  </pic:nvPicPr>
                  <pic:blipFill>
                    <a:blip r:embed="rId318">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ascii="Times New Roman" w:hAnsi="Times New Roman"/>
        </w:rPr>
        <w:t>——</w:t>
      </w:r>
      <w:r>
        <w:rPr>
          <w:rFonts w:hint="eastAsia"/>
          <w:szCs w:val="24"/>
        </w:rPr>
        <w:t>挡土构件嵌固段的分布土反力初始值</w:t>
      </w:r>
      <w:r>
        <w:rPr>
          <w:rFonts w:hint="eastAsia" w:ascii="Times New Roman" w:hAnsi="Times New Roman"/>
        </w:rPr>
        <w:t>（kPa），挡土构件嵌固段上的基坑内侧初始分布土反力可按本</w:t>
      </w:r>
      <w:r>
        <w:rPr>
          <w:rFonts w:hint="eastAsia" w:ascii="Times New Roman" w:hAnsi="Times New Roman"/>
          <w:color w:val="0000FF"/>
          <w:lang w:val="en-US" w:eastAsia="zh-CN"/>
        </w:rPr>
        <w:t>标准</w:t>
      </w:r>
      <w:r>
        <w:rPr>
          <w:rFonts w:hint="eastAsia" w:ascii="Times New Roman" w:hAnsi="Times New Roman"/>
          <w:color w:val="0000FF"/>
          <w:u w:val="none"/>
        </w:rPr>
        <w:t>公式（5.5.1-1）或公式（5.5.1-5）</w:t>
      </w:r>
      <w:r>
        <w:rPr>
          <w:rFonts w:hint="eastAsia"/>
          <w:szCs w:val="24"/>
        </w:rPr>
        <w:t>计算，但应将公式中</w:t>
      </w:r>
      <w:r>
        <w:rPr>
          <w:rFonts w:hint="eastAsia"/>
          <w:i/>
          <w:szCs w:val="24"/>
        </w:rPr>
        <w:t>p</w:t>
      </w:r>
      <w:r>
        <w:rPr>
          <w:rFonts w:hint="eastAsia"/>
          <w:szCs w:val="24"/>
          <w:vertAlign w:val="subscript"/>
        </w:rPr>
        <w:t>ak</w:t>
      </w:r>
      <w:r>
        <w:rPr>
          <w:rFonts w:hint="eastAsia"/>
          <w:szCs w:val="24"/>
        </w:rPr>
        <w:t>用</w:t>
      </w:r>
      <w:r>
        <w:rPr>
          <w:rFonts w:hint="eastAsia"/>
          <w:i/>
          <w:szCs w:val="24"/>
        </w:rPr>
        <w:t>p</w:t>
      </w:r>
      <w:r>
        <w:rPr>
          <w:rFonts w:hint="eastAsia"/>
          <w:szCs w:val="24"/>
          <w:vertAlign w:val="subscript"/>
        </w:rPr>
        <w:t>s0</w:t>
      </w:r>
      <w:r>
        <w:rPr>
          <w:rFonts w:hint="eastAsia"/>
          <w:szCs w:val="24"/>
        </w:rPr>
        <w:t>代替、用代替、</w:t>
      </w:r>
      <w:r>
        <w:rPr>
          <w:rFonts w:hint="eastAsia"/>
          <w:i/>
          <w:szCs w:val="24"/>
        </w:rPr>
        <w:t>u</w:t>
      </w:r>
      <w:r>
        <w:rPr>
          <w:rFonts w:hint="eastAsia"/>
          <w:szCs w:val="24"/>
          <w:vertAlign w:val="subscript"/>
        </w:rPr>
        <w:t>a</w:t>
      </w:r>
      <w:r>
        <w:rPr>
          <w:rFonts w:hint="eastAsia"/>
          <w:szCs w:val="24"/>
        </w:rPr>
        <w:t>用</w:t>
      </w:r>
      <w:r>
        <w:rPr>
          <w:rFonts w:hint="eastAsia"/>
          <w:i/>
          <w:szCs w:val="24"/>
        </w:rPr>
        <w:t>u</w:t>
      </w:r>
      <w:r>
        <w:rPr>
          <w:rFonts w:hint="eastAsia"/>
          <w:szCs w:val="24"/>
          <w:vertAlign w:val="subscript"/>
        </w:rPr>
        <w:t>p</w:t>
      </w:r>
      <w:r>
        <w:rPr>
          <w:rFonts w:hint="eastAsia"/>
          <w:szCs w:val="24"/>
        </w:rPr>
        <w:t>代替，且不计（</w:t>
      </w:r>
      <w:r>
        <w:rPr>
          <w:rFonts w:hint="eastAsia"/>
          <w:position w:val="-23"/>
        </w:rPr>
        <w:drawing>
          <wp:inline distT="0" distB="0" distL="114300" distR="114300">
            <wp:extent cx="523875" cy="400050"/>
            <wp:effectExtent l="0" t="0" r="9525" b="0"/>
            <wp:docPr id="60"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13"/>
                    <pic:cNvPicPr>
                      <a:picLocks noChangeAspect="true"/>
                    </pic:cNvPicPr>
                  </pic:nvPicPr>
                  <pic:blipFill>
                    <a:blip r:embed="rId319">
                      <a:clrChange>
                        <a:clrFrom>
                          <a:srgbClr val="FFFFFF"/>
                        </a:clrFrom>
                        <a:clrTo>
                          <a:srgbClr val="FFFFFF">
                            <a:alpha val="0"/>
                          </a:srgbClr>
                        </a:clrTo>
                      </a:clrChange>
                    </a:blip>
                    <a:stretch>
                      <a:fillRect/>
                    </a:stretch>
                  </pic:blipFill>
                  <pic:spPr>
                    <a:xfrm>
                      <a:off x="0" y="0"/>
                      <a:ext cx="523875" cy="400050"/>
                    </a:xfrm>
                    <a:prstGeom prst="rect">
                      <a:avLst/>
                    </a:prstGeom>
                    <a:noFill/>
                    <a:ln>
                      <a:noFill/>
                    </a:ln>
                  </pic:spPr>
                </pic:pic>
              </a:graphicData>
            </a:graphic>
          </wp:inline>
        </w:drawing>
      </w:r>
      <w:r>
        <w:rPr>
          <w:rFonts w:hint="eastAsia"/>
          <w:szCs w:val="24"/>
        </w:rPr>
        <w:t>）项；</w:t>
      </w:r>
      <w:r>
        <w:rPr>
          <w:rFonts w:hint="eastAsia" w:ascii="Times New Roman" w:hAnsi="Times New Roman"/>
        </w:rPr>
        <w:t xml:space="preserve"> </w:t>
      </w:r>
    </w:p>
    <w:p>
      <w:pPr>
        <w:widowControl w:val="0"/>
        <w:spacing w:line="480" w:lineRule="exact"/>
        <w:ind w:firstLine="720" w:firstLineChars="300"/>
        <w:rPr>
          <w:rFonts w:hint="eastAsia" w:ascii="Times New Roman" w:hAnsi="Times New Roman" w:eastAsia="宋体"/>
          <w:lang w:eastAsia="zh-CN"/>
        </w:rPr>
      </w:pPr>
      <w:r>
        <w:rPr>
          <w:rFonts w:hint="eastAsia" w:ascii="Times New Roman" w:hAnsi="Times New Roman"/>
          <w:i/>
        </w:rPr>
        <w:t>P</w:t>
      </w:r>
      <w:r>
        <w:rPr>
          <w:rFonts w:hint="eastAsia" w:ascii="Times New Roman" w:hAnsi="Times New Roman"/>
          <w:vertAlign w:val="subscript"/>
        </w:rPr>
        <w:t>Sk</w:t>
      </w:r>
      <w:r>
        <w:rPr>
          <w:rFonts w:ascii="Times New Roman" w:hAnsi="Times New Roman"/>
          <w:vertAlign w:val="subscript"/>
        </w:rPr>
        <w:t xml:space="preserve"> </w:t>
      </w:r>
      <w:r>
        <w:rPr>
          <w:rFonts w:ascii="Times New Roman" w:hAnsi="Times New Roman"/>
        </w:rPr>
        <w:t>——</w:t>
      </w:r>
      <w:r>
        <w:rPr>
          <w:rFonts w:hint="eastAsia" w:ascii="Times New Roman" w:hAnsi="Times New Roman"/>
        </w:rPr>
        <w:t>作用在挡土构件嵌固段上的基坑内侧土反力合力（k</w:t>
      </w:r>
      <w:r>
        <w:rPr>
          <w:rFonts w:ascii="Times New Roman" w:hAnsi="Times New Roman"/>
        </w:rPr>
        <w:t>N</w:t>
      </w:r>
      <w:r>
        <w:rPr>
          <w:rFonts w:hint="eastAsia" w:ascii="Times New Roman" w:hAnsi="Times New Roman"/>
        </w:rPr>
        <w:t>），按公式（</w:t>
      </w:r>
      <w:r>
        <w:rPr>
          <w:rFonts w:hint="eastAsia" w:ascii="Times New Roman" w:hAnsi="Times New Roman"/>
          <w:szCs w:val="28"/>
        </w:rPr>
        <w:t>8.1.11-2</w:t>
      </w:r>
      <w:r>
        <w:rPr>
          <w:rFonts w:hint="eastAsia" w:ascii="Times New Roman" w:hAnsi="Times New Roman"/>
        </w:rPr>
        <w:t>）计算</w:t>
      </w:r>
      <w:r>
        <w:rPr>
          <w:rFonts w:hint="eastAsia" w:ascii="Times New Roman" w:hAnsi="Times New Roman"/>
          <w:lang w:eastAsia="zh-CN"/>
        </w:rPr>
        <w:t>；</w:t>
      </w:r>
    </w:p>
    <w:p>
      <w:pPr>
        <w:widowControl w:val="0"/>
        <w:spacing w:line="480" w:lineRule="exact"/>
        <w:ind w:firstLine="720" w:firstLineChars="300"/>
        <w:rPr>
          <w:rFonts w:ascii="Times New Roman" w:hAnsi="Times New Roman"/>
        </w:rPr>
      </w:pPr>
      <w:r>
        <w:rPr>
          <w:rFonts w:hint="eastAsia" w:ascii="Times New Roman" w:hAnsi="Times New Roman"/>
        </w:rPr>
        <w:t>E</w:t>
      </w:r>
      <w:r>
        <w:rPr>
          <w:rFonts w:hint="eastAsia" w:ascii="Times New Roman" w:hAnsi="Times New Roman"/>
          <w:vertAlign w:val="subscript"/>
        </w:rPr>
        <w:t>pk</w:t>
      </w:r>
      <w:r>
        <w:rPr>
          <w:rFonts w:ascii="Times New Roman" w:hAnsi="Times New Roman"/>
        </w:rPr>
        <w:t>——</w:t>
      </w:r>
      <w:r>
        <w:rPr>
          <w:rFonts w:hint="eastAsia" w:ascii="Times New Roman" w:hAnsi="Times New Roman"/>
        </w:rPr>
        <w:t>挡土构件嵌固段上的被动土压力标准值（kN）,按</w:t>
      </w:r>
      <w:r>
        <w:rPr>
          <w:rFonts w:hint="eastAsia" w:ascii="Times New Roman" w:hAnsi="Times New Roman"/>
          <w:color w:val="0000FF"/>
          <w:u w:val="none"/>
        </w:rPr>
        <w:t>本</w:t>
      </w:r>
      <w:r>
        <w:rPr>
          <w:rFonts w:hint="eastAsia" w:ascii="Times New Roman" w:hAnsi="Times New Roman"/>
          <w:color w:val="0000FF"/>
          <w:u w:val="none"/>
          <w:lang w:val="en-US" w:eastAsia="zh-CN"/>
        </w:rPr>
        <w:t>标准</w:t>
      </w:r>
      <w:r>
        <w:rPr>
          <w:rFonts w:hint="eastAsia" w:ascii="Times New Roman" w:hAnsi="Times New Roman"/>
          <w:color w:val="0000FF"/>
          <w:u w:val="none"/>
        </w:rPr>
        <w:t>公式（5.5.1-3）或（5.5.1-6）</w:t>
      </w:r>
      <w:r>
        <w:rPr>
          <w:rFonts w:hint="eastAsia" w:ascii="Times New Roman" w:hAnsi="Times New Roman"/>
        </w:rPr>
        <w:t>计算。</w:t>
      </w:r>
    </w:p>
    <w:p>
      <w:pPr>
        <w:widowControl w:val="0"/>
        <w:spacing w:line="480" w:lineRule="exact"/>
        <w:ind w:firstLine="480" w:firstLineChars="200"/>
        <w:rPr>
          <w:rFonts w:ascii="Times New Roman" w:hAnsi="Times New Roman"/>
        </w:rPr>
      </w:pPr>
      <w:r>
        <w:rPr>
          <w:rFonts w:hint="eastAsia" w:ascii="Times New Roman" w:hAnsi="Times New Roman"/>
        </w:rPr>
        <w:t>土的水平反力系数可按下式计算：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Times New Roman" w:hAnsi="Times New Roman"/>
              </w:rPr>
            </w:pPr>
            <w:r>
              <w:rPr>
                <w:rFonts w:ascii="Times New Roman" w:hAnsi="Times New Roman"/>
              </w:rPr>
              <w:drawing>
                <wp:inline distT="0" distB="0" distL="114300" distR="114300">
                  <wp:extent cx="1019175" cy="200025"/>
                  <wp:effectExtent l="0" t="0" r="1905" b="13970"/>
                  <wp:docPr id="63"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14"/>
                          <pic:cNvPicPr>
                            <a:picLocks noChangeAspect="true"/>
                          </pic:cNvPicPr>
                        </pic:nvPicPr>
                        <pic:blipFill>
                          <a:blip r:embed="rId320">
                            <a:clrChange>
                              <a:clrFrom>
                                <a:srgbClr val="FFFFFF"/>
                              </a:clrFrom>
                              <a:clrTo>
                                <a:srgbClr val="FFFFFF">
                                  <a:alpha val="0"/>
                                </a:srgbClr>
                              </a:clrTo>
                            </a:clrChange>
                          </a:blip>
                          <a:stretch>
                            <a:fillRect/>
                          </a:stretch>
                        </pic:blipFill>
                        <pic:spPr>
                          <a:xfrm>
                            <a:off x="0" y="0"/>
                            <a:ext cx="1019175" cy="200025"/>
                          </a:xfrm>
                          <a:prstGeom prst="rect">
                            <a:avLst/>
                          </a:prstGeom>
                          <a:noFill/>
                          <a:ln>
                            <a:noFill/>
                          </a:ln>
                        </pic:spPr>
                      </pic:pic>
                    </a:graphicData>
                  </a:graphic>
                </wp:inline>
              </w:drawing>
            </w:r>
          </w:p>
        </w:tc>
        <w:tc>
          <w:tcPr>
            <w:tcW w:w="4927" w:type="dxa"/>
          </w:tcPr>
          <w:p>
            <w:pPr>
              <w:widowControl w:val="0"/>
              <w:spacing w:line="480" w:lineRule="exact"/>
              <w:jc w:val="right"/>
              <w:rPr>
                <w:rFonts w:ascii="Times New Roman" w:hAnsi="Times New Roman"/>
              </w:rPr>
            </w:pPr>
            <w:r>
              <w:rPr>
                <w:rFonts w:hint="eastAsia" w:ascii="Times New Roman" w:hAnsi="Times New Roman"/>
                <w:szCs w:val="28"/>
              </w:rPr>
              <w:t>（8.1.11-3）</w:t>
            </w:r>
          </w:p>
        </w:tc>
      </w:tr>
    </w:tbl>
    <w:p>
      <w:pPr>
        <w:widowControl w:val="0"/>
        <w:spacing w:line="480" w:lineRule="exact"/>
        <w:rPr>
          <w:rFonts w:ascii="Times New Roman" w:hAnsi="Times New Roman"/>
        </w:rPr>
      </w:pPr>
      <w:r>
        <w:rPr>
          <w:rFonts w:hint="eastAsia" w:ascii="Times New Roman" w:hAnsi="Times New Roman"/>
        </w:rPr>
        <w:t>式中：</w:t>
      </w:r>
      <w:r>
        <w:rPr>
          <w:rFonts w:hint="eastAsia" w:ascii="Times New Roman" w:hAnsi="Times New Roman"/>
          <w:position w:val="-6"/>
        </w:rPr>
        <w:drawing>
          <wp:inline distT="0" distB="0" distL="114300" distR="114300">
            <wp:extent cx="133350" cy="200025"/>
            <wp:effectExtent l="0" t="0" r="3810" b="0"/>
            <wp:docPr id="61" name="图片 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115"/>
                    <pic:cNvPicPr>
                      <a:picLocks noChangeAspect="true"/>
                    </pic:cNvPicPr>
                  </pic:nvPicPr>
                  <pic:blipFill>
                    <a:blip r:embed="rId321">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土的水平反力系数的比例系数（</w:t>
      </w:r>
      <w:r>
        <w:rPr>
          <w:rFonts w:ascii="Times New Roman" w:hAnsi="Times New Roman"/>
          <w:szCs w:val="21"/>
        </w:rPr>
        <w:t>MN</w:t>
      </w:r>
      <w:r>
        <w:rPr>
          <w:rFonts w:hint="eastAsia" w:ascii="Times New Roman" w:hAnsi="Times New Roman"/>
          <w:szCs w:val="21"/>
        </w:rPr>
        <w:t>/</w:t>
      </w:r>
      <w:r>
        <w:rPr>
          <w:rFonts w:ascii="Times New Roman" w:hAnsi="Times New Roman"/>
          <w:szCs w:val="21"/>
        </w:rPr>
        <w:t>m</w:t>
      </w:r>
      <w:r>
        <w:rPr>
          <w:rFonts w:hint="eastAsia" w:ascii="Times New Roman" w:hAnsi="Times New Roman"/>
          <w:szCs w:val="21"/>
          <w:vertAlign w:val="superscript"/>
        </w:rPr>
        <w:t>4</w:t>
      </w:r>
      <w:r>
        <w:rPr>
          <w:rFonts w:hint="eastAsia" w:ascii="Times New Roman" w:hAnsi="Times New Roman"/>
        </w:rPr>
        <w:t>），对多层土，按不同土层分别取值；</w:t>
      </w:r>
    </w:p>
    <w:p>
      <w:pPr>
        <w:widowControl w:val="0"/>
        <w:spacing w:line="480" w:lineRule="exact"/>
        <w:ind w:firstLine="720" w:firstLineChars="300"/>
        <w:rPr>
          <w:rFonts w:ascii="Times New Roman" w:hAnsi="Times New Roman"/>
        </w:rPr>
      </w:pPr>
      <w:r>
        <w:rPr>
          <w:rFonts w:ascii="Times New Roman" w:hAnsi="Times New Roman"/>
        </w:rPr>
        <w:t xml:space="preserve"> </w:t>
      </w:r>
      <w:r>
        <w:rPr>
          <w:rFonts w:ascii="Times New Roman" w:hAnsi="Times New Roman"/>
          <w:position w:val="-6"/>
        </w:rPr>
        <w:drawing>
          <wp:inline distT="0" distB="0" distL="114300" distR="114300">
            <wp:extent cx="76200" cy="200025"/>
            <wp:effectExtent l="0" t="0" r="0" b="0"/>
            <wp:docPr id="62"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16"/>
                    <pic:cNvPicPr>
                      <a:picLocks noChangeAspect="true"/>
                    </pic:cNvPicPr>
                  </pic:nvPicPr>
                  <pic:blipFill>
                    <a:blip r:embed="rId322">
                      <a:clrChange>
                        <a:clrFrom>
                          <a:srgbClr val="FFFFFF"/>
                        </a:clrFrom>
                        <a:clrTo>
                          <a:srgbClr val="FFFFFF">
                            <a:alpha val="0"/>
                          </a:srgbClr>
                        </a:clrTo>
                      </a:clrChange>
                    </a:blip>
                    <a:stretch>
                      <a:fillRect/>
                    </a:stretch>
                  </pic:blipFill>
                  <pic:spPr>
                    <a:xfrm>
                      <a:off x="0" y="0"/>
                      <a:ext cx="762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计算点距地面的深度；</w:t>
      </w:r>
    </w:p>
    <w:p>
      <w:pPr>
        <w:widowControl w:val="0"/>
        <w:spacing w:line="480" w:lineRule="exact"/>
        <w:ind w:firstLine="720" w:firstLineChars="300"/>
        <w:rPr>
          <w:rFonts w:ascii="Times New Roman" w:hAnsi="Times New Roman"/>
        </w:rPr>
      </w:pPr>
      <w:r>
        <w:rPr>
          <w:rFonts w:ascii="Times New Roman" w:hAnsi="Times New Roman"/>
          <w:position w:val="-6"/>
        </w:rPr>
        <w:drawing>
          <wp:inline distT="0" distB="0" distL="114300" distR="114300">
            <wp:extent cx="152400" cy="200025"/>
            <wp:effectExtent l="0" t="0" r="0" b="13970"/>
            <wp:docPr id="64" name="图片 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17"/>
                    <pic:cNvPicPr>
                      <a:picLocks noChangeAspect="true"/>
                    </pic:cNvPicPr>
                  </pic:nvPicPr>
                  <pic:blipFill>
                    <a:blip r:embed="rId323">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计算工况的基坑开挖深度。</w:t>
      </w:r>
    </w:p>
    <w:p>
      <w:pPr>
        <w:widowControl w:val="0"/>
        <w:spacing w:line="480" w:lineRule="exact"/>
        <w:ind w:firstLine="480" w:firstLineChars="200"/>
        <w:rPr>
          <w:rFonts w:ascii="Times New Roman" w:hAnsi="Times New Roman"/>
        </w:rPr>
      </w:pPr>
      <w:r>
        <w:rPr>
          <w:rFonts w:hint="eastAsia" w:ascii="Times New Roman" w:hAnsi="Times New Roman"/>
        </w:rPr>
        <w:t>土的水平反力系数的比例系数</w:t>
      </w:r>
      <w:r>
        <w:rPr>
          <w:rFonts w:hint="eastAsia" w:ascii="Times New Roman" w:hAnsi="Times New Roman"/>
          <w:position w:val="-6"/>
        </w:rPr>
        <w:drawing>
          <wp:inline distT="0" distB="0" distL="114300" distR="114300">
            <wp:extent cx="133350" cy="200025"/>
            <wp:effectExtent l="0" t="0" r="3810" b="0"/>
            <wp:docPr id="102" name="图片 1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18"/>
                    <pic:cNvPicPr>
                      <a:picLocks noChangeAspect="true"/>
                    </pic:cNvPicPr>
                  </pic:nvPicPr>
                  <pic:blipFill>
                    <a:blip r:embed="rId321">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rFonts w:hint="eastAsia" w:ascii="Times New Roman" w:hAnsi="Times New Roman"/>
        </w:rPr>
        <w:t>宜按桩的水平载荷试验及地区经验取值，缺少试验和经验时，可按</w:t>
      </w:r>
      <w:r>
        <w:rPr>
          <w:rFonts w:hint="eastAsia" w:ascii="Times New Roman" w:hAnsi="Times New Roman"/>
          <w:color w:val="auto"/>
        </w:rPr>
        <w:t>式</w:t>
      </w:r>
      <w:r>
        <w:rPr>
          <w:rFonts w:hint="eastAsia" w:ascii="Times New Roman" w:hAnsi="Times New Roman"/>
          <w:color w:val="auto"/>
          <w:lang w:eastAsia="zh-CN"/>
        </w:rPr>
        <w:t>（</w:t>
      </w:r>
      <w:r>
        <w:rPr>
          <w:rFonts w:hint="eastAsia" w:ascii="Times New Roman" w:hAnsi="Times New Roman"/>
          <w:color w:val="auto"/>
          <w:lang w:val="en-US" w:eastAsia="zh-CN"/>
        </w:rPr>
        <w:t>8.1.11-4</w:t>
      </w:r>
      <w:r>
        <w:rPr>
          <w:rFonts w:hint="eastAsia" w:ascii="Times New Roman" w:hAnsi="Times New Roman"/>
          <w:color w:val="auto"/>
          <w:lang w:eastAsia="zh-CN"/>
        </w:rPr>
        <w:t>）</w:t>
      </w:r>
      <w:r>
        <w:rPr>
          <w:rFonts w:hint="eastAsia" w:ascii="Times New Roman" w:hAnsi="Times New Roman"/>
          <w:color w:val="auto"/>
        </w:rPr>
        <w:t>进</w:t>
      </w:r>
      <w:r>
        <w:rPr>
          <w:rFonts w:hint="eastAsia" w:ascii="Times New Roman" w:hAnsi="Times New Roman"/>
        </w:rPr>
        <w:t>行计算：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vAlign w:val="center"/>
          </w:tcPr>
          <w:p>
            <w:pPr>
              <w:widowControl w:val="0"/>
              <w:jc w:val="right"/>
              <w:rPr>
                <w:rFonts w:ascii="Times New Roman" w:hAnsi="Times New Roman"/>
                <w:szCs w:val="21"/>
              </w:rPr>
            </w:pPr>
            <w:r>
              <w:rPr>
                <w:position w:val="-24"/>
              </w:rPr>
              <w:drawing>
                <wp:inline distT="0" distB="0" distL="114300" distR="114300">
                  <wp:extent cx="1524000" cy="400050"/>
                  <wp:effectExtent l="0" t="0" r="0" b="0"/>
                  <wp:docPr id="111" name="图片 1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19"/>
                          <pic:cNvPicPr>
                            <a:picLocks noChangeAspect="true"/>
                          </pic:cNvPicPr>
                        </pic:nvPicPr>
                        <pic:blipFill>
                          <a:blip r:embed="rId324">
                            <a:clrChange>
                              <a:clrFrom>
                                <a:srgbClr val="FFFFFF"/>
                              </a:clrFrom>
                              <a:clrTo>
                                <a:srgbClr val="FFFFFF">
                                  <a:alpha val="0"/>
                                </a:srgbClr>
                              </a:clrTo>
                            </a:clrChange>
                          </a:blip>
                          <a:stretch>
                            <a:fillRect/>
                          </a:stretch>
                        </pic:blipFill>
                        <pic:spPr>
                          <a:xfrm>
                            <a:off x="0" y="0"/>
                            <a:ext cx="1524000" cy="400050"/>
                          </a:xfrm>
                          <a:prstGeom prst="rect">
                            <a:avLst/>
                          </a:prstGeom>
                          <a:noFill/>
                          <a:ln>
                            <a:noFill/>
                          </a:ln>
                        </pic:spPr>
                      </pic:pic>
                    </a:graphicData>
                  </a:graphic>
                </wp:inline>
              </w:drawing>
            </w:r>
            <w:r>
              <w:rPr>
                <w:rFonts w:hint="eastAsia"/>
                <w:position w:val="-24"/>
              </w:rPr>
              <w:t xml:space="preserve"> </w:t>
            </w:r>
          </w:p>
        </w:tc>
        <w:tc>
          <w:tcPr>
            <w:tcW w:w="4927" w:type="dxa"/>
            <w:vAlign w:val="center"/>
          </w:tcPr>
          <w:p>
            <w:pPr>
              <w:widowControl w:val="0"/>
              <w:spacing w:line="480" w:lineRule="auto"/>
              <w:jc w:val="right"/>
              <w:rPr>
                <w:rFonts w:ascii="Times New Roman" w:hAnsi="Times New Roman"/>
                <w:szCs w:val="21"/>
              </w:rPr>
            </w:pPr>
            <w:r>
              <w:rPr>
                <w:rFonts w:hint="eastAsia" w:ascii="Times New Roman" w:hAnsi="Times New Roman"/>
                <w:szCs w:val="28"/>
              </w:rPr>
              <w:t>（8.1.11-4）</w:t>
            </w:r>
          </w:p>
        </w:tc>
      </w:tr>
    </w:tbl>
    <w:p>
      <w:pPr>
        <w:widowControl w:val="0"/>
        <w:spacing w:line="480" w:lineRule="exact"/>
        <w:ind w:left="1680" w:hanging="1680" w:hangingChars="700"/>
      </w:pPr>
      <w:r>
        <w:rPr>
          <w:rFonts w:hint="eastAsia"/>
        </w:rPr>
        <w:t>式中：</w:t>
      </w:r>
      <w:r>
        <w:rPr>
          <w:position w:val="-8"/>
        </w:rPr>
        <w:drawing>
          <wp:inline distT="0" distB="0" distL="114300" distR="114300">
            <wp:extent cx="66675" cy="200025"/>
            <wp:effectExtent l="0" t="0" r="9525" b="0"/>
            <wp:docPr id="103"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20"/>
                    <pic:cNvPicPr>
                      <a:picLocks noChangeAspect="true"/>
                    </pic:cNvPicPr>
                  </pic:nvPicPr>
                  <pic:blipFill>
                    <a:blip r:embed="rId325">
                      <a:clrChange>
                        <a:clrFrom>
                          <a:srgbClr val="FFFFFF"/>
                        </a:clrFrom>
                        <a:clrTo>
                          <a:srgbClr val="FFFFFF">
                            <a:alpha val="0"/>
                          </a:srgbClr>
                        </a:clrTo>
                      </a:clrChange>
                    </a:blip>
                    <a:stretch>
                      <a:fillRect/>
                    </a:stretch>
                  </pic:blipFill>
                  <pic:spPr>
                    <a:xfrm>
                      <a:off x="0" y="0"/>
                      <a:ext cx="66675" cy="200025"/>
                    </a:xfrm>
                    <a:prstGeom prst="rect">
                      <a:avLst/>
                    </a:prstGeom>
                    <a:noFill/>
                    <a:ln>
                      <a:noFill/>
                    </a:ln>
                  </pic:spPr>
                </pic:pic>
              </a:graphicData>
            </a:graphic>
          </wp:inline>
        </w:drawing>
      </w:r>
      <w:r>
        <w:rPr>
          <w:rFonts w:hint="eastAsia"/>
        </w:rPr>
        <w:t>、</w:t>
      </w:r>
      <w:r>
        <w:rPr>
          <w:rFonts w:hint="eastAsia"/>
          <w:position w:val="-8"/>
        </w:rPr>
        <w:drawing>
          <wp:inline distT="0" distB="0" distL="114300" distR="114300">
            <wp:extent cx="95250" cy="200025"/>
            <wp:effectExtent l="0" t="0" r="11430" b="13970"/>
            <wp:docPr id="113" name="图片 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21"/>
                    <pic:cNvPicPr>
                      <a:picLocks noChangeAspect="true"/>
                    </pic:cNvPicPr>
                  </pic:nvPicPr>
                  <pic:blipFill>
                    <a:blip r:embed="rId326">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rPr>
        <w:t>土的黏聚力（k</w:t>
      </w:r>
      <w:r>
        <w:t>Pa</w:t>
      </w:r>
      <w:r>
        <w:rPr>
          <w:rFonts w:hint="eastAsia"/>
        </w:rPr>
        <w:t>）、内摩擦角（°），按</w:t>
      </w:r>
      <w:r>
        <w:rPr>
          <w:rFonts w:hint="eastAsia" w:eastAsia="宋体"/>
          <w:lang w:eastAsia="zh-CN"/>
        </w:rPr>
        <w:t>本标准</w:t>
      </w:r>
      <w:r>
        <w:rPr>
          <w:rFonts w:hint="eastAsia"/>
        </w:rPr>
        <w:t>第5.3.3条规定确定，对多层土，按不同土层分别取值；</w:t>
      </w:r>
    </w:p>
    <w:p>
      <w:pPr>
        <w:pStyle w:val="43"/>
        <w:spacing w:line="480" w:lineRule="exact"/>
        <w:ind w:left="1800" w:hanging="1800" w:hangingChars="750"/>
        <w:jc w:val="left"/>
        <w:rPr>
          <w:color w:val="auto"/>
        </w:rPr>
      </w:pP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rFonts w:hint="eastAsia"/>
          <w:position w:val="-8"/>
        </w:rPr>
        <w:drawing>
          <wp:inline distT="0" distB="0" distL="114300" distR="114300">
            <wp:extent cx="133350" cy="200025"/>
            <wp:effectExtent l="0" t="0" r="3810" b="13970"/>
            <wp:docPr id="99"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122"/>
                    <pic:cNvPicPr>
                      <a:picLocks noChangeAspect="true"/>
                    </pic:cNvPicPr>
                  </pic:nvPicPr>
                  <pic:blipFill>
                    <a:blip r:embed="rId327">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rFonts w:ascii="Times New Roman" w:hAnsi="Times New Roman"/>
        </w:rPr>
        <w:t>——</w:t>
      </w:r>
      <w:r>
        <w:rPr>
          <w:rFonts w:hint="eastAsia"/>
          <w:sz w:val="24"/>
          <w:szCs w:val="24"/>
        </w:rPr>
        <w:t>基坑底面处的挡土构件水平位移量（</w:t>
      </w:r>
      <w:r>
        <w:rPr>
          <w:szCs w:val="21"/>
        </w:rPr>
        <w:t>mm</w:t>
      </w:r>
      <w:r>
        <w:rPr>
          <w:rFonts w:hint="eastAsia"/>
          <w:sz w:val="24"/>
          <w:szCs w:val="24"/>
        </w:rPr>
        <w:t>），当挡土构件嵌固段处的实际水平位移小</w:t>
      </w:r>
      <w:r>
        <w:rPr>
          <w:rFonts w:hint="eastAsia"/>
          <w:color w:val="auto"/>
          <w:sz w:val="24"/>
          <w:szCs w:val="24"/>
        </w:rPr>
        <w:t>于</w:t>
      </w:r>
      <w:r>
        <w:rPr>
          <w:color w:val="auto"/>
          <w:sz w:val="24"/>
          <w:szCs w:val="24"/>
        </w:rPr>
        <w:t>10mm</w:t>
      </w:r>
      <w:r>
        <w:rPr>
          <w:rFonts w:hint="eastAsia"/>
          <w:color w:val="auto"/>
          <w:sz w:val="24"/>
          <w:szCs w:val="24"/>
        </w:rPr>
        <w:t>时，可取</w:t>
      </w:r>
      <w:r>
        <w:rPr>
          <w:color w:val="auto"/>
          <w:sz w:val="24"/>
          <w:szCs w:val="24"/>
        </w:rPr>
        <w:t xml:space="preserve"> </w:t>
      </w:r>
      <w:r>
        <w:rPr>
          <w:color w:val="auto"/>
          <w:position w:val="-8"/>
        </w:rPr>
        <w:drawing>
          <wp:inline distT="0" distB="0" distL="114300" distR="114300">
            <wp:extent cx="133350" cy="200025"/>
            <wp:effectExtent l="0" t="0" r="3810" b="13970"/>
            <wp:docPr id="92" name="图片 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123"/>
                    <pic:cNvPicPr>
                      <a:picLocks noChangeAspect="true"/>
                    </pic:cNvPicPr>
                  </pic:nvPicPr>
                  <pic:blipFill>
                    <a:blip r:embed="rId327">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color w:val="auto"/>
          <w:sz w:val="24"/>
          <w:szCs w:val="24"/>
        </w:rPr>
        <w:t>=10mm</w:t>
      </w:r>
      <w:r>
        <w:rPr>
          <w:rFonts w:hint="eastAsia"/>
          <w:color w:val="auto"/>
          <w:sz w:val="24"/>
          <w:szCs w:val="24"/>
        </w:rPr>
        <w:t>。</w:t>
      </w:r>
    </w:p>
    <w:p>
      <w:pPr>
        <w:widowControl w:val="0"/>
        <w:spacing w:line="480" w:lineRule="exact"/>
        <w:rPr>
          <w:rFonts w:ascii="Times New Roman" w:hAnsi="Times New Roman"/>
        </w:rPr>
      </w:pPr>
      <w:bookmarkStart w:id="473" w:name="_Toc565"/>
      <w:bookmarkStart w:id="474" w:name="_Toc17398"/>
      <w:r>
        <w:rPr>
          <w:rFonts w:hint="eastAsia" w:ascii="Times New Roman" w:hAnsi="Times New Roman"/>
          <w:b/>
          <w:bCs/>
          <w:color w:val="auto"/>
        </w:rPr>
        <w:t xml:space="preserve">8.1.12 </w:t>
      </w:r>
      <w:r>
        <w:rPr>
          <w:rFonts w:hint="eastAsia" w:ascii="Times New Roman" w:hAnsi="Times New Roman"/>
          <w:color w:val="auto"/>
        </w:rPr>
        <w:t>排桩的单桩土反力计算宽度应按下列</w:t>
      </w:r>
      <w:r>
        <w:rPr>
          <w:rFonts w:hint="eastAsia" w:ascii="Times New Roman" w:hAnsi="Times New Roman"/>
          <w:color w:val="auto"/>
          <w:lang w:val="en-US" w:eastAsia="zh-CN"/>
        </w:rPr>
        <w:t>公式</w:t>
      </w:r>
      <w:r>
        <w:rPr>
          <w:rFonts w:hint="eastAsia" w:ascii="Times New Roman" w:hAnsi="Times New Roman"/>
          <w:color w:val="auto"/>
        </w:rPr>
        <w:t>规定</w:t>
      </w:r>
      <w:r>
        <w:rPr>
          <w:rFonts w:hint="eastAsia" w:ascii="Times New Roman" w:hAnsi="Times New Roman"/>
        </w:rPr>
        <w:t>计算：</w:t>
      </w:r>
      <w:bookmarkEnd w:id="473"/>
      <w:bookmarkEnd w:id="474"/>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圆形桩</w:t>
      </w:r>
    </w:p>
    <w:tbl>
      <w:tblPr>
        <w:tblStyle w:val="32"/>
        <w:tblW w:w="0" w:type="auto"/>
        <w:tblInd w:w="0" w:type="dxa"/>
        <w:tblLayout w:type="fixed"/>
        <w:tblCellMar>
          <w:top w:w="0" w:type="dxa"/>
          <w:left w:w="108" w:type="dxa"/>
          <w:bottom w:w="0" w:type="dxa"/>
          <w:right w:w="108" w:type="dxa"/>
        </w:tblCellMar>
      </w:tblPr>
      <w:tblGrid>
        <w:gridCol w:w="6204"/>
        <w:gridCol w:w="3650"/>
      </w:tblGrid>
      <w:tr>
        <w:tc>
          <w:tcPr>
            <w:tcW w:w="6204" w:type="dxa"/>
          </w:tcPr>
          <w:p>
            <w:pPr>
              <w:widowControl w:val="0"/>
              <w:spacing w:line="480" w:lineRule="exact"/>
              <w:jc w:val="right"/>
              <w:rPr>
                <w:rFonts w:ascii="Times New Roman" w:hAnsi="Times New Roman"/>
              </w:rPr>
            </w:pPr>
            <w:r>
              <w:rPr>
                <w:rFonts w:ascii="Times New Roman" w:hAnsi="Times New Roman"/>
                <w:position w:val="-6"/>
              </w:rPr>
              <w:drawing>
                <wp:inline distT="0" distB="0" distL="114300" distR="114300">
                  <wp:extent cx="142875" cy="200025"/>
                  <wp:effectExtent l="0" t="0" r="9525" b="13970"/>
                  <wp:docPr id="107" name="图片 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124"/>
                          <pic:cNvPicPr>
                            <a:picLocks noChangeAspect="true"/>
                          </pic:cNvPicPr>
                        </pic:nvPicPr>
                        <pic:blipFill>
                          <a:blip r:embed="rId32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 xml:space="preserve"> =0.9(1. 5</w:t>
            </w:r>
            <w:r>
              <w:rPr>
                <w:rFonts w:ascii="Times New Roman" w:hAnsi="Times New Roman"/>
                <w:position w:val="-6"/>
              </w:rPr>
              <w:drawing>
                <wp:inline distT="0" distB="0" distL="114300" distR="114300">
                  <wp:extent cx="95250" cy="200025"/>
                  <wp:effectExtent l="0" t="0" r="11430" b="0"/>
                  <wp:docPr id="104"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25"/>
                          <pic:cNvPicPr>
                            <a:picLocks noChangeAspect="true"/>
                          </pic:cNvPicPr>
                        </pic:nvPicPr>
                        <pic:blipFill>
                          <a:blip r:embed="rId329">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hint="eastAsia" w:ascii="Times New Roman" w:hAnsi="Times New Roman"/>
              </w:rPr>
              <w:t>+</w:t>
            </w:r>
            <w:r>
              <w:rPr>
                <w:rFonts w:ascii="Times New Roman" w:hAnsi="Times New Roman"/>
              </w:rPr>
              <w:t xml:space="preserve">0. 5)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95250" cy="200025"/>
                  <wp:effectExtent l="0" t="0" r="11430" b="0"/>
                  <wp:docPr id="105" name="图片 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26"/>
                          <pic:cNvPicPr>
                            <a:picLocks noChangeAspect="true"/>
                          </pic:cNvPicPr>
                        </pic:nvPicPr>
                        <pic:blipFill>
                          <a:blip r:embed="rId329">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hint="eastAsia" w:ascii="Times New Roman" w:hAnsi="Times New Roman"/>
              </w:rPr>
              <w:t>≤</w:t>
            </w:r>
            <w:r>
              <w:rPr>
                <w:rFonts w:ascii="Times New Roman" w:hAnsi="Times New Roman"/>
              </w:rPr>
              <w:t>1m)</w:t>
            </w:r>
          </w:p>
        </w:tc>
        <w:tc>
          <w:tcPr>
            <w:tcW w:w="3650" w:type="dxa"/>
          </w:tcPr>
          <w:p>
            <w:pPr>
              <w:widowControl w:val="0"/>
              <w:spacing w:line="480" w:lineRule="exact"/>
              <w:jc w:val="right"/>
              <w:rPr>
                <w:rFonts w:ascii="Times New Roman" w:hAnsi="Times New Roman"/>
              </w:rPr>
            </w:pPr>
            <w:r>
              <w:rPr>
                <w:rFonts w:ascii="Times New Roman" w:hAnsi="Times New Roman"/>
              </w:rPr>
              <w:t>(</w:t>
            </w:r>
            <w:r>
              <w:rPr>
                <w:rFonts w:hint="eastAsia" w:ascii="Times New Roman" w:hAnsi="Times New Roman"/>
              </w:rPr>
              <w:t>8.1.12-1</w:t>
            </w:r>
            <w:r>
              <w:rPr>
                <w:rFonts w:ascii="Times New Roman" w:hAnsi="Times New Roman"/>
              </w:rPr>
              <w:t>)</w:t>
            </w:r>
          </w:p>
        </w:tc>
      </w:tr>
      <w:tr>
        <w:tc>
          <w:tcPr>
            <w:tcW w:w="6204" w:type="dxa"/>
          </w:tcPr>
          <w:p>
            <w:pPr>
              <w:widowControl w:val="0"/>
              <w:spacing w:line="480" w:lineRule="exact"/>
              <w:jc w:val="right"/>
              <w:rPr>
                <w:rFonts w:ascii="Times New Roman" w:hAnsi="Times New Roman"/>
              </w:rPr>
            </w:pPr>
            <w:r>
              <w:rPr>
                <w:rFonts w:ascii="Times New Roman" w:hAnsi="Times New Roman"/>
                <w:position w:val="-6"/>
              </w:rPr>
              <w:drawing>
                <wp:inline distT="0" distB="0" distL="114300" distR="114300">
                  <wp:extent cx="142875" cy="200025"/>
                  <wp:effectExtent l="0" t="0" r="9525" b="13970"/>
                  <wp:docPr id="109" name="图片 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27"/>
                          <pic:cNvPicPr>
                            <a:picLocks noChangeAspect="true"/>
                          </pic:cNvPicPr>
                        </pic:nvPicPr>
                        <pic:blipFill>
                          <a:blip r:embed="rId32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 xml:space="preserve"> =0. 9(</w:t>
            </w:r>
            <w:r>
              <w:rPr>
                <w:rFonts w:ascii="Times New Roman" w:hAnsi="Times New Roman"/>
                <w:position w:val="-6"/>
              </w:rPr>
              <w:drawing>
                <wp:inline distT="0" distB="0" distL="114300" distR="114300">
                  <wp:extent cx="95250" cy="200025"/>
                  <wp:effectExtent l="0" t="0" r="11430" b="0"/>
                  <wp:docPr id="100" name="图片 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28"/>
                          <pic:cNvPicPr>
                            <a:picLocks noChangeAspect="true"/>
                          </pic:cNvPicPr>
                        </pic:nvPicPr>
                        <pic:blipFill>
                          <a:blip r:embed="rId329">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 xml:space="preserve">+1)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95250" cy="200025"/>
                  <wp:effectExtent l="0" t="0" r="11430" b="0"/>
                  <wp:docPr id="106" name="图片 1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29"/>
                          <pic:cNvPicPr>
                            <a:picLocks noChangeAspect="true"/>
                          </pic:cNvPicPr>
                        </pic:nvPicPr>
                        <pic:blipFill>
                          <a:blip r:embed="rId329">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&gt;1m)</w:t>
            </w:r>
          </w:p>
        </w:tc>
        <w:tc>
          <w:tcPr>
            <w:tcW w:w="3650" w:type="dxa"/>
          </w:tcPr>
          <w:p>
            <w:pPr>
              <w:widowControl w:val="0"/>
              <w:spacing w:line="480" w:lineRule="exact"/>
              <w:jc w:val="right"/>
              <w:rPr>
                <w:rFonts w:ascii="Times New Roman" w:hAnsi="Times New Roman"/>
              </w:rPr>
            </w:pPr>
            <w:r>
              <w:rPr>
                <w:rFonts w:ascii="Times New Roman" w:hAnsi="Times New Roman"/>
              </w:rPr>
              <w:t>(</w:t>
            </w:r>
            <w:r>
              <w:rPr>
                <w:rFonts w:hint="eastAsia" w:ascii="Times New Roman" w:hAnsi="Times New Roman"/>
              </w:rPr>
              <w:t>8.1.12-2</w:t>
            </w:r>
            <w:r>
              <w:rPr>
                <w:rFonts w:ascii="Times New Roman" w:hAnsi="Times New Roman"/>
              </w:rPr>
              <w:t>)</w:t>
            </w:r>
          </w:p>
        </w:tc>
      </w:tr>
    </w:tbl>
    <w:p>
      <w:pPr>
        <w:widowControl w:val="0"/>
        <w:spacing w:line="480" w:lineRule="exact"/>
        <w:rPr>
          <w:rFonts w:ascii="Times New Roman" w:hAnsi="Times New Roman"/>
        </w:rPr>
      </w:pPr>
      <w:r>
        <w:rPr>
          <w:rFonts w:hint="eastAsia" w:ascii="Times New Roman" w:hAnsi="Times New Roman"/>
        </w:rPr>
        <w:t xml:space="preserve">式中： </w:t>
      </w:r>
      <w:r>
        <w:rPr>
          <w:rFonts w:hint="eastAsia" w:ascii="Times New Roman" w:hAnsi="Times New Roman"/>
          <w:position w:val="-6"/>
        </w:rPr>
        <w:drawing>
          <wp:inline distT="0" distB="0" distL="114300" distR="114300">
            <wp:extent cx="142875" cy="200025"/>
            <wp:effectExtent l="0" t="0" r="9525" b="13970"/>
            <wp:docPr id="101" name="图片 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30"/>
                    <pic:cNvPicPr>
                      <a:picLocks noChangeAspect="true"/>
                    </pic:cNvPicPr>
                  </pic:nvPicPr>
                  <pic:blipFill>
                    <a:blip r:embed="rId32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单桩土反力计算宽度</w:t>
      </w:r>
      <w:r>
        <w:rPr>
          <w:rFonts w:hint="eastAsia" w:ascii="Times New Roman" w:hAnsi="Times New Roman"/>
          <w:szCs w:val="24"/>
        </w:rPr>
        <w:t>（</w:t>
      </w:r>
      <w:r>
        <w:rPr>
          <w:rFonts w:ascii="Times New Roman" w:hAnsi="Times New Roman"/>
          <w:szCs w:val="21"/>
        </w:rPr>
        <w:t>m</w:t>
      </w:r>
      <w:r>
        <w:rPr>
          <w:rFonts w:hint="eastAsia" w:ascii="Times New Roman" w:hAnsi="Times New Roman"/>
          <w:szCs w:val="24"/>
        </w:rPr>
        <w:t>）</w:t>
      </w:r>
      <w:r>
        <w:rPr>
          <w:rFonts w:hint="eastAsia" w:ascii="Times New Roman" w:hAnsi="Times New Roman"/>
        </w:rPr>
        <w:t>；</w:t>
      </w:r>
    </w:p>
    <w:p>
      <w:pPr>
        <w:widowControl w:val="0"/>
        <w:spacing w:line="480" w:lineRule="exact"/>
        <w:ind w:left="480" w:leftChars="200" w:firstLine="480" w:firstLineChars="200"/>
        <w:rPr>
          <w:rFonts w:ascii="Times New Roman" w:hAnsi="Times New Roman"/>
        </w:rPr>
      </w:pPr>
      <w:r>
        <w:rPr>
          <w:rFonts w:ascii="Times New Roman" w:hAnsi="Times New Roman"/>
          <w:position w:val="-6"/>
        </w:rPr>
        <w:drawing>
          <wp:inline distT="0" distB="0" distL="114300" distR="114300">
            <wp:extent cx="95250" cy="200025"/>
            <wp:effectExtent l="0" t="0" r="11430" b="0"/>
            <wp:docPr id="108"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131"/>
                    <pic:cNvPicPr>
                      <a:picLocks noChangeAspect="true"/>
                    </pic:cNvPicPr>
                  </pic:nvPicPr>
                  <pic:blipFill>
                    <a:blip r:embed="rId329">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桩的直径</w:t>
      </w:r>
      <w:r>
        <w:rPr>
          <w:rFonts w:hint="eastAsia" w:ascii="Times New Roman" w:hAnsi="Times New Roman"/>
          <w:szCs w:val="24"/>
        </w:rPr>
        <w:t>（</w:t>
      </w:r>
      <w:r>
        <w:rPr>
          <w:rFonts w:ascii="Times New Roman" w:hAnsi="Times New Roman"/>
          <w:szCs w:val="21"/>
        </w:rPr>
        <w:t>m</w:t>
      </w:r>
      <w:r>
        <w:rPr>
          <w:rFonts w:hint="eastAsia" w:ascii="Times New Roman" w:hAnsi="Times New Roman"/>
          <w:szCs w:val="24"/>
        </w:rPr>
        <w:t>）</w:t>
      </w:r>
      <w:r>
        <w:rPr>
          <w:rFonts w:hint="eastAsia" w:ascii="Times New Roman" w:hAnsi="Times New Roman"/>
        </w:rPr>
        <w:t>。</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矩形桩</w:t>
      </w:r>
    </w:p>
    <w:tbl>
      <w:tblPr>
        <w:tblStyle w:val="32"/>
        <w:tblW w:w="0" w:type="auto"/>
        <w:tblInd w:w="0" w:type="dxa"/>
        <w:tblLayout w:type="fixed"/>
        <w:tblCellMar>
          <w:top w:w="0" w:type="dxa"/>
          <w:left w:w="108" w:type="dxa"/>
          <w:bottom w:w="0" w:type="dxa"/>
          <w:right w:w="108" w:type="dxa"/>
        </w:tblCellMar>
      </w:tblPr>
      <w:tblGrid>
        <w:gridCol w:w="6204"/>
        <w:gridCol w:w="3650"/>
      </w:tblGrid>
      <w:tr>
        <w:tblPrEx>
          <w:tblCellMar>
            <w:top w:w="0" w:type="dxa"/>
            <w:left w:w="108" w:type="dxa"/>
            <w:bottom w:w="0" w:type="dxa"/>
            <w:right w:w="108" w:type="dxa"/>
          </w:tblCellMar>
        </w:tblPrEx>
        <w:tc>
          <w:tcPr>
            <w:tcW w:w="6204" w:type="dxa"/>
          </w:tcPr>
          <w:p>
            <w:pPr>
              <w:widowControl w:val="0"/>
              <w:spacing w:line="480" w:lineRule="exact"/>
              <w:jc w:val="right"/>
              <w:rPr>
                <w:rFonts w:ascii="Times New Roman" w:hAnsi="Times New Roman"/>
              </w:rPr>
            </w:pPr>
            <w:r>
              <w:rPr>
                <w:rFonts w:ascii="Times New Roman" w:hAnsi="Times New Roman"/>
                <w:position w:val="-6"/>
              </w:rPr>
              <w:drawing>
                <wp:inline distT="0" distB="0" distL="114300" distR="114300">
                  <wp:extent cx="142875" cy="200025"/>
                  <wp:effectExtent l="0" t="0" r="9525" b="13970"/>
                  <wp:docPr id="110" name="图片 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32"/>
                          <pic:cNvPicPr>
                            <a:picLocks noChangeAspect="true"/>
                          </pic:cNvPicPr>
                        </pic:nvPicPr>
                        <pic:blipFill>
                          <a:blip r:embed="rId32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 xml:space="preserve"> =1. 5</w:t>
            </w:r>
            <w:r>
              <w:rPr>
                <w:rFonts w:hint="eastAsia" w:ascii="Times New Roman" w:hAnsi="Times New Roman"/>
                <w:i/>
              </w:rPr>
              <w:t>b</w:t>
            </w:r>
            <w:r>
              <w:rPr>
                <w:rFonts w:ascii="Times New Roman" w:hAnsi="Times New Roman"/>
              </w:rPr>
              <w:t xml:space="preserve">+0. 5 </w:t>
            </w:r>
            <w:r>
              <w:rPr>
                <w:rFonts w:hint="eastAsia" w:ascii="Times New Roman" w:hAnsi="Times New Roman"/>
              </w:rPr>
              <w:t xml:space="preserve">   </w:t>
            </w:r>
            <w:r>
              <w:rPr>
                <w:rFonts w:ascii="Times New Roman" w:hAnsi="Times New Roman"/>
              </w:rPr>
              <w:t>(</w:t>
            </w:r>
            <w:r>
              <w:rPr>
                <w:rFonts w:hint="eastAsia" w:ascii="Times New Roman" w:hAnsi="Times New Roman"/>
                <w:i/>
              </w:rPr>
              <w:t>b</w:t>
            </w:r>
            <w:r>
              <w:rPr>
                <w:rFonts w:hint="eastAsia" w:ascii="Times New Roman" w:hAnsi="Times New Roman"/>
              </w:rPr>
              <w:t>≤</w:t>
            </w:r>
            <w:r>
              <w:rPr>
                <w:rFonts w:ascii="Times New Roman" w:hAnsi="Times New Roman"/>
              </w:rPr>
              <w:t>1m)</w:t>
            </w:r>
          </w:p>
        </w:tc>
        <w:tc>
          <w:tcPr>
            <w:tcW w:w="3650" w:type="dxa"/>
          </w:tcPr>
          <w:p>
            <w:pPr>
              <w:widowControl w:val="0"/>
              <w:spacing w:line="480" w:lineRule="exact"/>
              <w:jc w:val="right"/>
              <w:rPr>
                <w:rFonts w:ascii="Times New Roman" w:hAnsi="Times New Roman"/>
              </w:rPr>
            </w:pPr>
            <w:r>
              <w:rPr>
                <w:rFonts w:ascii="Times New Roman" w:hAnsi="Times New Roman"/>
              </w:rPr>
              <w:t>(</w:t>
            </w:r>
            <w:r>
              <w:rPr>
                <w:rFonts w:hint="eastAsia" w:ascii="Times New Roman" w:hAnsi="Times New Roman"/>
              </w:rPr>
              <w:t>8.1.12-3</w:t>
            </w:r>
            <w:r>
              <w:rPr>
                <w:rFonts w:ascii="Times New Roman" w:hAnsi="Times New Roman"/>
              </w:rPr>
              <w:t>)</w:t>
            </w:r>
          </w:p>
        </w:tc>
      </w:tr>
      <w:tr>
        <w:tblPrEx>
          <w:tblCellMar>
            <w:top w:w="0" w:type="dxa"/>
            <w:left w:w="108" w:type="dxa"/>
            <w:bottom w:w="0" w:type="dxa"/>
            <w:right w:w="108" w:type="dxa"/>
          </w:tblCellMar>
        </w:tblPrEx>
        <w:tc>
          <w:tcPr>
            <w:tcW w:w="6204" w:type="dxa"/>
          </w:tcPr>
          <w:p>
            <w:pPr>
              <w:widowControl w:val="0"/>
              <w:spacing w:line="480" w:lineRule="exact"/>
              <w:jc w:val="right"/>
              <w:rPr>
                <w:rFonts w:ascii="Times New Roman" w:hAnsi="Times New Roman"/>
              </w:rPr>
            </w:pPr>
            <w:r>
              <w:rPr>
                <w:rFonts w:hint="eastAsia" w:ascii="Times New Roman" w:hAnsi="Times New Roman"/>
              </w:rPr>
              <w:t xml:space="preserve">    </w:t>
            </w:r>
            <w:r>
              <w:rPr>
                <w:rFonts w:ascii="Times New Roman" w:hAnsi="Times New Roman"/>
                <w:position w:val="-6"/>
              </w:rPr>
              <w:drawing>
                <wp:inline distT="0" distB="0" distL="114300" distR="114300">
                  <wp:extent cx="142875" cy="200025"/>
                  <wp:effectExtent l="0" t="0" r="9525" b="13970"/>
                  <wp:docPr id="93"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133"/>
                          <pic:cNvPicPr>
                            <a:picLocks noChangeAspect="true"/>
                          </pic:cNvPicPr>
                        </pic:nvPicPr>
                        <pic:blipFill>
                          <a:blip r:embed="rId32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 xml:space="preserve"> =</w:t>
            </w:r>
            <w:r>
              <w:rPr>
                <w:rFonts w:hint="eastAsia" w:ascii="Times New Roman" w:hAnsi="Times New Roman"/>
                <w:i/>
              </w:rPr>
              <w:t xml:space="preserve"> b</w:t>
            </w:r>
            <w:r>
              <w:rPr>
                <w:rFonts w:ascii="Times New Roman" w:hAnsi="Times New Roman"/>
                <w:color w:val="FF0000"/>
              </w:rPr>
              <w:t xml:space="preserve"> </w:t>
            </w:r>
            <w:r>
              <w:rPr>
                <w:rFonts w:ascii="Times New Roman" w:hAnsi="Times New Roman"/>
              </w:rPr>
              <w:t xml:space="preserve">+1 </w:t>
            </w:r>
            <w:r>
              <w:rPr>
                <w:rFonts w:hint="eastAsia" w:ascii="Times New Roman" w:hAnsi="Times New Roman"/>
              </w:rPr>
              <w:t xml:space="preserve"> </w:t>
            </w:r>
            <w:r>
              <w:rPr>
                <w:rFonts w:ascii="Times New Roman" w:hAnsi="Times New Roman"/>
              </w:rPr>
              <w:t xml:space="preserve">     (</w:t>
            </w:r>
            <w:r>
              <w:rPr>
                <w:rFonts w:hint="eastAsia" w:ascii="Times New Roman" w:hAnsi="Times New Roman"/>
                <w:i/>
              </w:rPr>
              <w:t>b</w:t>
            </w:r>
            <w:r>
              <w:rPr>
                <w:rFonts w:ascii="Times New Roman" w:hAnsi="Times New Roman"/>
              </w:rPr>
              <w:t xml:space="preserve"> &gt;1m)</w:t>
            </w:r>
          </w:p>
        </w:tc>
        <w:tc>
          <w:tcPr>
            <w:tcW w:w="3650" w:type="dxa"/>
          </w:tcPr>
          <w:p>
            <w:pPr>
              <w:widowControl w:val="0"/>
              <w:spacing w:line="480" w:lineRule="exact"/>
              <w:jc w:val="right"/>
              <w:rPr>
                <w:rFonts w:ascii="Times New Roman" w:hAnsi="Times New Roman"/>
              </w:rPr>
            </w:pPr>
            <w:r>
              <w:rPr>
                <w:rFonts w:ascii="Times New Roman" w:hAnsi="Times New Roman"/>
              </w:rPr>
              <w:t>(</w:t>
            </w:r>
            <w:r>
              <w:rPr>
                <w:rFonts w:hint="eastAsia" w:ascii="Times New Roman" w:hAnsi="Times New Roman"/>
              </w:rPr>
              <w:t>8.1.12-4</w:t>
            </w:r>
            <w:r>
              <w:rPr>
                <w:rFonts w:ascii="Times New Roman" w:hAnsi="Times New Roman"/>
              </w:rPr>
              <w:t>)</w:t>
            </w:r>
          </w:p>
        </w:tc>
      </w:tr>
    </w:tbl>
    <w:p>
      <w:pPr>
        <w:widowControl w:val="0"/>
        <w:spacing w:line="480" w:lineRule="exact"/>
        <w:rPr>
          <w:rFonts w:ascii="Times New Roman" w:hAnsi="Times New Roman"/>
        </w:rPr>
      </w:pPr>
      <w:r>
        <w:rPr>
          <w:rFonts w:hint="eastAsia" w:ascii="Times New Roman" w:hAnsi="Times New Roman"/>
        </w:rPr>
        <w:t>式中：</w:t>
      </w:r>
      <w:r>
        <w:rPr>
          <w:rFonts w:hint="eastAsia" w:ascii="Times New Roman" w:hAnsi="Times New Roman"/>
          <w:i/>
        </w:rPr>
        <w:t>b</w:t>
      </w:r>
      <w:r>
        <w:rPr>
          <w:rFonts w:ascii="Times New Roman" w:hAnsi="Times New Roman"/>
        </w:rPr>
        <w:t>——</w:t>
      </w:r>
      <w:r>
        <w:rPr>
          <w:rFonts w:hint="eastAsia" w:ascii="Times New Roman" w:hAnsi="Times New Roman"/>
        </w:rPr>
        <w:t>矩形桩的宽度</w:t>
      </w:r>
      <w:r>
        <w:rPr>
          <w:rFonts w:hint="eastAsia" w:ascii="Times New Roman" w:hAnsi="Times New Roman"/>
          <w:szCs w:val="24"/>
        </w:rPr>
        <w:t>（</w:t>
      </w:r>
      <w:r>
        <w:rPr>
          <w:rFonts w:ascii="Times New Roman" w:hAnsi="Times New Roman"/>
          <w:szCs w:val="21"/>
        </w:rPr>
        <w:t>m</w:t>
      </w:r>
      <w:r>
        <w:rPr>
          <w:rFonts w:hint="eastAsia" w:ascii="Times New Roman" w:hAnsi="Times New Roman"/>
          <w:szCs w:val="24"/>
        </w:rPr>
        <w:t>）</w:t>
      </w:r>
      <w:r>
        <w:rPr>
          <w:rFonts w:hint="eastAsia" w:ascii="Times New Roman" w:hAnsi="Times New Roman"/>
        </w:rPr>
        <w:t>。</w:t>
      </w:r>
    </w:p>
    <w:p>
      <w:pPr>
        <w:widowControl w:val="0"/>
        <w:spacing w:line="480" w:lineRule="exact"/>
        <w:ind w:firstLine="480" w:firstLineChars="200"/>
        <w:rPr>
          <w:rFonts w:ascii="Times New Roman" w:hAnsi="Times New Roman"/>
        </w:rPr>
      </w:pPr>
      <w:r>
        <w:rPr>
          <w:rFonts w:hint="eastAsia" w:ascii="Times New Roman" w:hAnsi="Times New Roman"/>
        </w:rPr>
        <w:t>按式</w:t>
      </w:r>
      <w:r>
        <w:rPr>
          <w:rFonts w:ascii="Times New Roman" w:hAnsi="Times New Roman"/>
        </w:rPr>
        <w:t>(</w:t>
      </w:r>
      <w:r>
        <w:rPr>
          <w:rFonts w:hint="eastAsia" w:ascii="Times New Roman" w:hAnsi="Times New Roman"/>
        </w:rPr>
        <w:t>8.1.2.4-1</w:t>
      </w:r>
      <w:r>
        <w:rPr>
          <w:rFonts w:ascii="Times New Roman" w:hAnsi="Times New Roman"/>
        </w:rPr>
        <w:t>)</w:t>
      </w:r>
      <w:r>
        <w:rPr>
          <w:rFonts w:hint="eastAsia" w:ascii="Times New Roman" w:hAnsi="Times New Roman"/>
        </w:rPr>
        <w:t>~式</w:t>
      </w:r>
      <w:r>
        <w:rPr>
          <w:rFonts w:ascii="Times New Roman" w:hAnsi="Times New Roman"/>
        </w:rPr>
        <w:t>(</w:t>
      </w:r>
      <w:r>
        <w:rPr>
          <w:rFonts w:hint="eastAsia" w:ascii="Times New Roman" w:hAnsi="Times New Roman"/>
        </w:rPr>
        <w:t>8.1.2.4-4</w:t>
      </w:r>
      <w:r>
        <w:rPr>
          <w:rFonts w:ascii="Times New Roman" w:hAnsi="Times New Roman"/>
        </w:rPr>
        <w:t>)</w:t>
      </w:r>
      <w:r>
        <w:rPr>
          <w:rFonts w:hint="eastAsia" w:ascii="Times New Roman" w:hAnsi="Times New Roman"/>
        </w:rPr>
        <w:t>计算的单桩土反力计算宽度</w:t>
      </w:r>
      <w:r>
        <w:rPr>
          <w:rFonts w:hint="eastAsia" w:ascii="Times New Roman" w:hAnsi="Times New Roman"/>
          <w:position w:val="-6"/>
        </w:rPr>
        <w:drawing>
          <wp:inline distT="0" distB="0" distL="114300" distR="114300">
            <wp:extent cx="142875" cy="200025"/>
            <wp:effectExtent l="0" t="0" r="9525" b="13970"/>
            <wp:docPr id="112" name="图片 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134"/>
                    <pic:cNvPicPr>
                      <a:picLocks noChangeAspect="true"/>
                    </pic:cNvPicPr>
                  </pic:nvPicPr>
                  <pic:blipFill>
                    <a:blip r:embed="rId32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hint="eastAsia" w:ascii="Times New Roman" w:hAnsi="Times New Roman"/>
        </w:rPr>
        <w:t>大于排桩间距</w:t>
      </w:r>
      <w:r>
        <w:rPr>
          <w:rFonts w:hint="eastAsia" w:ascii="Times New Roman" w:hAnsi="Times New Roman"/>
          <w:position w:val="-6"/>
        </w:rPr>
        <w:drawing>
          <wp:inline distT="0" distB="0" distL="114300" distR="114300">
            <wp:extent cx="142875" cy="200025"/>
            <wp:effectExtent l="0" t="0" r="9525" b="13970"/>
            <wp:docPr id="95"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135"/>
                    <pic:cNvPicPr>
                      <a:picLocks noChangeAspect="true"/>
                    </pic:cNvPicPr>
                  </pic:nvPicPr>
                  <pic:blipFill>
                    <a:blip r:embed="rId330">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hint="eastAsia" w:ascii="Times New Roman" w:hAnsi="Times New Roman"/>
        </w:rPr>
        <w:t>时，应取</w:t>
      </w:r>
      <w:r>
        <w:rPr>
          <w:rFonts w:hint="eastAsia" w:ascii="Times New Roman" w:hAnsi="Times New Roman"/>
          <w:position w:val="-6"/>
        </w:rPr>
        <w:drawing>
          <wp:inline distT="0" distB="0" distL="114300" distR="114300">
            <wp:extent cx="485775" cy="200025"/>
            <wp:effectExtent l="0" t="0" r="1905" b="13970"/>
            <wp:docPr id="94"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136"/>
                    <pic:cNvPicPr>
                      <a:picLocks noChangeAspect="true"/>
                    </pic:cNvPicPr>
                  </pic:nvPicPr>
                  <pic:blipFill>
                    <a:blip r:embed="rId331">
                      <a:clrChange>
                        <a:clrFrom>
                          <a:srgbClr val="FFFFFF"/>
                        </a:clrFrom>
                        <a:clrTo>
                          <a:srgbClr val="FFFFFF">
                            <a:alpha val="0"/>
                          </a:srgbClr>
                        </a:clrTo>
                      </a:clrChange>
                    </a:blip>
                    <a:stretch>
                      <a:fillRect/>
                    </a:stretch>
                  </pic:blipFill>
                  <pic:spPr>
                    <a:xfrm>
                      <a:off x="0" y="0"/>
                      <a:ext cx="485775" cy="200025"/>
                    </a:xfrm>
                    <a:prstGeom prst="rect">
                      <a:avLst/>
                    </a:prstGeom>
                    <a:noFill/>
                    <a:ln>
                      <a:noFill/>
                    </a:ln>
                  </pic:spPr>
                </pic:pic>
              </a:graphicData>
            </a:graphic>
          </wp:inline>
        </w:drawing>
      </w:r>
      <w:r>
        <w:rPr>
          <w:rFonts w:hint="eastAsia" w:ascii="Times New Roman" w:hAnsi="Times New Roman"/>
        </w:rPr>
        <w:t>。</w:t>
      </w:r>
    </w:p>
    <w:p>
      <w:pPr>
        <w:widowControl w:val="0"/>
        <w:spacing w:line="480" w:lineRule="exact"/>
        <w:rPr>
          <w:rFonts w:ascii="Times New Roman" w:hAnsi="Times New Roman"/>
        </w:rPr>
      </w:pPr>
      <w:r>
        <w:rPr>
          <w:rFonts w:hint="eastAsia" w:ascii="Times New Roman" w:hAnsi="Times New Roman"/>
          <w:b/>
        </w:rPr>
        <w:t>8.1.13</w:t>
      </w:r>
      <w:r>
        <w:rPr>
          <w:rFonts w:hint="eastAsia" w:ascii="Times New Roman" w:hAnsi="Times New Roman"/>
        </w:rPr>
        <w:t xml:space="preserve"> 锚杆和内支撑对挡土构件</w:t>
      </w:r>
      <w:r>
        <w:rPr>
          <w:rFonts w:ascii="Times New Roman" w:hAnsi="Times New Roman"/>
        </w:rPr>
        <w:t>(</w:t>
      </w:r>
      <w:r>
        <w:rPr>
          <w:rFonts w:hint="eastAsia" w:ascii="Times New Roman" w:hAnsi="Times New Roman"/>
        </w:rPr>
        <w:t>排桩</w:t>
      </w:r>
      <w:r>
        <w:rPr>
          <w:rFonts w:ascii="Times New Roman" w:hAnsi="Times New Roman"/>
        </w:rPr>
        <w:t>)</w:t>
      </w:r>
      <w:r>
        <w:rPr>
          <w:rFonts w:hint="eastAsia" w:ascii="Times New Roman" w:hAnsi="Times New Roman"/>
        </w:rPr>
        <w:t>的</w:t>
      </w:r>
      <w:r>
        <w:rPr>
          <w:rFonts w:hint="eastAsia" w:ascii="Times New Roman" w:hAnsi="Times New Roman"/>
          <w:color w:val="auto"/>
        </w:rPr>
        <w:t>作用应按式</w:t>
      </w:r>
      <w:r>
        <w:rPr>
          <w:rFonts w:hint="eastAsia" w:ascii="Times New Roman" w:hAnsi="Times New Roman"/>
          <w:color w:val="auto"/>
          <w:lang w:eastAsia="zh-CN"/>
        </w:rPr>
        <w:t>（</w:t>
      </w:r>
      <w:r>
        <w:rPr>
          <w:rFonts w:hint="eastAsia" w:ascii="Times New Roman" w:hAnsi="Times New Roman"/>
          <w:color w:val="auto"/>
          <w:lang w:val="en-US" w:eastAsia="zh-CN"/>
        </w:rPr>
        <w:t>8.1.13</w:t>
      </w:r>
      <w:r>
        <w:rPr>
          <w:rFonts w:hint="eastAsia" w:ascii="Times New Roman" w:hAnsi="Times New Roman"/>
          <w:color w:val="auto"/>
          <w:lang w:eastAsia="zh-CN"/>
        </w:rPr>
        <w:t>）</w:t>
      </w:r>
      <w:r>
        <w:rPr>
          <w:rFonts w:hint="eastAsia" w:ascii="Times New Roman" w:hAnsi="Times New Roman"/>
          <w:color w:val="auto"/>
        </w:rPr>
        <w:t>确</w:t>
      </w:r>
      <w:r>
        <w:rPr>
          <w:rFonts w:hint="eastAsia" w:ascii="Times New Roman" w:hAnsi="Times New Roman"/>
        </w:rPr>
        <w:t>定弹性支点水平反力：</w:t>
      </w:r>
    </w:p>
    <w:tbl>
      <w:tblPr>
        <w:tblStyle w:val="32"/>
        <w:tblW w:w="0" w:type="auto"/>
        <w:tblInd w:w="0" w:type="dxa"/>
        <w:tblLayout w:type="fixed"/>
        <w:tblCellMar>
          <w:top w:w="0" w:type="dxa"/>
          <w:left w:w="108" w:type="dxa"/>
          <w:bottom w:w="0" w:type="dxa"/>
          <w:right w:w="108" w:type="dxa"/>
        </w:tblCellMar>
      </w:tblPr>
      <w:tblGrid>
        <w:gridCol w:w="6771"/>
        <w:gridCol w:w="3083"/>
      </w:tblGrid>
      <w:tr>
        <w:tblPrEx>
          <w:tblCellMar>
            <w:top w:w="0" w:type="dxa"/>
            <w:left w:w="108" w:type="dxa"/>
            <w:bottom w:w="0" w:type="dxa"/>
            <w:right w:w="108" w:type="dxa"/>
          </w:tblCellMar>
        </w:tblPrEx>
        <w:tc>
          <w:tcPr>
            <w:tcW w:w="6771" w:type="dxa"/>
            <w:vAlign w:val="center"/>
          </w:tcPr>
          <w:p>
            <w:pPr>
              <w:widowControl w:val="0"/>
              <w:spacing w:line="360" w:lineRule="auto"/>
              <w:ind w:right="960"/>
              <w:jc w:val="right"/>
              <w:rPr>
                <w:rFonts w:ascii="Times New Roman" w:hAnsi="Times New Roman"/>
              </w:rPr>
            </w:pPr>
            <w:r>
              <w:rPr>
                <w:position w:val="-12"/>
              </w:rPr>
              <w:drawing>
                <wp:inline distT="0" distB="0" distL="114300" distR="114300">
                  <wp:extent cx="1333500" cy="228600"/>
                  <wp:effectExtent l="0" t="0" r="7620" b="0"/>
                  <wp:docPr id="96"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137"/>
                          <pic:cNvPicPr>
                            <a:picLocks noChangeAspect="true"/>
                          </pic:cNvPicPr>
                        </pic:nvPicPr>
                        <pic:blipFill>
                          <a:blip r:embed="rId332"/>
                          <a:stretch>
                            <a:fillRect/>
                          </a:stretch>
                        </pic:blipFill>
                        <pic:spPr>
                          <a:xfrm>
                            <a:off x="0" y="0"/>
                            <a:ext cx="1333500" cy="228600"/>
                          </a:xfrm>
                          <a:prstGeom prst="rect">
                            <a:avLst/>
                          </a:prstGeom>
                          <a:noFill/>
                          <a:ln>
                            <a:noFill/>
                          </a:ln>
                        </pic:spPr>
                      </pic:pic>
                    </a:graphicData>
                  </a:graphic>
                </wp:inline>
              </w:drawing>
            </w:r>
          </w:p>
        </w:tc>
        <w:tc>
          <w:tcPr>
            <w:tcW w:w="3083" w:type="dxa"/>
            <w:vAlign w:val="center"/>
          </w:tcPr>
          <w:p>
            <w:pPr>
              <w:widowControl w:val="0"/>
              <w:jc w:val="right"/>
              <w:rPr>
                <w:rFonts w:ascii="Times New Roman" w:hAnsi="Times New Roman"/>
              </w:rPr>
            </w:pPr>
            <w:r>
              <w:rPr>
                <w:rFonts w:ascii="Times New Roman" w:hAnsi="Times New Roman"/>
              </w:rPr>
              <w:t>(</w:t>
            </w:r>
            <w:r>
              <w:rPr>
                <w:rFonts w:hint="eastAsia" w:ascii="Times New Roman" w:hAnsi="Times New Roman"/>
              </w:rPr>
              <w:t>8.1.13</w:t>
            </w:r>
            <w:r>
              <w:rPr>
                <w:rFonts w:ascii="Times New Roman" w:hAnsi="Times New Roman"/>
              </w:rPr>
              <w:t xml:space="preserve"> )</w:t>
            </w:r>
          </w:p>
        </w:tc>
      </w:tr>
    </w:tbl>
    <w:p>
      <w:pPr>
        <w:widowControl w:val="0"/>
        <w:spacing w:line="480" w:lineRule="exact"/>
        <w:rPr>
          <w:rFonts w:ascii="Times New Roman" w:hAnsi="Times New Roman"/>
        </w:rPr>
      </w:pPr>
      <w:r>
        <w:rPr>
          <w:rFonts w:hint="eastAsia" w:ascii="Times New Roman" w:hAnsi="Times New Roman"/>
        </w:rPr>
        <w:t>式中：</w:t>
      </w:r>
      <w:r>
        <w:rPr>
          <w:rFonts w:hint="eastAsia" w:ascii="Times New Roman" w:hAnsi="Times New Roman"/>
          <w:i/>
        </w:rPr>
        <w:t>F</w:t>
      </w:r>
      <w:r>
        <w:rPr>
          <w:rFonts w:ascii="Times New Roman" w:hAnsi="Times New Roman"/>
          <w:i/>
          <w:vertAlign w:val="subscript"/>
        </w:rPr>
        <w:t>h</w:t>
      </w:r>
      <w:r>
        <w:rPr>
          <w:rFonts w:ascii="Times New Roman" w:hAnsi="Times New Roman"/>
          <w:szCs w:val="24"/>
        </w:rPr>
        <w:t>——</w:t>
      </w:r>
      <w:r>
        <w:rPr>
          <w:rFonts w:hint="eastAsia" w:ascii="Times New Roman" w:hAnsi="Times New Roman"/>
        </w:rPr>
        <w:t>挡土构件在计算宽度内的弹性支点水平反力（kN）；</w:t>
      </w:r>
    </w:p>
    <w:p>
      <w:pPr>
        <w:widowControl w:val="0"/>
        <w:spacing w:line="480" w:lineRule="exact"/>
        <w:ind w:left="1440" w:hanging="1440" w:hangingChars="600"/>
        <w:rPr>
          <w:rFonts w:ascii="Times New Roman" w:hAnsi="Times New Roman"/>
        </w:rPr>
      </w:pPr>
      <w:r>
        <w:rPr>
          <w:rFonts w:ascii="Times New Roman" w:hAnsi="Times New Roman"/>
        </w:rPr>
        <w:t xml:space="preserve">      </w:t>
      </w:r>
      <w:r>
        <w:rPr>
          <w:rFonts w:ascii="Times New Roman" w:hAnsi="Times New Roman"/>
          <w:position w:val="-6"/>
        </w:rPr>
        <w:drawing>
          <wp:inline distT="0" distB="0" distL="114300" distR="114300">
            <wp:extent cx="161925" cy="200025"/>
            <wp:effectExtent l="0" t="0" r="5715" b="13970"/>
            <wp:docPr id="97"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138"/>
                    <pic:cNvPicPr>
                      <a:picLocks noChangeAspect="true"/>
                    </pic:cNvPicPr>
                  </pic:nvPicPr>
                  <pic:blipFill>
                    <a:blip r:embed="rId333">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rPr>
        <w:t>弹性支点刚度系数（kN/ m）；采用锚杆时可按</w:t>
      </w:r>
      <w:r>
        <w:rPr>
          <w:rFonts w:hint="eastAsia" w:ascii="Times New Roman" w:hAnsi="Times New Roman"/>
          <w:lang w:eastAsia="zh-CN"/>
        </w:rPr>
        <w:t>本标准</w:t>
      </w:r>
      <w:r>
        <w:rPr>
          <w:rFonts w:hint="eastAsia" w:ascii="Times New Roman" w:hAnsi="Times New Roman"/>
        </w:rPr>
        <w:t>第8.1.14条的规定确定，采用支撑时可按</w:t>
      </w:r>
      <w:r>
        <w:rPr>
          <w:rFonts w:hint="eastAsia" w:ascii="Times New Roman" w:hAnsi="Times New Roman"/>
          <w:lang w:eastAsia="zh-CN"/>
        </w:rPr>
        <w:t>本标准</w:t>
      </w:r>
      <w:r>
        <w:rPr>
          <w:rFonts w:hint="eastAsia" w:ascii="Times New Roman" w:hAnsi="Times New Roman"/>
        </w:rPr>
        <w:t>第8.1.16条的规定确定；</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position w:val="-6"/>
        </w:rPr>
        <w:drawing>
          <wp:inline distT="0" distB="0" distL="114300" distR="114300">
            <wp:extent cx="161925" cy="200025"/>
            <wp:effectExtent l="0" t="0" r="5715" b="13970"/>
            <wp:docPr id="98" name="图片 1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139"/>
                    <pic:cNvPicPr>
                      <a:picLocks noChangeAspect="true"/>
                    </pic:cNvPicPr>
                  </pic:nvPicPr>
                  <pic:blipFill>
                    <a:blip r:embed="rId334">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rPr>
        <w:t>支点的水平位移值（m）；</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position w:val="-6"/>
        </w:rPr>
        <w:drawing>
          <wp:inline distT="0" distB="0" distL="114300" distR="114300">
            <wp:extent cx="228600" cy="200025"/>
            <wp:effectExtent l="0" t="0" r="0" b="13970"/>
            <wp:docPr id="114" name="图片 1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40"/>
                    <pic:cNvPicPr>
                      <a:picLocks noChangeAspect="true"/>
                    </pic:cNvPicPr>
                  </pic:nvPicPr>
                  <pic:blipFill>
                    <a:blip r:embed="rId335">
                      <a:clrChange>
                        <a:clrFrom>
                          <a:srgbClr val="FFFFFF"/>
                        </a:clrFrom>
                        <a:clrTo>
                          <a:srgbClr val="FFFFFF">
                            <a:alpha val="0"/>
                          </a:srgbClr>
                        </a:clrTo>
                      </a:clrChange>
                    </a:blip>
                    <a:stretch>
                      <a:fillRect/>
                    </a:stretch>
                  </pic:blipFill>
                  <pic:spPr>
                    <a:xfrm>
                      <a:off x="0" y="0"/>
                      <a:ext cx="228600"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rPr>
        <w:t>设置支点时，支点的初始水平位移值（m）；</w:t>
      </w:r>
    </w:p>
    <w:p>
      <w:pPr>
        <w:widowControl w:val="0"/>
        <w:spacing w:line="480" w:lineRule="exact"/>
        <w:ind w:left="1440" w:hanging="1440" w:hangingChars="600"/>
        <w:rPr>
          <w:rFonts w:ascii="Times New Roman" w:hAnsi="Times New Roman"/>
        </w:rPr>
      </w:pPr>
      <w:r>
        <w:rPr>
          <w:rFonts w:ascii="Times New Roman" w:hAnsi="Times New Roman"/>
        </w:rPr>
        <w:t xml:space="preserve">     </w:t>
      </w:r>
      <w:r>
        <w:rPr>
          <w:rFonts w:hint="eastAsia" w:ascii="Times New Roman" w:hAnsi="Times New Roman"/>
          <w:i/>
        </w:rPr>
        <w:t>P</w:t>
      </w:r>
      <w:r>
        <w:rPr>
          <w:rFonts w:ascii="Times New Roman" w:hAnsi="Times New Roman"/>
          <w:i/>
          <w:vertAlign w:val="subscript"/>
        </w:rPr>
        <w:t>h</w:t>
      </w:r>
      <w:r>
        <w:rPr>
          <w:rFonts w:ascii="Times New Roman" w:hAnsi="Times New Roman"/>
          <w:szCs w:val="24"/>
        </w:rPr>
        <w:t>——</w:t>
      </w:r>
      <w:r>
        <w:rPr>
          <w:rFonts w:hint="eastAsia" w:ascii="Times New Roman" w:hAnsi="Times New Roman"/>
        </w:rPr>
        <w:t>挡土构件在计算宽度下的弹性支点预加水平力（kN）</w:t>
      </w:r>
      <w:r>
        <w:rPr>
          <w:rFonts w:ascii="Times New Roman" w:hAnsi="Times New Roman"/>
        </w:rPr>
        <w:t>；</w:t>
      </w:r>
      <w:r>
        <w:rPr>
          <w:rFonts w:hint="eastAsia" w:ascii="Times New Roman" w:hAnsi="Times New Roman"/>
        </w:rPr>
        <w:t>采用锚杆或竖向斜撑时，可取</w:t>
      </w:r>
      <w:r>
        <w:rPr>
          <w:rFonts w:hint="eastAsia" w:ascii="Times New Roman" w:hAnsi="Times New Roman"/>
          <w:i/>
        </w:rPr>
        <w:t>P</w:t>
      </w:r>
      <w:r>
        <w:rPr>
          <w:rFonts w:ascii="Times New Roman" w:hAnsi="Times New Roman"/>
          <w:i/>
          <w:vertAlign w:val="subscript"/>
        </w:rPr>
        <w:t>h</w:t>
      </w:r>
      <w:r>
        <w:rPr>
          <w:rFonts w:ascii="Times New Roman" w:hAnsi="Times New Roman"/>
        </w:rPr>
        <w:t xml:space="preserve">= </w:t>
      </w:r>
      <w:r>
        <w:rPr>
          <w:rFonts w:ascii="Times New Roman" w:hAnsi="Times New Roman"/>
          <w:i/>
        </w:rPr>
        <w:t>P</w:t>
      </w:r>
      <w:r>
        <w:rPr>
          <w:rFonts w:hint="eastAsia" w:ascii="Times New Roman" w:hAnsi="Times New Roman"/>
        </w:rPr>
        <w:t>·cos</w:t>
      </w:r>
      <w:r>
        <w:rPr>
          <w:rFonts w:ascii="Times New Roman" w:hAnsi="Times New Roman"/>
        </w:rPr>
        <w:t>α/S</w:t>
      </w:r>
      <w:r>
        <w:rPr>
          <w:rFonts w:hint="eastAsia" w:ascii="Times New Roman" w:hAnsi="Times New Roman"/>
        </w:rPr>
        <w:t>，此处，</w:t>
      </w:r>
      <w:r>
        <w:rPr>
          <w:rFonts w:ascii="Times New Roman" w:hAnsi="Times New Roman"/>
          <w:i/>
        </w:rPr>
        <w:t>P</w:t>
      </w:r>
      <w:r>
        <w:rPr>
          <w:rFonts w:hint="eastAsia" w:ascii="Times New Roman" w:hAnsi="Times New Roman"/>
        </w:rPr>
        <w:t>为锚杆的预加轴向拉力值或支撑的预加轴向压力值，</w:t>
      </w:r>
      <w:r>
        <w:rPr>
          <w:rFonts w:ascii="Times New Roman" w:hAnsi="Times New Roman"/>
        </w:rPr>
        <w:t>α</w:t>
      </w:r>
      <w:r>
        <w:rPr>
          <w:rFonts w:hint="eastAsia" w:ascii="Times New Roman" w:hAnsi="Times New Roman"/>
        </w:rPr>
        <w:t>为锚杆倾角或支撑仰角，S为锚杆或支撑的水平间距</w:t>
      </w:r>
      <w:r>
        <w:rPr>
          <w:rFonts w:ascii="Times New Roman" w:hAnsi="Times New Roman"/>
        </w:rPr>
        <w:t>；</w:t>
      </w:r>
      <w:r>
        <w:rPr>
          <w:rFonts w:hint="eastAsia" w:ascii="Times New Roman" w:hAnsi="Times New Roman"/>
        </w:rPr>
        <w:t>采用水平内支撑时，可取</w:t>
      </w:r>
      <w:r>
        <w:rPr>
          <w:rFonts w:hint="eastAsia" w:ascii="Times New Roman" w:hAnsi="Times New Roman"/>
          <w:i/>
        </w:rPr>
        <w:t>P</w:t>
      </w:r>
      <w:r>
        <w:rPr>
          <w:rFonts w:ascii="Times New Roman" w:hAnsi="Times New Roman"/>
          <w:i/>
          <w:vertAlign w:val="subscript"/>
        </w:rPr>
        <w:t>h</w:t>
      </w:r>
      <w:r>
        <w:rPr>
          <w:rFonts w:ascii="Times New Roman" w:hAnsi="Times New Roman"/>
        </w:rPr>
        <w:t>=</w:t>
      </w:r>
      <w:r>
        <w:rPr>
          <w:rFonts w:ascii="Times New Roman" w:hAnsi="Times New Roman"/>
          <w:i/>
        </w:rPr>
        <w:t>P</w:t>
      </w:r>
      <w:r>
        <w:rPr>
          <w:rFonts w:ascii="Times New Roman" w:hAnsi="Times New Roman"/>
        </w:rPr>
        <w:t>/</w:t>
      </w:r>
      <w:r>
        <w:rPr>
          <w:rFonts w:ascii="Times New Roman" w:hAnsi="Times New Roman"/>
          <w:i/>
        </w:rPr>
        <w:t>S</w:t>
      </w:r>
      <w:r>
        <w:rPr>
          <w:rFonts w:hint="eastAsia" w:ascii="Times New Roman" w:hAnsi="Times New Roman"/>
        </w:rPr>
        <w:t>；对不预加轴向压力的支撑，应取</w:t>
      </w:r>
      <w:r>
        <w:rPr>
          <w:rFonts w:hint="eastAsia" w:ascii="Times New Roman" w:hAnsi="Times New Roman"/>
          <w:i/>
        </w:rPr>
        <w:t>P</w:t>
      </w:r>
      <w:r>
        <w:rPr>
          <w:rFonts w:ascii="Times New Roman" w:hAnsi="Times New Roman"/>
          <w:i/>
          <w:vertAlign w:val="subscript"/>
        </w:rPr>
        <w:t>h</w:t>
      </w:r>
      <w:r>
        <w:rPr>
          <w:rFonts w:ascii="Times New Roman" w:hAnsi="Times New Roman"/>
        </w:rPr>
        <w:t xml:space="preserve"> =0</w:t>
      </w:r>
      <w:r>
        <w:rPr>
          <w:rFonts w:hint="eastAsia" w:ascii="Times New Roman" w:hAnsi="Times New Roman"/>
        </w:rPr>
        <w:t>；锚杆的预加轴向拉力</w:t>
      </w:r>
      <w:r>
        <w:rPr>
          <w:rFonts w:ascii="Times New Roman" w:hAnsi="Times New Roman"/>
          <w:i/>
        </w:rPr>
        <w:t>P</w:t>
      </w:r>
      <w:r>
        <w:rPr>
          <w:rFonts w:hint="eastAsia" w:ascii="Times New Roman" w:hAnsi="Times New Roman"/>
        </w:rPr>
        <w:t>宜取</w:t>
      </w:r>
      <w:r>
        <w:rPr>
          <w:rFonts w:ascii="Times New Roman" w:hAnsi="Times New Roman"/>
        </w:rPr>
        <w:t>(0. 75</w:t>
      </w:r>
      <w:r>
        <w:rPr>
          <w:rFonts w:ascii="Times New Roman" w:hAnsi="Times New Roman"/>
          <w:i/>
        </w:rPr>
        <w:t>N</w:t>
      </w:r>
      <w:r>
        <w:rPr>
          <w:rFonts w:ascii="Times New Roman" w:hAnsi="Times New Roman"/>
          <w:i/>
          <w:vertAlign w:val="subscript"/>
        </w:rPr>
        <w:t>K</w:t>
      </w:r>
      <w:r>
        <w:rPr>
          <w:rFonts w:hint="eastAsia" w:ascii="Times New Roman" w:hAnsi="Times New Roman"/>
        </w:rPr>
        <w:t>～</w:t>
      </w:r>
      <w:r>
        <w:rPr>
          <w:rFonts w:ascii="Times New Roman" w:hAnsi="Times New Roman"/>
        </w:rPr>
        <w:t>0. 9 N</w:t>
      </w:r>
      <w:r>
        <w:rPr>
          <w:rFonts w:ascii="Times New Roman" w:hAnsi="Times New Roman"/>
          <w:vertAlign w:val="subscript"/>
        </w:rPr>
        <w:t>K</w:t>
      </w:r>
      <w:r>
        <w:rPr>
          <w:rFonts w:ascii="Times New Roman" w:hAnsi="Times New Roman"/>
        </w:rPr>
        <w:t>)</w:t>
      </w:r>
      <w:r>
        <w:rPr>
          <w:rFonts w:hint="eastAsia" w:ascii="Times New Roman" w:hAnsi="Times New Roman"/>
        </w:rPr>
        <w:t>，支撑的预加轴向压力</w:t>
      </w:r>
      <w:r>
        <w:rPr>
          <w:rFonts w:ascii="Times New Roman" w:hAnsi="Times New Roman"/>
          <w:i/>
        </w:rPr>
        <w:t>P</w:t>
      </w:r>
      <w:r>
        <w:rPr>
          <w:rFonts w:hint="eastAsia" w:ascii="Times New Roman" w:hAnsi="Times New Roman"/>
        </w:rPr>
        <w:t>不应大于</w:t>
      </w:r>
      <w:r>
        <w:rPr>
          <w:rFonts w:ascii="Times New Roman" w:hAnsi="Times New Roman"/>
        </w:rPr>
        <w:t>0. 8</w:t>
      </w:r>
      <w:r>
        <w:rPr>
          <w:rFonts w:ascii="Times New Roman" w:hAnsi="Times New Roman"/>
          <w:i/>
        </w:rPr>
        <w:t>N</w:t>
      </w:r>
      <w:r>
        <w:rPr>
          <w:rFonts w:ascii="Times New Roman" w:hAnsi="Times New Roman"/>
          <w:i/>
          <w:vertAlign w:val="subscript"/>
        </w:rPr>
        <w:t>K</w:t>
      </w:r>
      <w:r>
        <w:rPr>
          <w:rFonts w:hint="eastAsia" w:ascii="Times New Roman" w:hAnsi="Times New Roman"/>
        </w:rPr>
        <w:t>，此处，</w:t>
      </w:r>
      <w:r>
        <w:rPr>
          <w:rFonts w:ascii="Times New Roman" w:hAnsi="Times New Roman"/>
          <w:i/>
        </w:rPr>
        <w:t>N</w:t>
      </w:r>
      <w:r>
        <w:rPr>
          <w:rFonts w:ascii="Times New Roman" w:hAnsi="Times New Roman"/>
          <w:i/>
          <w:vertAlign w:val="subscript"/>
        </w:rPr>
        <w:t>K</w:t>
      </w:r>
      <w:r>
        <w:rPr>
          <w:rFonts w:hint="eastAsia" w:ascii="Times New Roman" w:hAnsi="Times New Roman"/>
        </w:rPr>
        <w:t>为锚杆轴向拉力标准值或支撑轴向压力标准值，锚杆轴向拉力标准值应按</w:t>
      </w:r>
      <w:r>
        <w:rPr>
          <w:rFonts w:hint="eastAsia" w:ascii="Times New Roman" w:hAnsi="Times New Roman"/>
          <w:lang w:eastAsia="zh-CN"/>
        </w:rPr>
        <w:t>本标准</w:t>
      </w:r>
      <w:r>
        <w:rPr>
          <w:rFonts w:hint="eastAsia" w:ascii="Times New Roman" w:hAnsi="Times New Roman"/>
        </w:rPr>
        <w:t>第8.1.15条确定。</w:t>
      </w:r>
    </w:p>
    <w:p>
      <w:pPr>
        <w:widowControl w:val="0"/>
        <w:spacing w:line="480" w:lineRule="exact"/>
        <w:rPr>
          <w:rFonts w:hint="eastAsia" w:ascii="Times New Roman" w:hAnsi="Times New Roman"/>
        </w:rPr>
      </w:pPr>
      <w:r>
        <w:rPr>
          <w:rFonts w:hint="eastAsia" w:ascii="Times New Roman" w:hAnsi="Times New Roman"/>
          <w:b/>
        </w:rPr>
        <w:t>8.1.14</w:t>
      </w:r>
      <w:r>
        <w:rPr>
          <w:rFonts w:hint="eastAsia" w:ascii="Times New Roman" w:hAnsi="Times New Roman"/>
        </w:rPr>
        <w:t xml:space="preserve"> 对锚拉式支挡结构，锚杆的弹性支点刚度宜通过</w:t>
      </w:r>
      <w:r>
        <w:rPr>
          <w:rFonts w:hint="eastAsia" w:ascii="Times New Roman" w:hAnsi="Times New Roman"/>
          <w:lang w:eastAsia="zh-CN"/>
        </w:rPr>
        <w:t>本标准</w:t>
      </w:r>
      <w:r>
        <w:rPr>
          <w:rFonts w:hint="eastAsia" w:ascii="Times New Roman" w:hAnsi="Times New Roman"/>
        </w:rPr>
        <w:t>附录A·2的锚杆基本试验确定。</w:t>
      </w:r>
    </w:p>
    <w:p>
      <w:pPr>
        <w:widowControl w:val="0"/>
        <w:spacing w:line="480" w:lineRule="exact"/>
        <w:ind w:firstLine="720" w:firstLineChars="300"/>
        <w:rPr>
          <w:rFonts w:ascii="Times New Roman" w:hAnsi="Times New Roman"/>
        </w:rPr>
      </w:pPr>
      <w:r>
        <w:rPr>
          <w:rFonts w:hint="eastAsia" w:ascii="Times New Roman" w:hAnsi="Times New Roman"/>
        </w:rPr>
        <w:t>当锚杆腰梁或冠梁的挠度可忽略不计时，弹性支点刚度系</w:t>
      </w:r>
      <w:r>
        <w:rPr>
          <w:rFonts w:hint="eastAsia" w:ascii="Times New Roman" w:hAnsi="Times New Roman"/>
          <w:color w:val="auto"/>
        </w:rPr>
        <w:t>数宜按式</w:t>
      </w:r>
      <w:r>
        <w:rPr>
          <w:rFonts w:hint="eastAsia" w:ascii="Times New Roman" w:hAnsi="Times New Roman"/>
          <w:color w:val="auto"/>
          <w:lang w:eastAsia="zh-CN"/>
        </w:rPr>
        <w:t>（</w:t>
      </w:r>
      <w:r>
        <w:rPr>
          <w:rFonts w:hint="eastAsia" w:ascii="Times New Roman" w:hAnsi="Times New Roman"/>
          <w:color w:val="auto"/>
          <w:lang w:val="en-US" w:eastAsia="zh-CN"/>
        </w:rPr>
        <w:t>8.1.14-1</w:t>
      </w:r>
      <w:r>
        <w:rPr>
          <w:rFonts w:hint="eastAsia" w:ascii="Times New Roman" w:hAnsi="Times New Roman"/>
          <w:color w:val="auto"/>
          <w:lang w:eastAsia="zh-CN"/>
        </w:rPr>
        <w:t>）</w:t>
      </w:r>
      <w:r>
        <w:rPr>
          <w:rFonts w:hint="eastAsia" w:ascii="Times New Roman" w:hAnsi="Times New Roman"/>
        </w:rPr>
        <w:t>确定：</w:t>
      </w:r>
    </w:p>
    <w:tbl>
      <w:tblPr>
        <w:tblStyle w:val="32"/>
        <w:tblW w:w="0" w:type="auto"/>
        <w:tblInd w:w="0" w:type="dxa"/>
        <w:tblLayout w:type="fixed"/>
        <w:tblCellMar>
          <w:top w:w="0" w:type="dxa"/>
          <w:left w:w="108" w:type="dxa"/>
          <w:bottom w:w="0" w:type="dxa"/>
          <w:right w:w="108" w:type="dxa"/>
        </w:tblCellMar>
      </w:tblPr>
      <w:tblGrid>
        <w:gridCol w:w="5637"/>
        <w:gridCol w:w="4217"/>
      </w:tblGrid>
      <w:tr>
        <w:tblPrEx>
          <w:tblCellMar>
            <w:top w:w="0" w:type="dxa"/>
            <w:left w:w="108" w:type="dxa"/>
            <w:bottom w:w="0" w:type="dxa"/>
            <w:right w:w="108" w:type="dxa"/>
          </w:tblCellMar>
        </w:tblPrEx>
        <w:tc>
          <w:tcPr>
            <w:tcW w:w="5637" w:type="dxa"/>
          </w:tcPr>
          <w:p>
            <w:pPr>
              <w:widowControl w:val="0"/>
              <w:jc w:val="right"/>
              <w:rPr>
                <w:rFonts w:ascii="Times New Roman" w:hAnsi="Times New Roman"/>
              </w:rPr>
            </w:pPr>
            <w:r>
              <w:rPr>
                <w:rFonts w:ascii="Times New Roman" w:hAnsi="Times New Roman"/>
              </w:rPr>
              <w:drawing>
                <wp:inline distT="0" distB="0" distL="114300" distR="114300">
                  <wp:extent cx="1143000" cy="400050"/>
                  <wp:effectExtent l="0" t="0" r="0" b="11430"/>
                  <wp:docPr id="115" name="图片 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41"/>
                          <pic:cNvPicPr>
                            <a:picLocks noChangeAspect="true"/>
                          </pic:cNvPicPr>
                        </pic:nvPicPr>
                        <pic:blipFill>
                          <a:blip r:embed="rId336">
                            <a:clrChange>
                              <a:clrFrom>
                                <a:srgbClr val="FFFFFF"/>
                              </a:clrFrom>
                              <a:clrTo>
                                <a:srgbClr val="FFFFFF">
                                  <a:alpha val="0"/>
                                </a:srgbClr>
                              </a:clrTo>
                            </a:clrChange>
                          </a:blip>
                          <a:stretch>
                            <a:fillRect/>
                          </a:stretch>
                        </pic:blipFill>
                        <pic:spPr>
                          <a:xfrm>
                            <a:off x="0" y="0"/>
                            <a:ext cx="1143000" cy="400050"/>
                          </a:xfrm>
                          <a:prstGeom prst="rect">
                            <a:avLst/>
                          </a:prstGeom>
                          <a:noFill/>
                          <a:ln>
                            <a:noFill/>
                          </a:ln>
                        </pic:spPr>
                      </pic:pic>
                    </a:graphicData>
                  </a:graphic>
                </wp:inline>
              </w:drawing>
            </w:r>
          </w:p>
        </w:tc>
        <w:tc>
          <w:tcPr>
            <w:tcW w:w="4217" w:type="dxa"/>
          </w:tcPr>
          <w:p>
            <w:pPr>
              <w:widowControl w:val="0"/>
              <w:spacing w:line="480" w:lineRule="auto"/>
              <w:jc w:val="right"/>
              <w:rPr>
                <w:rFonts w:ascii="Times New Roman" w:hAnsi="Times New Roman"/>
              </w:rPr>
            </w:pPr>
            <w:r>
              <w:rPr>
                <w:rFonts w:hint="eastAsia" w:ascii="Times New Roman" w:hAnsi="Times New Roman"/>
              </w:rPr>
              <w:t>(8.1.14-1)</w:t>
            </w:r>
          </w:p>
        </w:tc>
      </w:tr>
    </w:tbl>
    <w:p>
      <w:pPr>
        <w:widowControl w:val="0"/>
        <w:spacing w:line="360" w:lineRule="auto"/>
        <w:ind w:left="2040" w:hanging="2040" w:hangingChars="850"/>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6"/>
        </w:rPr>
        <w:drawing>
          <wp:inline distT="0" distB="0" distL="114300" distR="114300">
            <wp:extent cx="161925" cy="200025"/>
            <wp:effectExtent l="0" t="0" r="5715" b="13970"/>
            <wp:docPr id="116" name="图片 1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42"/>
                    <pic:cNvPicPr>
                      <a:picLocks noChangeAspect="true"/>
                    </pic:cNvPicPr>
                  </pic:nvPicPr>
                  <pic:blipFill>
                    <a:blip r:embed="rId337">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position w:val="-6"/>
        </w:rPr>
        <w:drawing>
          <wp:inline distT="0" distB="0" distL="114300" distR="114300">
            <wp:extent cx="171450" cy="200025"/>
            <wp:effectExtent l="0" t="0" r="11430" b="13970"/>
            <wp:docPr id="118" name="图片 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43"/>
                    <pic:cNvPicPr>
                      <a:picLocks noChangeAspect="true"/>
                    </pic:cNvPicPr>
                  </pic:nvPicPr>
                  <pic:blipFill>
                    <a:blip r:embed="rId338">
                      <a:clrChange>
                        <a:clrFrom>
                          <a:srgbClr val="FFFFFF"/>
                        </a:clrFrom>
                        <a:clrTo>
                          <a:srgbClr val="FFFFFF">
                            <a:alpha val="0"/>
                          </a:srgbClr>
                        </a:clrTo>
                      </a:clrChange>
                    </a:blip>
                    <a:stretch>
                      <a:fillRect/>
                    </a:stretch>
                  </pic:blipFill>
                  <pic:spPr>
                    <a:xfrm>
                      <a:off x="0" y="0"/>
                      <a:ext cx="1714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锚杆循环加荷或逐级加荷试验中</w:t>
      </w:r>
      <w:r>
        <w:rPr>
          <w:rFonts w:hint="eastAsia" w:ascii="Times New Roman" w:hAnsi="Times New Roman"/>
          <w:szCs w:val="21"/>
        </w:rPr>
        <w:t>(</w:t>
      </w:r>
      <w:r>
        <w:rPr>
          <w:rFonts w:hint="eastAsia" w:ascii="Times New Roman" w:hAnsi="Times New Roman"/>
          <w:position w:val="-6"/>
        </w:rPr>
        <w:drawing>
          <wp:inline distT="0" distB="0" distL="114300" distR="114300">
            <wp:extent cx="104775" cy="200025"/>
            <wp:effectExtent l="0" t="0" r="1905" b="13970"/>
            <wp:docPr id="128"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144"/>
                    <pic:cNvPicPr>
                      <a:picLocks noChangeAspect="true"/>
                    </pic:cNvPicPr>
                  </pic:nvPicPr>
                  <pic:blipFill>
                    <a:blip r:embed="rId339">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hint="eastAsia" w:ascii="Times New Roman" w:hAnsi="Times New Roman"/>
          <w:i/>
          <w:szCs w:val="21"/>
        </w:rPr>
        <w:t>-</w:t>
      </w:r>
      <w:r>
        <w:rPr>
          <w:rFonts w:hint="eastAsia" w:ascii="Times New Roman" w:hAnsi="Times New Roman"/>
          <w:position w:val="-6"/>
        </w:rPr>
        <w:drawing>
          <wp:inline distT="0" distB="0" distL="114300" distR="114300">
            <wp:extent cx="104775" cy="200025"/>
            <wp:effectExtent l="0" t="0" r="1905" b="0"/>
            <wp:docPr id="129" name="图片 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145"/>
                    <pic:cNvPicPr>
                      <a:picLocks noChangeAspect="true"/>
                    </pic:cNvPicPr>
                  </pic:nvPicPr>
                  <pic:blipFill>
                    <a:blip r:embed="rId340">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rPr>
        <w:t>曲线上对应锚杆锁定值与设计值的荷载值；锚杆进行预张拉时，应取在相当于预张拉荷载的加载量下卸载后的再加载曲线上的荷载值；</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hint="eastAsia" w:ascii="Times New Roman" w:hAnsi="Times New Roman"/>
          <w:szCs w:val="21"/>
        </w:rPr>
        <w:t xml:space="preserve"> </w:t>
      </w:r>
      <w:r>
        <w:rPr>
          <w:rFonts w:hint="eastAsia" w:ascii="Times New Roman" w:hAnsi="Times New Roman"/>
          <w:position w:val="-6"/>
        </w:rPr>
        <w:drawing>
          <wp:inline distT="0" distB="0" distL="114300" distR="114300">
            <wp:extent cx="133350" cy="200025"/>
            <wp:effectExtent l="0" t="0" r="3810" b="13970"/>
            <wp:docPr id="13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46"/>
                    <pic:cNvPicPr>
                      <a:picLocks noChangeAspect="true"/>
                    </pic:cNvPicPr>
                  </pic:nvPicPr>
                  <pic:blipFill>
                    <a:blip r:embed="rId341">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position w:val="-6"/>
        </w:rPr>
        <w:drawing>
          <wp:inline distT="0" distB="0" distL="114300" distR="114300">
            <wp:extent cx="133350" cy="200025"/>
            <wp:effectExtent l="0" t="0" r="3810" b="13970"/>
            <wp:docPr id="130" name="图片 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47"/>
                    <pic:cNvPicPr>
                      <a:picLocks noChangeAspect="true"/>
                    </pic:cNvPicPr>
                  </pic:nvPicPr>
                  <pic:blipFill>
                    <a:blip r:embed="rId342">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1"/>
        </w:rPr>
        <w:t>(</w:t>
      </w:r>
      <w:r>
        <w:rPr>
          <w:rFonts w:hint="eastAsia" w:ascii="Times New Roman" w:hAnsi="Times New Roman"/>
          <w:position w:val="-6"/>
        </w:rPr>
        <w:drawing>
          <wp:inline distT="0" distB="0" distL="114300" distR="114300">
            <wp:extent cx="104775" cy="200025"/>
            <wp:effectExtent l="0" t="0" r="1905" b="13970"/>
            <wp:docPr id="135" name="图片 1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48"/>
                    <pic:cNvPicPr>
                      <a:picLocks noChangeAspect="true"/>
                    </pic:cNvPicPr>
                  </pic:nvPicPr>
                  <pic:blipFill>
                    <a:blip r:embed="rId339">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hint="eastAsia" w:ascii="Times New Roman" w:hAnsi="Times New Roman"/>
          <w:i/>
          <w:szCs w:val="21"/>
        </w:rPr>
        <w:t>-</w:t>
      </w:r>
      <w:r>
        <w:rPr>
          <w:rFonts w:hint="eastAsia" w:ascii="Times New Roman" w:hAnsi="Times New Roman"/>
          <w:position w:val="-6"/>
        </w:rPr>
        <w:drawing>
          <wp:inline distT="0" distB="0" distL="114300" distR="114300">
            <wp:extent cx="104775" cy="200025"/>
            <wp:effectExtent l="0" t="0" r="1905" b="0"/>
            <wp:docPr id="137" name="图片 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49"/>
                    <pic:cNvPicPr>
                      <a:picLocks noChangeAspect="true"/>
                    </pic:cNvPicPr>
                  </pic:nvPicPr>
                  <pic:blipFill>
                    <a:blip r:embed="rId340">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rPr>
        <w:t>曲线上对应于荷载为</w:t>
      </w:r>
      <w:r>
        <w:rPr>
          <w:rFonts w:hint="eastAsia" w:ascii="Times New Roman" w:hAnsi="Times New Roman"/>
          <w:position w:val="-6"/>
        </w:rPr>
        <w:drawing>
          <wp:inline distT="0" distB="0" distL="114300" distR="114300">
            <wp:extent cx="161925" cy="200025"/>
            <wp:effectExtent l="0" t="0" r="5715" b="13970"/>
            <wp:docPr id="132" name="图片 1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150"/>
                    <pic:cNvPicPr>
                      <a:picLocks noChangeAspect="true"/>
                    </pic:cNvPicPr>
                  </pic:nvPicPr>
                  <pic:blipFill>
                    <a:blip r:embed="rId337">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hint="eastAsia" w:ascii="Times New Roman" w:hAnsi="Times New Roman"/>
          <w:szCs w:val="21"/>
        </w:rPr>
        <w:t>、</w:t>
      </w:r>
      <w:r>
        <w:rPr>
          <w:rFonts w:hint="eastAsia" w:ascii="Times New Roman" w:hAnsi="Times New Roman"/>
          <w:position w:val="-6"/>
        </w:rPr>
        <w:drawing>
          <wp:inline distT="0" distB="0" distL="114300" distR="114300">
            <wp:extent cx="171450" cy="200025"/>
            <wp:effectExtent l="0" t="0" r="11430" b="13970"/>
            <wp:docPr id="131" name="图片 1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51"/>
                    <pic:cNvPicPr>
                      <a:picLocks noChangeAspect="true"/>
                    </pic:cNvPicPr>
                  </pic:nvPicPr>
                  <pic:blipFill>
                    <a:blip r:embed="rId338">
                      <a:clrChange>
                        <a:clrFrom>
                          <a:srgbClr val="FFFFFF"/>
                        </a:clrFrom>
                        <a:clrTo>
                          <a:srgbClr val="FFFFFF">
                            <a:alpha val="0"/>
                          </a:srgbClr>
                        </a:clrTo>
                      </a:clrChange>
                    </a:blip>
                    <a:stretch>
                      <a:fillRect/>
                    </a:stretch>
                  </pic:blipFill>
                  <pic:spPr>
                    <a:xfrm>
                      <a:off x="0" y="0"/>
                      <a:ext cx="171450" cy="200025"/>
                    </a:xfrm>
                    <a:prstGeom prst="rect">
                      <a:avLst/>
                    </a:prstGeom>
                    <a:noFill/>
                    <a:ln>
                      <a:noFill/>
                    </a:ln>
                  </pic:spPr>
                </pic:pic>
              </a:graphicData>
            </a:graphic>
          </wp:inline>
        </w:drawing>
      </w:r>
      <w:r>
        <w:rPr>
          <w:rFonts w:hint="eastAsia" w:ascii="Times New Roman" w:hAnsi="Times New Roman"/>
        </w:rPr>
        <w:t>的锚头位移值；</w:t>
      </w:r>
    </w:p>
    <w:p>
      <w:pPr>
        <w:widowControl w:val="0"/>
        <w:spacing w:line="480" w:lineRule="exact"/>
        <w:ind w:firstLine="1320" w:firstLineChars="550"/>
        <w:rPr>
          <w:rFonts w:ascii="Times New Roman" w:hAnsi="Times New Roman"/>
        </w:rPr>
      </w:pPr>
      <w:r>
        <w:rPr>
          <w:rFonts w:ascii="Times New Roman" w:hAnsi="Times New Roman"/>
          <w:position w:val="-6"/>
        </w:rPr>
        <w:drawing>
          <wp:inline distT="0" distB="0" distL="114300" distR="114300">
            <wp:extent cx="142875" cy="200025"/>
            <wp:effectExtent l="0" t="0" r="9525" b="13970"/>
            <wp:docPr id="133" name="图片 1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152"/>
                    <pic:cNvPicPr>
                      <a:picLocks noChangeAspect="true"/>
                    </pic:cNvPicPr>
                  </pic:nvPicPr>
                  <pic:blipFill>
                    <a:blip r:embed="rId343">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rPr>
        <w:t>结构计算宽度；</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hint="eastAsia" w:ascii="Times New Roman" w:hAnsi="Times New Roman"/>
          <w:position w:val="-6"/>
        </w:rPr>
        <w:drawing>
          <wp:inline distT="0" distB="0" distL="114300" distR="114300">
            <wp:extent cx="85725" cy="200025"/>
            <wp:effectExtent l="0" t="0" r="5715" b="0"/>
            <wp:docPr id="124" name="图片 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153"/>
                    <pic:cNvPicPr>
                      <a:picLocks noChangeAspect="true"/>
                    </pic:cNvPicPr>
                  </pic:nvPicPr>
                  <pic:blipFill>
                    <a:blip r:embed="rId344">
                      <a:clrChange>
                        <a:clrFrom>
                          <a:srgbClr val="FFFFFF"/>
                        </a:clrFrom>
                        <a:clrTo>
                          <a:srgbClr val="FFFFFF">
                            <a:alpha val="0"/>
                          </a:srgbClr>
                        </a:clrTo>
                      </a:clrChange>
                    </a:blip>
                    <a:stretch>
                      <a:fillRect/>
                    </a:stretch>
                  </pic:blipFill>
                  <pic:spPr>
                    <a:xfrm>
                      <a:off x="0" y="0"/>
                      <a:ext cx="85725" cy="2000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rPr>
        <w:t>锚杆间距。</w:t>
      </w:r>
    </w:p>
    <w:p>
      <w:pPr>
        <w:widowControl w:val="0"/>
        <w:spacing w:line="480" w:lineRule="exact"/>
        <w:ind w:firstLine="420"/>
        <w:rPr>
          <w:rFonts w:ascii="Times New Roman" w:hAnsi="Times New Roman"/>
          <w:color w:val="auto"/>
        </w:rPr>
      </w:pPr>
      <w:r>
        <w:rPr>
          <w:rFonts w:hint="eastAsia" w:ascii="Times New Roman" w:hAnsi="Times New Roman"/>
        </w:rPr>
        <w:t>对钢绞线锚杆或钢筋锚杆，在缺少试验资料时，可</w:t>
      </w:r>
      <w:r>
        <w:rPr>
          <w:rFonts w:hint="eastAsia" w:ascii="Times New Roman" w:hAnsi="Times New Roman"/>
          <w:color w:val="auto"/>
        </w:rPr>
        <w:t>按式</w:t>
      </w:r>
      <w:r>
        <w:rPr>
          <w:rFonts w:hint="eastAsia" w:ascii="Times New Roman" w:hAnsi="Times New Roman"/>
          <w:color w:val="auto"/>
          <w:lang w:eastAsia="zh-CN"/>
        </w:rPr>
        <w:t>（</w:t>
      </w:r>
      <w:r>
        <w:rPr>
          <w:rFonts w:hint="eastAsia" w:ascii="Times New Roman" w:hAnsi="Times New Roman"/>
          <w:color w:val="auto"/>
          <w:lang w:val="en-US" w:eastAsia="zh-CN"/>
        </w:rPr>
        <w:t>8.1.14-2</w:t>
      </w:r>
      <w:r>
        <w:rPr>
          <w:rFonts w:hint="eastAsia" w:ascii="Times New Roman" w:hAnsi="Times New Roman"/>
          <w:color w:val="auto"/>
          <w:lang w:eastAsia="zh-CN"/>
        </w:rPr>
        <w:t>）</w:t>
      </w:r>
      <w:r>
        <w:rPr>
          <w:rFonts w:hint="eastAsia" w:ascii="Times New Roman" w:hAnsi="Times New Roman"/>
          <w:color w:val="auto"/>
          <w:lang w:val="en-US" w:eastAsia="zh-CN"/>
        </w:rPr>
        <w:t>和式</w:t>
      </w:r>
      <w:r>
        <w:rPr>
          <w:rFonts w:hint="eastAsia" w:ascii="Times New Roman" w:hAnsi="Times New Roman"/>
          <w:color w:val="auto"/>
          <w:lang w:eastAsia="zh-CN"/>
        </w:rPr>
        <w:t>（</w:t>
      </w:r>
      <w:r>
        <w:rPr>
          <w:rFonts w:hint="eastAsia" w:ascii="Times New Roman" w:hAnsi="Times New Roman"/>
          <w:color w:val="auto"/>
          <w:lang w:val="en-US" w:eastAsia="zh-CN"/>
        </w:rPr>
        <w:t>8.1.14-3</w:t>
      </w:r>
      <w:r>
        <w:rPr>
          <w:rFonts w:hint="eastAsia" w:ascii="Times New Roman" w:hAnsi="Times New Roman"/>
          <w:color w:val="auto"/>
          <w:lang w:eastAsia="zh-CN"/>
        </w:rPr>
        <w:t>）</w:t>
      </w:r>
      <w:r>
        <w:rPr>
          <w:rFonts w:hint="eastAsia" w:ascii="Times New Roman" w:hAnsi="Times New Roman"/>
          <w:color w:val="auto"/>
        </w:rPr>
        <w:t>计算</w:t>
      </w:r>
      <w:r>
        <w:rPr>
          <w:rFonts w:ascii="Times New Roman" w:hAnsi="Times New Roman"/>
          <w:color w:val="auto"/>
        </w:rPr>
        <w:t>：</w:t>
      </w:r>
    </w:p>
    <w:tbl>
      <w:tblPr>
        <w:tblStyle w:val="32"/>
        <w:tblW w:w="0" w:type="auto"/>
        <w:tblInd w:w="0" w:type="dxa"/>
        <w:tblLayout w:type="fixed"/>
        <w:tblCellMar>
          <w:top w:w="0" w:type="dxa"/>
          <w:left w:w="108" w:type="dxa"/>
          <w:bottom w:w="0" w:type="dxa"/>
          <w:right w:w="108" w:type="dxa"/>
        </w:tblCellMar>
      </w:tblPr>
      <w:tblGrid>
        <w:gridCol w:w="6204"/>
        <w:gridCol w:w="3650"/>
      </w:tblGrid>
      <w:tr>
        <w:tblPrEx>
          <w:tblCellMar>
            <w:top w:w="0" w:type="dxa"/>
            <w:left w:w="108" w:type="dxa"/>
            <w:bottom w:w="0" w:type="dxa"/>
            <w:right w:w="108" w:type="dxa"/>
          </w:tblCellMar>
        </w:tblPrEx>
        <w:tc>
          <w:tcPr>
            <w:tcW w:w="6204" w:type="dxa"/>
          </w:tcPr>
          <w:p>
            <w:pPr>
              <w:widowControl w:val="0"/>
              <w:jc w:val="right"/>
              <w:rPr>
                <w:rFonts w:ascii="Times New Roman" w:hAnsi="Times New Roman"/>
              </w:rPr>
            </w:pPr>
            <w:r>
              <w:drawing>
                <wp:inline distT="0" distB="0" distL="114300" distR="114300">
                  <wp:extent cx="1457325" cy="400050"/>
                  <wp:effectExtent l="0" t="0" r="5715" b="11430"/>
                  <wp:docPr id="134" name="图片 1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154"/>
                          <pic:cNvPicPr>
                            <a:picLocks noChangeAspect="true"/>
                          </pic:cNvPicPr>
                        </pic:nvPicPr>
                        <pic:blipFill>
                          <a:blip r:embed="rId345">
                            <a:clrChange>
                              <a:clrFrom>
                                <a:srgbClr val="FFFFFF"/>
                              </a:clrFrom>
                              <a:clrTo>
                                <a:srgbClr val="FFFFFF">
                                  <a:alpha val="0"/>
                                </a:srgbClr>
                              </a:clrTo>
                            </a:clrChange>
                          </a:blip>
                          <a:stretch>
                            <a:fillRect/>
                          </a:stretch>
                        </pic:blipFill>
                        <pic:spPr>
                          <a:xfrm>
                            <a:off x="0" y="0"/>
                            <a:ext cx="1457325" cy="400050"/>
                          </a:xfrm>
                          <a:prstGeom prst="rect">
                            <a:avLst/>
                          </a:prstGeom>
                          <a:noFill/>
                          <a:ln>
                            <a:noFill/>
                          </a:ln>
                        </pic:spPr>
                      </pic:pic>
                    </a:graphicData>
                  </a:graphic>
                </wp:inline>
              </w:drawing>
            </w:r>
          </w:p>
        </w:tc>
        <w:tc>
          <w:tcPr>
            <w:tcW w:w="3650" w:type="dxa"/>
          </w:tcPr>
          <w:p>
            <w:pPr>
              <w:widowControl w:val="0"/>
              <w:spacing w:line="480" w:lineRule="auto"/>
              <w:jc w:val="right"/>
              <w:rPr>
                <w:rFonts w:ascii="Times New Roman" w:hAnsi="Times New Roman"/>
              </w:rPr>
            </w:pPr>
            <w:r>
              <w:rPr>
                <w:rFonts w:hint="eastAsia" w:ascii="Times New Roman" w:hAnsi="Times New Roman"/>
              </w:rPr>
              <w:t>(8.1.14-2)</w:t>
            </w:r>
          </w:p>
        </w:tc>
      </w:tr>
      <w:tr>
        <w:tblPrEx>
          <w:tblCellMar>
            <w:top w:w="0" w:type="dxa"/>
            <w:left w:w="108" w:type="dxa"/>
            <w:bottom w:w="0" w:type="dxa"/>
            <w:right w:w="108" w:type="dxa"/>
          </w:tblCellMar>
        </w:tblPrEx>
        <w:tc>
          <w:tcPr>
            <w:tcW w:w="6204" w:type="dxa"/>
          </w:tcPr>
          <w:p>
            <w:pPr>
              <w:widowControl w:val="0"/>
              <w:jc w:val="right"/>
              <w:rPr>
                <w:rFonts w:ascii="Times New Roman" w:hAnsi="Times New Roman"/>
              </w:rPr>
            </w:pPr>
            <w:r>
              <w:drawing>
                <wp:inline distT="0" distB="0" distL="114300" distR="114300">
                  <wp:extent cx="1647825" cy="342900"/>
                  <wp:effectExtent l="0" t="0" r="13335" b="6985"/>
                  <wp:docPr id="138" name="图片 1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55"/>
                          <pic:cNvPicPr>
                            <a:picLocks noChangeAspect="true"/>
                          </pic:cNvPicPr>
                        </pic:nvPicPr>
                        <pic:blipFill>
                          <a:blip r:embed="rId346">
                            <a:clrChange>
                              <a:clrFrom>
                                <a:srgbClr val="FFFFFF"/>
                              </a:clrFrom>
                              <a:clrTo>
                                <a:srgbClr val="FFFFFF">
                                  <a:alpha val="0"/>
                                </a:srgbClr>
                              </a:clrTo>
                            </a:clrChange>
                          </a:blip>
                          <a:stretch>
                            <a:fillRect/>
                          </a:stretch>
                        </pic:blipFill>
                        <pic:spPr>
                          <a:xfrm>
                            <a:off x="0" y="0"/>
                            <a:ext cx="1647825" cy="342900"/>
                          </a:xfrm>
                          <a:prstGeom prst="rect">
                            <a:avLst/>
                          </a:prstGeom>
                          <a:noFill/>
                          <a:ln>
                            <a:noFill/>
                          </a:ln>
                        </pic:spPr>
                      </pic:pic>
                    </a:graphicData>
                  </a:graphic>
                </wp:inline>
              </w:drawing>
            </w:r>
          </w:p>
        </w:tc>
        <w:tc>
          <w:tcPr>
            <w:tcW w:w="3650" w:type="dxa"/>
          </w:tcPr>
          <w:p>
            <w:pPr>
              <w:widowControl w:val="0"/>
              <w:spacing w:line="480" w:lineRule="auto"/>
              <w:jc w:val="right"/>
              <w:rPr>
                <w:rFonts w:ascii="Times New Roman" w:hAnsi="Times New Roman"/>
              </w:rPr>
            </w:pPr>
            <w:r>
              <w:rPr>
                <w:rFonts w:hint="eastAsia" w:ascii="Times New Roman" w:hAnsi="Times New Roman"/>
              </w:rPr>
              <w:t xml:space="preserve">    (8.1.14-3)</w:t>
            </w:r>
          </w:p>
        </w:tc>
      </w:tr>
    </w:tbl>
    <w:p>
      <w:pPr>
        <w:widowControl w:val="0"/>
        <w:spacing w:line="480" w:lineRule="exact"/>
        <w:rPr>
          <w:rFonts w:ascii="Times New Roman" w:hAnsi="Times New Roman"/>
        </w:rPr>
      </w:pPr>
      <w:r>
        <w:rPr>
          <w:rFonts w:hint="eastAsia" w:ascii="Times New Roman" w:hAnsi="Times New Roman"/>
        </w:rPr>
        <w:t xml:space="preserve">式中： </w:t>
      </w:r>
      <w:r>
        <w:rPr>
          <w:rFonts w:hint="eastAsia" w:ascii="Times New Roman" w:hAnsi="Times New Roman"/>
          <w:position w:val="-6"/>
        </w:rPr>
        <w:drawing>
          <wp:inline distT="0" distB="0" distL="114300" distR="114300">
            <wp:extent cx="152400" cy="200025"/>
            <wp:effectExtent l="0" t="0" r="0" b="13970"/>
            <wp:docPr id="139" name="图片 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156"/>
                    <pic:cNvPicPr>
                      <a:picLocks noChangeAspect="true"/>
                    </pic:cNvPicPr>
                  </pic:nvPicPr>
                  <pic:blipFill>
                    <a:blip r:embed="rId347">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锚杆杆体的弹性模量（kPa）；</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position w:val="-6"/>
        </w:rPr>
        <w:drawing>
          <wp:inline distT="0" distB="0" distL="114300" distR="114300">
            <wp:extent cx="142875" cy="200025"/>
            <wp:effectExtent l="0" t="0" r="9525" b="13970"/>
            <wp:docPr id="127" name="图片 1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157"/>
                    <pic:cNvPicPr>
                      <a:picLocks noChangeAspect="true"/>
                    </pic:cNvPicPr>
                  </pic:nvPicPr>
                  <pic:blipFill>
                    <a:blip r:embed="rId348">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锚杆的组合弹性模量（kPa）；</w:t>
      </w:r>
    </w:p>
    <w:p>
      <w:pPr>
        <w:widowControl w:val="0"/>
        <w:spacing w:line="480" w:lineRule="exact"/>
        <w:rPr>
          <w:rFonts w:ascii="Times New Roman" w:hAnsi="Times New Roman"/>
        </w:rPr>
      </w:pPr>
      <w:r>
        <w:rPr>
          <w:rFonts w:ascii="Times New Roman" w:hAnsi="Times New Roman"/>
        </w:rPr>
        <w:t xml:space="preserve">       </w:t>
      </w:r>
      <w:r>
        <w:rPr>
          <w:rFonts w:ascii="Times New Roman" w:hAnsi="Times New Roman"/>
          <w:position w:val="-24"/>
        </w:rPr>
        <w:drawing>
          <wp:inline distT="0" distB="0" distL="114300" distR="114300">
            <wp:extent cx="171450" cy="400050"/>
            <wp:effectExtent l="0" t="0" r="11430" b="0"/>
            <wp:docPr id="140" name="图片 1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158"/>
                    <pic:cNvPicPr>
                      <a:picLocks noChangeAspect="true"/>
                    </pic:cNvPicPr>
                  </pic:nvPicPr>
                  <pic:blipFill>
                    <a:blip r:embed="rId349">
                      <a:clrChange>
                        <a:clrFrom>
                          <a:srgbClr val="FFFFFF"/>
                        </a:clrFrom>
                        <a:clrTo>
                          <a:srgbClr val="FFFFFF">
                            <a:alpha val="0"/>
                          </a:srgbClr>
                        </a:clrTo>
                      </a:clrChange>
                    </a:blip>
                    <a:stretch>
                      <a:fillRect/>
                    </a:stretch>
                  </pic:blipFill>
                  <pic:spPr>
                    <a:xfrm>
                      <a:off x="0" y="0"/>
                      <a:ext cx="171450" cy="40005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锚杆杆体的截面面积（m</w:t>
      </w:r>
      <w:r>
        <w:rPr>
          <w:rFonts w:hint="eastAsia" w:ascii="Times New Roman" w:hAnsi="Times New Roman"/>
          <w:vertAlign w:val="superscript"/>
        </w:rPr>
        <w:t>2</w:t>
      </w:r>
      <w:r>
        <w:rPr>
          <w:rFonts w:hint="eastAsia" w:ascii="Times New Roman" w:hAnsi="Times New Roman"/>
        </w:rPr>
        <w:t>）；</w:t>
      </w:r>
    </w:p>
    <w:p>
      <w:pPr>
        <w:widowControl w:val="0"/>
        <w:spacing w:line="480" w:lineRule="exact"/>
        <w:ind w:firstLine="960" w:firstLineChars="400"/>
        <w:rPr>
          <w:rFonts w:ascii="Times New Roman" w:hAnsi="Times New Roman"/>
        </w:rPr>
      </w:pPr>
      <w:r>
        <w:rPr>
          <w:rFonts w:ascii="Times New Roman" w:hAnsi="Times New Roman"/>
          <w:position w:val="-6"/>
        </w:rPr>
        <w:drawing>
          <wp:inline distT="0" distB="0" distL="114300" distR="114300">
            <wp:extent cx="95250" cy="200025"/>
            <wp:effectExtent l="0" t="0" r="11430" b="0"/>
            <wp:docPr id="141" name="图片 1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59"/>
                    <pic:cNvPicPr>
                      <a:picLocks noChangeAspect="true"/>
                    </pic:cNvPicPr>
                  </pic:nvPicPr>
                  <pic:blipFill>
                    <a:blip r:embed="rId350">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锚杆固结体的截面面积（m</w:t>
      </w:r>
      <w:r>
        <w:rPr>
          <w:rFonts w:hint="eastAsia" w:ascii="Times New Roman" w:hAnsi="Times New Roman"/>
          <w:vertAlign w:val="superscript"/>
        </w:rPr>
        <w:t>2</w:t>
      </w:r>
      <w:r>
        <w:rPr>
          <w:rFonts w:hint="eastAsia" w:ascii="Times New Roman" w:hAnsi="Times New Roman"/>
        </w:rPr>
        <w:t>）；</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95250" cy="200025"/>
            <wp:effectExtent l="0" t="0" r="11430" b="13970"/>
            <wp:docPr id="117" name="图片 1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60"/>
                    <pic:cNvPicPr>
                      <a:picLocks noChangeAspect="true"/>
                    </pic:cNvPicPr>
                  </pic:nvPicPr>
                  <pic:blipFill>
                    <a:blip r:embed="rId351">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锚杆的自由段长度（m）；</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114300" cy="200025"/>
            <wp:effectExtent l="0" t="0" r="7620" b="13970"/>
            <wp:docPr id="119" name="图片 1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61"/>
                    <pic:cNvPicPr>
                      <a:picLocks noChangeAspect="true"/>
                    </pic:cNvPicPr>
                  </pic:nvPicPr>
                  <pic:blipFill>
                    <a:blip r:embed="rId352">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锚杆的锚固段长度（m）；</w:t>
      </w:r>
    </w:p>
    <w:p>
      <w:pPr>
        <w:widowControl w:val="0"/>
        <w:spacing w:line="480" w:lineRule="exact"/>
        <w:ind w:firstLine="840" w:firstLineChars="350"/>
        <w:rPr>
          <w:rFonts w:ascii="Times New Roman" w:hAnsi="Times New Roman"/>
        </w:rPr>
      </w:pPr>
      <w:r>
        <w:rPr>
          <w:rFonts w:ascii="Times New Roman" w:hAnsi="Times New Roman"/>
          <w:position w:val="-6"/>
        </w:rPr>
        <w:drawing>
          <wp:inline distT="0" distB="0" distL="114300" distR="114300">
            <wp:extent cx="190500" cy="200025"/>
            <wp:effectExtent l="0" t="0" r="7620" b="13970"/>
            <wp:docPr id="120" name="图片 1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62"/>
                    <pic:cNvPicPr>
                      <a:picLocks noChangeAspect="true"/>
                    </pic:cNvPicPr>
                  </pic:nvPicPr>
                  <pic:blipFill>
                    <a:blip r:embed="rId353">
                      <a:clrChange>
                        <a:clrFrom>
                          <a:srgbClr val="FFFFFF"/>
                        </a:clrFrom>
                        <a:clrTo>
                          <a:srgbClr val="FFFFFF">
                            <a:alpha val="0"/>
                          </a:srgbClr>
                        </a:clrTo>
                      </a:clrChange>
                    </a:blip>
                    <a:stretch>
                      <a:fillRect/>
                    </a:stretch>
                  </pic:blipFill>
                  <pic:spPr>
                    <a:xfrm>
                      <a:off x="0" y="0"/>
                      <a:ext cx="1905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锚杆注浆体的弹性模量（kPa）；</w:t>
      </w:r>
    </w:p>
    <w:p>
      <w:pPr>
        <w:widowControl w:val="0"/>
        <w:spacing w:line="480" w:lineRule="exact"/>
        <w:ind w:left="480" w:leftChars="200" w:firstLine="480" w:firstLineChars="200"/>
        <w:rPr>
          <w:rFonts w:ascii="Times New Roman" w:hAnsi="Times New Roman"/>
        </w:rPr>
      </w:pPr>
      <w:r>
        <w:rPr>
          <w:rFonts w:ascii="Times New Roman" w:hAnsi="Times New Roman"/>
          <w:position w:val="-6"/>
        </w:rPr>
        <w:drawing>
          <wp:inline distT="0" distB="0" distL="114300" distR="114300">
            <wp:extent cx="85725" cy="200025"/>
            <wp:effectExtent l="0" t="0" r="5715" b="0"/>
            <wp:docPr id="121" name="图片 1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63"/>
                    <pic:cNvPicPr>
                      <a:picLocks noChangeAspect="true"/>
                    </pic:cNvPicPr>
                  </pic:nvPicPr>
                  <pic:blipFill>
                    <a:blip r:embed="rId344">
                      <a:clrChange>
                        <a:clrFrom>
                          <a:srgbClr val="FFFFFF"/>
                        </a:clrFrom>
                        <a:clrTo>
                          <a:srgbClr val="FFFFFF">
                            <a:alpha val="0"/>
                          </a:srgbClr>
                        </a:clrTo>
                      </a:clrChange>
                    </a:blip>
                    <a:stretch>
                      <a:fillRect/>
                    </a:stretch>
                  </pic:blipFill>
                  <pic:spPr>
                    <a:xfrm>
                      <a:off x="0" y="0"/>
                      <a:ext cx="8572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锚杆间距（m）。</w:t>
      </w:r>
    </w:p>
    <w:p>
      <w:pPr>
        <w:keepNext w:val="0"/>
        <w:keepLines w:val="0"/>
        <w:pageBreakBefore w:val="0"/>
        <w:widowControl/>
        <w:kinsoku/>
        <w:wordWrap/>
        <w:overflowPunct/>
        <w:topLinePunct w:val="0"/>
        <w:autoSpaceDE/>
        <w:autoSpaceDN/>
        <w:bidi w:val="0"/>
        <w:adjustRightInd/>
        <w:snapToGrid/>
        <w:spacing w:line="480" w:lineRule="exact"/>
        <w:textAlignment w:val="auto"/>
      </w:pPr>
      <w:bookmarkStart w:id="475" w:name="_Toc13575"/>
      <w:bookmarkStart w:id="476" w:name="_Toc6759"/>
      <w:r>
        <w:rPr>
          <w:rFonts w:hint="eastAsia"/>
          <w:b/>
          <w:bCs/>
        </w:rPr>
        <w:t>8.1.15</w:t>
      </w:r>
      <w:r>
        <w:rPr>
          <w:rFonts w:hint="eastAsia"/>
        </w:rPr>
        <w:t xml:space="preserve"> 锚杆的轴向拉力标准值应</w:t>
      </w:r>
      <w:r>
        <w:rPr>
          <w:rFonts w:hint="eastAsia"/>
          <w:color w:val="auto"/>
        </w:rPr>
        <w:t>按式</w:t>
      </w:r>
      <w:r>
        <w:rPr>
          <w:rFonts w:hint="eastAsia" w:eastAsia="宋体"/>
          <w:color w:val="auto"/>
          <w:lang w:eastAsia="zh-CN"/>
        </w:rPr>
        <w:t>（</w:t>
      </w:r>
      <w:r>
        <w:rPr>
          <w:rFonts w:hint="eastAsia" w:ascii="Calibri" w:eastAsia="宋体"/>
          <w:color w:val="auto"/>
          <w:lang w:val="en-US" w:eastAsia="zh-CN"/>
        </w:rPr>
        <w:t>8.1.15</w:t>
      </w:r>
      <w:r>
        <w:rPr>
          <w:rFonts w:hint="eastAsia" w:eastAsia="宋体"/>
          <w:color w:val="auto"/>
          <w:lang w:eastAsia="zh-CN"/>
        </w:rPr>
        <w:t>）</w:t>
      </w:r>
      <w:r>
        <w:rPr>
          <w:rFonts w:hint="eastAsia"/>
          <w:color w:val="auto"/>
        </w:rPr>
        <w:t>确</w:t>
      </w:r>
      <w:r>
        <w:rPr>
          <w:rFonts w:hint="eastAsia"/>
        </w:rPr>
        <w:t>定：</w:t>
      </w:r>
      <w:bookmarkEnd w:id="475"/>
      <w:bookmarkEnd w:id="476"/>
    </w:p>
    <w:tbl>
      <w:tblPr>
        <w:tblStyle w:val="32"/>
        <w:tblW w:w="0" w:type="auto"/>
        <w:tblInd w:w="0" w:type="dxa"/>
        <w:tblLayout w:type="fixed"/>
        <w:tblCellMar>
          <w:top w:w="0" w:type="dxa"/>
          <w:left w:w="108" w:type="dxa"/>
          <w:bottom w:w="0" w:type="dxa"/>
          <w:right w:w="108" w:type="dxa"/>
        </w:tblCellMar>
      </w:tblPr>
      <w:tblGrid>
        <w:gridCol w:w="5920"/>
        <w:gridCol w:w="3934"/>
      </w:tblGrid>
      <w:tr>
        <w:tblPrEx>
          <w:tblCellMar>
            <w:top w:w="0" w:type="dxa"/>
            <w:left w:w="108" w:type="dxa"/>
            <w:bottom w:w="0" w:type="dxa"/>
            <w:right w:w="108" w:type="dxa"/>
          </w:tblCellMar>
        </w:tblPrEx>
        <w:tc>
          <w:tcPr>
            <w:tcW w:w="5920" w:type="dxa"/>
          </w:tcPr>
          <w:p>
            <w:pPr>
              <w:widowControl w:val="0"/>
              <w:jc w:val="right"/>
              <w:rPr>
                <w:rFonts w:ascii="Times New Roman" w:hAnsi="Times New Roman"/>
                <w:color w:val="000000"/>
                <w:szCs w:val="21"/>
              </w:rPr>
            </w:pPr>
            <w:r>
              <w:drawing>
                <wp:inline distT="0" distB="0" distL="114300" distR="114300">
                  <wp:extent cx="942975" cy="371475"/>
                  <wp:effectExtent l="0" t="0" r="1905" b="9525"/>
                  <wp:docPr id="122" name="图片 1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64"/>
                          <pic:cNvPicPr>
                            <a:picLocks noChangeAspect="true"/>
                          </pic:cNvPicPr>
                        </pic:nvPicPr>
                        <pic:blipFill>
                          <a:blip r:embed="rId354">
                            <a:clrChange>
                              <a:clrFrom>
                                <a:srgbClr val="FFFFFF"/>
                              </a:clrFrom>
                              <a:clrTo>
                                <a:srgbClr val="FFFFFF">
                                  <a:alpha val="0"/>
                                </a:srgbClr>
                              </a:clrTo>
                            </a:clrChange>
                          </a:blip>
                          <a:stretch>
                            <a:fillRect/>
                          </a:stretch>
                        </pic:blipFill>
                        <pic:spPr>
                          <a:xfrm>
                            <a:off x="0" y="0"/>
                            <a:ext cx="942975" cy="371475"/>
                          </a:xfrm>
                          <a:prstGeom prst="rect">
                            <a:avLst/>
                          </a:prstGeom>
                          <a:noFill/>
                          <a:ln>
                            <a:noFill/>
                          </a:ln>
                        </pic:spPr>
                      </pic:pic>
                    </a:graphicData>
                  </a:graphic>
                </wp:inline>
              </w:drawing>
            </w:r>
          </w:p>
        </w:tc>
        <w:tc>
          <w:tcPr>
            <w:tcW w:w="3934" w:type="dxa"/>
          </w:tcPr>
          <w:p>
            <w:pPr>
              <w:widowControl w:val="0"/>
              <w:spacing w:line="480" w:lineRule="auto"/>
              <w:jc w:val="right"/>
              <w:rPr>
                <w:rFonts w:ascii="Times New Roman" w:hAnsi="Times New Roman"/>
                <w:szCs w:val="21"/>
              </w:rPr>
            </w:pPr>
            <w:r>
              <w:rPr>
                <w:rFonts w:hint="eastAsia" w:ascii="Times New Roman" w:hAnsi="Times New Roman"/>
              </w:rPr>
              <w:t>(8.1.15)</w:t>
            </w:r>
          </w:p>
        </w:tc>
      </w:tr>
    </w:tbl>
    <w:p>
      <w:pPr>
        <w:widowControl w:val="0"/>
        <w:spacing w:line="480" w:lineRule="exact"/>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6"/>
        </w:rPr>
        <w:drawing>
          <wp:inline distT="0" distB="0" distL="114300" distR="114300">
            <wp:extent cx="171450" cy="200025"/>
            <wp:effectExtent l="0" t="0" r="11430" b="13970"/>
            <wp:docPr id="123" name="图片 1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65"/>
                    <pic:cNvPicPr>
                      <a:picLocks noChangeAspect="true"/>
                    </pic:cNvPicPr>
                  </pic:nvPicPr>
                  <pic:blipFill>
                    <a:blip r:embed="rId355">
                      <a:clrChange>
                        <a:clrFrom>
                          <a:srgbClr val="FFFFFF"/>
                        </a:clrFrom>
                        <a:clrTo>
                          <a:srgbClr val="FFFFFF">
                            <a:alpha val="0"/>
                          </a:srgbClr>
                        </a:clrTo>
                      </a:clrChange>
                    </a:blip>
                    <a:stretch>
                      <a:fillRect/>
                    </a:stretch>
                  </pic:blipFill>
                  <pic:spPr>
                    <a:xfrm>
                      <a:off x="0" y="0"/>
                      <a:ext cx="1714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锚杆的轴向拉力标准值（kN）；</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α——</w:t>
      </w:r>
      <w:r>
        <w:rPr>
          <w:rFonts w:hint="eastAsia" w:ascii="Times New Roman" w:hAnsi="Times New Roman"/>
        </w:rPr>
        <w:t>锚杆倾角（°）；</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85725" cy="200025"/>
            <wp:effectExtent l="0" t="0" r="5715" b="0"/>
            <wp:docPr id="125" name="图片 1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66"/>
                    <pic:cNvPicPr>
                      <a:picLocks noChangeAspect="true"/>
                    </pic:cNvPicPr>
                  </pic:nvPicPr>
                  <pic:blipFill>
                    <a:blip r:embed="rId344">
                      <a:clrChange>
                        <a:clrFrom>
                          <a:srgbClr val="FFFFFF"/>
                        </a:clrFrom>
                        <a:clrTo>
                          <a:srgbClr val="FFFFFF">
                            <a:alpha val="0"/>
                          </a:srgbClr>
                        </a:clrTo>
                      </a:clrChange>
                    </a:blip>
                    <a:stretch>
                      <a:fillRect/>
                    </a:stretch>
                  </pic:blipFill>
                  <pic:spPr>
                    <a:xfrm>
                      <a:off x="0" y="0"/>
                      <a:ext cx="8572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锚杆间距（m）。</w:t>
      </w:r>
    </w:p>
    <w:p>
      <w:pPr>
        <w:widowControl w:val="0"/>
        <w:spacing w:line="480" w:lineRule="exact"/>
        <w:rPr>
          <w:rFonts w:ascii="Times New Roman" w:hAnsi="Times New Roman"/>
        </w:rPr>
      </w:pPr>
      <w:r>
        <w:rPr>
          <w:rFonts w:hint="eastAsia" w:ascii="Times New Roman" w:hAnsi="Times New Roman"/>
          <w:b/>
        </w:rPr>
        <w:t>8.1.16</w:t>
      </w:r>
      <w:r>
        <w:rPr>
          <w:rFonts w:hint="eastAsia" w:ascii="Times New Roman" w:hAnsi="Times New Roman"/>
        </w:rPr>
        <w:t xml:space="preserve"> 对支撑式支挡结构，弹性支点刚度系数</w:t>
      </w:r>
      <w:r>
        <w:rPr>
          <w:rFonts w:hint="eastAsia" w:ascii="Times New Roman" w:hAnsi="Times New Roman"/>
          <w:i/>
        </w:rPr>
        <w:t>k</w:t>
      </w:r>
      <w:r>
        <w:rPr>
          <w:rFonts w:ascii="Times New Roman" w:hAnsi="Times New Roman"/>
          <w:i/>
          <w:vertAlign w:val="subscript"/>
        </w:rPr>
        <w:t>R</w:t>
      </w:r>
      <w:r>
        <w:rPr>
          <w:rFonts w:hint="eastAsia" w:ascii="Times New Roman" w:hAnsi="Times New Roman"/>
        </w:rPr>
        <w:t>宜通过对支撑体系整体进行线弹性结构分析得出的支点力与水平位移的关系确定。对水平对撑，当支撑腰梁或冠梁的挠度可忽略不计时，弹性支点刚度系数</w:t>
      </w:r>
      <w:r>
        <w:rPr>
          <w:rFonts w:ascii="Times New Roman" w:hAnsi="Times New Roman"/>
          <w:color w:val="auto"/>
        </w:rPr>
        <w:t>k</w:t>
      </w:r>
      <w:r>
        <w:rPr>
          <w:rFonts w:ascii="Times New Roman" w:hAnsi="Times New Roman"/>
          <w:color w:val="auto"/>
          <w:vertAlign w:val="subscript"/>
        </w:rPr>
        <w:t>R</w:t>
      </w:r>
      <w:r>
        <w:rPr>
          <w:rFonts w:hint="eastAsia" w:ascii="Times New Roman" w:hAnsi="Times New Roman"/>
          <w:color w:val="auto"/>
        </w:rPr>
        <w:t>可按式</w:t>
      </w:r>
      <w:r>
        <w:rPr>
          <w:rFonts w:hint="eastAsia" w:ascii="Times New Roman" w:hAnsi="Times New Roman"/>
          <w:color w:val="auto"/>
          <w:lang w:eastAsia="zh-CN"/>
        </w:rPr>
        <w:t>（</w:t>
      </w:r>
      <w:r>
        <w:rPr>
          <w:rFonts w:hint="eastAsia" w:ascii="Times New Roman" w:hAnsi="Times New Roman"/>
          <w:color w:val="auto"/>
          <w:lang w:val="en-US" w:eastAsia="zh-CN"/>
        </w:rPr>
        <w:t>8.1.16</w:t>
      </w:r>
      <w:r>
        <w:rPr>
          <w:rFonts w:hint="eastAsia" w:ascii="Times New Roman" w:hAnsi="Times New Roman"/>
          <w:color w:val="auto"/>
          <w:lang w:eastAsia="zh-CN"/>
        </w:rPr>
        <w:t>）</w:t>
      </w:r>
      <w:r>
        <w:rPr>
          <w:rFonts w:hint="eastAsia" w:ascii="Times New Roman" w:hAnsi="Times New Roman"/>
          <w:color w:val="auto"/>
        </w:rPr>
        <w:t>计</w:t>
      </w:r>
      <w:r>
        <w:rPr>
          <w:rFonts w:hint="eastAsia" w:ascii="Times New Roman" w:hAnsi="Times New Roman"/>
        </w:rPr>
        <w:t>算</w:t>
      </w:r>
      <w:r>
        <w:rPr>
          <w:rFonts w:ascii="Times New Roman" w:hAnsi="Times New Roman"/>
        </w:rPr>
        <w:t>：</w:t>
      </w:r>
    </w:p>
    <w:tbl>
      <w:tblPr>
        <w:tblStyle w:val="32"/>
        <w:tblW w:w="0" w:type="auto"/>
        <w:tblInd w:w="0" w:type="dxa"/>
        <w:tblLayout w:type="fixed"/>
        <w:tblCellMar>
          <w:top w:w="0" w:type="dxa"/>
          <w:left w:w="108" w:type="dxa"/>
          <w:bottom w:w="0" w:type="dxa"/>
          <w:right w:w="108" w:type="dxa"/>
        </w:tblCellMar>
      </w:tblPr>
      <w:tblGrid>
        <w:gridCol w:w="5211"/>
        <w:gridCol w:w="4643"/>
      </w:tblGrid>
      <w:tr>
        <w:tblPrEx>
          <w:tblCellMar>
            <w:top w:w="0" w:type="dxa"/>
            <w:left w:w="108" w:type="dxa"/>
            <w:bottom w:w="0" w:type="dxa"/>
            <w:right w:w="108" w:type="dxa"/>
          </w:tblCellMar>
        </w:tblPrEx>
        <w:tc>
          <w:tcPr>
            <w:tcW w:w="5211" w:type="dxa"/>
            <w:vAlign w:val="center"/>
          </w:tcPr>
          <w:p>
            <w:pPr>
              <w:widowControl w:val="0"/>
              <w:jc w:val="right"/>
              <w:rPr>
                <w:rFonts w:ascii="Times New Roman" w:hAnsi="Times New Roman"/>
              </w:rPr>
            </w:pPr>
            <w:r>
              <w:rPr>
                <w:rFonts w:ascii="Times New Roman" w:hAnsi="Times New Roman"/>
                <w:position w:val="-30"/>
              </w:rPr>
              <w:drawing>
                <wp:inline distT="0" distB="0" distL="114300" distR="114300">
                  <wp:extent cx="838200" cy="431800"/>
                  <wp:effectExtent l="0" t="0" r="0" b="10795"/>
                  <wp:docPr id="126" name="图片 1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167"/>
                          <pic:cNvPicPr>
                            <a:picLocks noChangeAspect="true"/>
                          </pic:cNvPicPr>
                        </pic:nvPicPr>
                        <pic:blipFill>
                          <a:blip r:embed="rId356"/>
                          <a:stretch>
                            <a:fillRect/>
                          </a:stretch>
                        </pic:blipFill>
                        <pic:spPr>
                          <a:xfrm>
                            <a:off x="0" y="0"/>
                            <a:ext cx="838200" cy="431800"/>
                          </a:xfrm>
                          <a:prstGeom prst="rect">
                            <a:avLst/>
                          </a:prstGeom>
                          <a:noFill/>
                          <a:ln>
                            <a:noFill/>
                          </a:ln>
                        </pic:spPr>
                      </pic:pic>
                    </a:graphicData>
                  </a:graphic>
                </wp:inline>
              </w:drawing>
            </w:r>
          </w:p>
        </w:tc>
        <w:tc>
          <w:tcPr>
            <w:tcW w:w="4643" w:type="dxa"/>
            <w:vAlign w:val="center"/>
          </w:tcPr>
          <w:p>
            <w:pPr>
              <w:widowControl w:val="0"/>
              <w:spacing w:line="480" w:lineRule="auto"/>
              <w:jc w:val="right"/>
              <w:rPr>
                <w:rFonts w:ascii="Times New Roman" w:hAnsi="Times New Roman"/>
              </w:rPr>
            </w:pPr>
            <w:r>
              <w:rPr>
                <w:rFonts w:hint="eastAsia" w:ascii="Times New Roman" w:hAnsi="Times New Roman"/>
              </w:rPr>
              <w:t>(8.1.16)</w:t>
            </w:r>
          </w:p>
        </w:tc>
      </w:tr>
    </w:tbl>
    <w:p>
      <w:pPr>
        <w:widowControl w:val="0"/>
        <w:spacing w:line="480" w:lineRule="exact"/>
        <w:ind w:left="1440" w:hanging="1440" w:hangingChars="600"/>
        <w:rPr>
          <w:rFonts w:ascii="Times New Roman" w:hAnsi="Times New Roman"/>
        </w:rPr>
      </w:pPr>
      <w:r>
        <w:rPr>
          <w:rFonts w:hint="eastAsia" w:ascii="Times New Roman" w:hAnsi="Times New Roman"/>
        </w:rPr>
        <w:t>式中：λ</w:t>
      </w:r>
      <w:r>
        <w:rPr>
          <w:rFonts w:ascii="Times New Roman" w:hAnsi="Times New Roman"/>
        </w:rPr>
        <w:t>——</w:t>
      </w:r>
      <w:r>
        <w:rPr>
          <w:rFonts w:hint="eastAsia" w:ascii="Times New Roman" w:hAnsi="Times New Roman"/>
        </w:rPr>
        <w:t>支撑不动点调整系数：支撑两对边基坑的土性、深度、周边荷载等条件相近，且分层对称开挖时，取λ</w:t>
      </w:r>
      <w:r>
        <w:rPr>
          <w:rFonts w:ascii="Times New Roman" w:hAnsi="Times New Roman"/>
        </w:rPr>
        <w:t>=0. 5</w:t>
      </w:r>
      <w:r>
        <w:rPr>
          <w:rFonts w:hint="eastAsia" w:ascii="Times New Roman" w:hAnsi="Times New Roman"/>
        </w:rPr>
        <w:t>；支撑两对边基坑的土性、深度、周边荷载等条件或开挖时间有差异时，对土压力较大或先开挖的一侧，取λ</w:t>
      </w:r>
      <w:r>
        <w:rPr>
          <w:rFonts w:ascii="Times New Roman" w:hAnsi="Times New Roman"/>
        </w:rPr>
        <w:t>=0. 5</w:t>
      </w:r>
      <w:r>
        <w:rPr>
          <w:rFonts w:hint="eastAsia" w:ascii="Times New Roman" w:hAnsi="Times New Roman"/>
        </w:rPr>
        <w:t>～</w:t>
      </w:r>
      <w:r>
        <w:rPr>
          <w:rFonts w:ascii="Times New Roman" w:hAnsi="Times New Roman"/>
        </w:rPr>
        <w:t>1. 0</w:t>
      </w:r>
      <w:r>
        <w:rPr>
          <w:rFonts w:hint="eastAsia" w:ascii="Times New Roman" w:hAnsi="Times New Roman"/>
        </w:rPr>
        <w:t>，且差异大时取大值，反之取小值，对土压力较小或后开挖的一侧，取</w:t>
      </w:r>
      <w:r>
        <w:rPr>
          <w:rFonts w:ascii="Times New Roman" w:hAnsi="Times New Roman"/>
        </w:rPr>
        <w:t>(1-</w:t>
      </w:r>
      <w:r>
        <w:rPr>
          <w:rFonts w:hint="eastAsia" w:ascii="Times New Roman" w:hAnsi="Times New Roman"/>
        </w:rPr>
        <w:t>λ</w:t>
      </w:r>
      <w:r>
        <w:rPr>
          <w:rFonts w:ascii="Times New Roman" w:hAnsi="Times New Roman"/>
        </w:rPr>
        <w:t>)</w:t>
      </w:r>
      <w:r>
        <w:rPr>
          <w:rFonts w:hint="eastAsia" w:ascii="Times New Roman" w:hAnsi="Times New Roman"/>
        </w:rPr>
        <w:t>；当基坑一侧取λ</w:t>
      </w:r>
      <w:r>
        <w:rPr>
          <w:rFonts w:ascii="Times New Roman" w:hAnsi="Times New Roman"/>
        </w:rPr>
        <w:t>=1</w:t>
      </w:r>
      <w:r>
        <w:rPr>
          <w:rFonts w:hint="eastAsia" w:ascii="Times New Roman" w:hAnsi="Times New Roman"/>
        </w:rPr>
        <w:t>时，基坑另一侧应按固定支座考虑；对竖向斜撑构件，取λ</w:t>
      </w:r>
      <w:r>
        <w:rPr>
          <w:rFonts w:ascii="Times New Roman" w:hAnsi="Times New Roman"/>
        </w:rPr>
        <w:t>=1</w:t>
      </w:r>
      <w:r>
        <w:rPr>
          <w:rFonts w:hint="eastAsia" w:ascii="Times New Roman" w:hAnsi="Times New Roman"/>
        </w:rPr>
        <w:t>；</w:t>
      </w:r>
    </w:p>
    <w:p>
      <w:pPr>
        <w:widowControl w:val="0"/>
        <w:spacing w:line="480" w:lineRule="exact"/>
        <w:ind w:left="1440" w:hanging="1440" w:hangingChars="600"/>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12"/>
        </w:rPr>
        <w:drawing>
          <wp:inline distT="0" distB="0" distL="114300" distR="114300">
            <wp:extent cx="190500" cy="228600"/>
            <wp:effectExtent l="0" t="0" r="0" b="0"/>
            <wp:docPr id="82" name="图片 1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168"/>
                    <pic:cNvPicPr>
                      <a:picLocks noChangeAspect="true"/>
                    </pic:cNvPicPr>
                  </pic:nvPicPr>
                  <pic:blipFill>
                    <a:blip r:embed="rId357"/>
                    <a:stretch>
                      <a:fillRect/>
                    </a:stretch>
                  </pic:blipFill>
                  <pic:spPr>
                    <a:xfrm>
                      <a:off x="0" y="0"/>
                      <a:ext cx="190500" cy="22860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支撑松弛系数，对混凝土支撑和预加轴向压力的钢支撑，取</w:t>
      </w:r>
      <w:r>
        <w:rPr>
          <w:rFonts w:ascii="Times New Roman" w:hAnsi="Times New Roman"/>
          <w:position w:val="-12"/>
        </w:rPr>
        <w:drawing>
          <wp:inline distT="0" distB="0" distL="114300" distR="114300">
            <wp:extent cx="190500" cy="228600"/>
            <wp:effectExtent l="0" t="0" r="0" b="0"/>
            <wp:docPr id="91" name="图片 1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169"/>
                    <pic:cNvPicPr>
                      <a:picLocks noChangeAspect="true"/>
                    </pic:cNvPicPr>
                  </pic:nvPicPr>
                  <pic:blipFill>
                    <a:blip r:embed="rId357"/>
                    <a:stretch>
                      <a:fillRect/>
                    </a:stretch>
                  </pic:blipFill>
                  <pic:spPr>
                    <a:xfrm>
                      <a:off x="0" y="0"/>
                      <a:ext cx="190500" cy="228600"/>
                    </a:xfrm>
                    <a:prstGeom prst="rect">
                      <a:avLst/>
                    </a:prstGeom>
                    <a:noFill/>
                    <a:ln>
                      <a:noFill/>
                    </a:ln>
                  </pic:spPr>
                </pic:pic>
              </a:graphicData>
            </a:graphic>
          </wp:inline>
        </w:drawing>
      </w:r>
      <w:r>
        <w:rPr>
          <w:rFonts w:ascii="Times New Roman" w:hAnsi="Times New Roman"/>
        </w:rPr>
        <w:t xml:space="preserve"> =1.0</w:t>
      </w:r>
      <w:r>
        <w:rPr>
          <w:rFonts w:hint="eastAsia" w:ascii="Times New Roman" w:hAnsi="Times New Roman"/>
        </w:rPr>
        <w:t>，对不预加支撑轴向压力的钢支撑，取</w:t>
      </w:r>
      <w:r>
        <w:rPr>
          <w:rFonts w:ascii="Times New Roman" w:hAnsi="Times New Roman"/>
          <w:position w:val="-12"/>
        </w:rPr>
        <w:drawing>
          <wp:inline distT="0" distB="0" distL="114300" distR="114300">
            <wp:extent cx="190500" cy="228600"/>
            <wp:effectExtent l="0" t="0" r="0" b="0"/>
            <wp:docPr id="90" name="图片 1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170"/>
                    <pic:cNvPicPr>
                      <a:picLocks noChangeAspect="true"/>
                    </pic:cNvPicPr>
                  </pic:nvPicPr>
                  <pic:blipFill>
                    <a:blip r:embed="rId357"/>
                    <a:stretch>
                      <a:fillRect/>
                    </a:stretch>
                  </pic:blipFill>
                  <pic:spPr>
                    <a:xfrm>
                      <a:off x="0" y="0"/>
                      <a:ext cx="190500" cy="228600"/>
                    </a:xfrm>
                    <a:prstGeom prst="rect">
                      <a:avLst/>
                    </a:prstGeom>
                    <a:noFill/>
                    <a:ln>
                      <a:noFill/>
                    </a:ln>
                  </pic:spPr>
                </pic:pic>
              </a:graphicData>
            </a:graphic>
          </wp:inline>
        </w:drawing>
      </w:r>
      <w:r>
        <w:rPr>
          <w:rFonts w:ascii="Times New Roman" w:hAnsi="Times New Roman"/>
        </w:rPr>
        <w:t>=0.8</w:t>
      </w:r>
      <w:r>
        <w:rPr>
          <w:rFonts w:hint="eastAsia" w:ascii="Times New Roman" w:hAnsi="Times New Roman"/>
        </w:rPr>
        <w:t>～</w:t>
      </w:r>
      <w:r>
        <w:rPr>
          <w:rFonts w:ascii="Times New Roman" w:hAnsi="Times New Roman"/>
        </w:rPr>
        <w:t>1. 0</w:t>
      </w:r>
      <w:r>
        <w:rPr>
          <w:rFonts w:hint="eastAsia" w:ascii="Times New Roman" w:hAnsi="Times New Roman"/>
        </w:rPr>
        <w:t>；</w:t>
      </w:r>
    </w:p>
    <w:p>
      <w:pPr>
        <w:widowControl w:val="0"/>
        <w:spacing w:line="480" w:lineRule="exact"/>
        <w:ind w:firstLine="840" w:firstLineChars="350"/>
        <w:rPr>
          <w:rFonts w:ascii="Times New Roman" w:hAnsi="Times New Roman"/>
        </w:rPr>
      </w:pPr>
      <w:r>
        <w:rPr>
          <w:rFonts w:ascii="Times New Roman" w:hAnsi="Times New Roman"/>
          <w:position w:val="-6"/>
        </w:rPr>
        <w:drawing>
          <wp:inline distT="0" distB="0" distL="114300" distR="114300">
            <wp:extent cx="104775" cy="200025"/>
            <wp:effectExtent l="0" t="0" r="1905" b="0"/>
            <wp:docPr id="81" name="图片 1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171"/>
                    <pic:cNvPicPr>
                      <a:picLocks noChangeAspect="true"/>
                    </pic:cNvPicPr>
                  </pic:nvPicPr>
                  <pic:blipFill>
                    <a:blip r:embed="rId358">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 xml:space="preserve">支撑材料的弹性模量（kPa）； </w:t>
      </w:r>
    </w:p>
    <w:p>
      <w:pPr>
        <w:widowControl w:val="0"/>
        <w:spacing w:line="480" w:lineRule="exact"/>
        <w:ind w:firstLine="840" w:firstLineChars="350"/>
        <w:rPr>
          <w:rFonts w:ascii="Times New Roman" w:hAnsi="Times New Roman"/>
        </w:rPr>
      </w:pPr>
      <w:r>
        <w:rPr>
          <w:rFonts w:ascii="Times New Roman" w:hAnsi="Times New Roman"/>
          <w:position w:val="-6"/>
        </w:rPr>
        <w:drawing>
          <wp:inline distT="0" distB="0" distL="114300" distR="114300">
            <wp:extent cx="95250" cy="200025"/>
            <wp:effectExtent l="0" t="0" r="11430" b="0"/>
            <wp:docPr id="83" name="图片 1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72"/>
                    <pic:cNvPicPr>
                      <a:picLocks noChangeAspect="true"/>
                    </pic:cNvPicPr>
                  </pic:nvPicPr>
                  <pic:blipFill>
                    <a:blip r:embed="rId350">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支撑的截面面积（m</w:t>
      </w:r>
      <w:r>
        <w:rPr>
          <w:rFonts w:hint="eastAsia" w:ascii="Times New Roman" w:hAnsi="Times New Roman"/>
          <w:vertAlign w:val="superscript"/>
        </w:rPr>
        <w:t>2</w:t>
      </w:r>
      <w:r>
        <w:rPr>
          <w:rFonts w:hint="eastAsia" w:ascii="Times New Roman" w:hAnsi="Times New Roman"/>
        </w:rPr>
        <w:t>）；</w:t>
      </w:r>
    </w:p>
    <w:p>
      <w:pPr>
        <w:widowControl w:val="0"/>
        <w:spacing w:line="480" w:lineRule="exact"/>
        <w:ind w:firstLine="840" w:firstLineChars="350"/>
        <w:rPr>
          <w:rFonts w:ascii="Times New Roman" w:hAnsi="Times New Roman"/>
        </w:rPr>
      </w:pPr>
      <w:r>
        <w:rPr>
          <w:rFonts w:ascii="Times New Roman" w:hAnsi="Times New Roman"/>
          <w:position w:val="-6"/>
        </w:rPr>
        <w:drawing>
          <wp:inline distT="0" distB="0" distL="114300" distR="114300">
            <wp:extent cx="114300" cy="200025"/>
            <wp:effectExtent l="0" t="0" r="7620" b="0"/>
            <wp:docPr id="84" name="图片 1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73"/>
                    <pic:cNvPicPr>
                      <a:picLocks noChangeAspect="true"/>
                    </pic:cNvPicPr>
                  </pic:nvPicPr>
                  <pic:blipFill>
                    <a:blip r:embed="rId359">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水平对撑间距（m）；</w:t>
      </w:r>
    </w:p>
    <w:p>
      <w:pPr>
        <w:widowControl w:val="0"/>
        <w:spacing w:line="480" w:lineRule="exact"/>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114300" cy="200025"/>
            <wp:effectExtent l="0" t="0" r="7620" b="13970"/>
            <wp:docPr id="89" name="图片 1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174"/>
                    <pic:cNvPicPr>
                      <a:picLocks noChangeAspect="true"/>
                    </pic:cNvPicPr>
                  </pic:nvPicPr>
                  <pic:blipFill>
                    <a:blip r:embed="rId360">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受压支撑构件的长度（m）。</w:t>
      </w:r>
    </w:p>
    <w:p>
      <w:pPr>
        <w:widowControl w:val="0"/>
        <w:spacing w:line="480" w:lineRule="exact"/>
        <w:rPr>
          <w:rFonts w:ascii="Times New Roman" w:hAnsi="Times New Roman"/>
        </w:rPr>
      </w:pPr>
      <w:r>
        <w:rPr>
          <w:rFonts w:hint="eastAsia" w:ascii="Times New Roman" w:hAnsi="Times New Roman"/>
          <w:b/>
        </w:rPr>
        <w:t>8.1.17</w:t>
      </w:r>
      <w:r>
        <w:rPr>
          <w:rFonts w:hint="eastAsia" w:ascii="Times New Roman" w:hAnsi="Times New Roman"/>
        </w:rPr>
        <w:t xml:space="preserve"> 整体稳定性计算，抗倾覆稳定验算，抗隆起稳定性和抗突涌、抗渗流破坏稳定性等验算；</w:t>
      </w:r>
      <w:r>
        <w:rPr>
          <w:rFonts w:hint="eastAsia" w:ascii="Times New Roman" w:hAnsi="Times New Roman"/>
          <w:color w:val="auto"/>
        </w:rPr>
        <w:t>按本</w:t>
      </w:r>
      <w:r>
        <w:rPr>
          <w:rFonts w:hint="eastAsia" w:ascii="Times New Roman" w:hAnsi="Times New Roman"/>
          <w:color w:val="auto"/>
          <w:lang w:val="en-US" w:eastAsia="zh-CN"/>
        </w:rPr>
        <w:t>标准</w:t>
      </w:r>
      <w:r>
        <w:rPr>
          <w:rFonts w:hint="eastAsia" w:ascii="Times New Roman" w:hAnsi="Times New Roman"/>
          <w:color w:val="auto"/>
        </w:rPr>
        <w:t>第</w:t>
      </w:r>
      <w:r>
        <w:rPr>
          <w:rFonts w:hint="eastAsia" w:ascii="Times New Roman" w:hAnsi="Times New Roman"/>
          <w:color w:val="auto"/>
          <w:lang w:val="en-US" w:eastAsia="zh-CN"/>
        </w:rPr>
        <w:t>6</w:t>
      </w:r>
      <w:r>
        <w:rPr>
          <w:rFonts w:hint="eastAsia" w:ascii="Times New Roman" w:hAnsi="Times New Roman"/>
        </w:rPr>
        <w:t>章的规定计算。</w:t>
      </w:r>
    </w:p>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b/>
        </w:rPr>
        <w:t xml:space="preserve">8.1.18 </w:t>
      </w:r>
      <w:r>
        <w:rPr>
          <w:rFonts w:hint="eastAsia" w:ascii="Times New Roman" w:hAnsi="Times New Roman"/>
        </w:rPr>
        <w:t>双排桩支挡结构计算，前、后排桩的净距不宜大于基坑深度的</w:t>
      </w:r>
      <w:r>
        <w:rPr>
          <w:rFonts w:ascii="Times New Roman" w:hAnsi="Times New Roman"/>
        </w:rPr>
        <w:t>0.25</w:t>
      </w:r>
      <w:r>
        <w:rPr>
          <w:rFonts w:hint="eastAsia" w:ascii="Times New Roman" w:hAnsi="Times New Roman"/>
        </w:rPr>
        <w:t>倍或</w:t>
      </w:r>
      <w:r>
        <w:rPr>
          <w:rFonts w:ascii="Times New Roman" w:hAnsi="Times New Roman"/>
        </w:rPr>
        <w:t>3m</w:t>
      </w:r>
      <w:r>
        <w:rPr>
          <w:rFonts w:hint="eastAsia" w:ascii="Times New Roman" w:hAnsi="Times New Roman"/>
        </w:rPr>
        <w:t>，可采用图8.1.18-1的结构模型，前、后排桩的桩顶连梁应按图8.1.18-2布置。</w:t>
      </w:r>
    </w:p>
    <w:p>
      <w:pPr>
        <w:widowControl w:val="0"/>
        <w:tabs>
          <w:tab w:val="left" w:pos="5245"/>
          <w:tab w:val="left" w:pos="5812"/>
          <w:tab w:val="left" w:pos="6237"/>
        </w:tabs>
        <w:ind w:right="-58" w:rightChars="-24"/>
        <w:jc w:val="center"/>
        <w:rPr>
          <w:rFonts w:ascii="Times New Roman" w:hAnsi="Times New Roman"/>
        </w:rPr>
      </w:pPr>
      <w:r>
        <w:rPr>
          <w:rFonts w:ascii="Times New Roman" w:hAnsi="Times New Roman"/>
        </w:rPr>
        <w:drawing>
          <wp:inline distT="0" distB="0" distL="114300" distR="114300">
            <wp:extent cx="4857750" cy="2581275"/>
            <wp:effectExtent l="0" t="0" r="3810" b="9525"/>
            <wp:docPr id="85" name="图片 1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75"/>
                    <pic:cNvPicPr>
                      <a:picLocks noChangeAspect="true"/>
                    </pic:cNvPicPr>
                  </pic:nvPicPr>
                  <pic:blipFill>
                    <a:blip r:embed="rId361"/>
                    <a:srcRect t="1646"/>
                    <a:stretch>
                      <a:fillRect/>
                    </a:stretch>
                  </pic:blipFill>
                  <pic:spPr>
                    <a:xfrm>
                      <a:off x="0" y="0"/>
                      <a:ext cx="4857750" cy="2581275"/>
                    </a:xfrm>
                    <a:prstGeom prst="rect">
                      <a:avLst/>
                    </a:prstGeom>
                    <a:noFill/>
                    <a:ln>
                      <a:noFill/>
                    </a:ln>
                  </pic:spPr>
                </pic:pic>
              </a:graphicData>
            </a:graphic>
          </wp:inline>
        </w:drawing>
      </w:r>
    </w:p>
    <w:p>
      <w:pPr>
        <w:widowControl w:val="0"/>
        <w:tabs>
          <w:tab w:val="left" w:pos="5245"/>
          <w:tab w:val="left" w:pos="5812"/>
          <w:tab w:val="left" w:pos="6237"/>
        </w:tabs>
        <w:ind w:right="-58" w:rightChars="-24"/>
        <w:jc w:val="center"/>
        <w:rPr>
          <w:rFonts w:ascii="Times New Roman" w:hAnsi="Times New Roman"/>
          <w:sz w:val="21"/>
          <w:szCs w:val="21"/>
        </w:rPr>
      </w:pPr>
      <w:r>
        <w:rPr>
          <w:rFonts w:hint="eastAsia" w:ascii="Times New Roman" w:hAnsi="Times New Roman"/>
          <w:sz w:val="21"/>
          <w:szCs w:val="21"/>
        </w:rPr>
        <w:t xml:space="preserve">   图8.1.18-1</w:t>
      </w:r>
      <w:r>
        <w:rPr>
          <w:rFonts w:ascii="Times New Roman" w:hAnsi="Times New Roman"/>
          <w:sz w:val="21"/>
          <w:szCs w:val="21"/>
        </w:rPr>
        <w:t xml:space="preserve">   </w:t>
      </w:r>
      <w:r>
        <w:rPr>
          <w:rFonts w:hint="eastAsia" w:ascii="Times New Roman" w:hAnsi="Times New Roman"/>
          <w:sz w:val="21"/>
          <w:szCs w:val="21"/>
        </w:rPr>
        <w:t>双排桩计算</w:t>
      </w:r>
      <w:r>
        <w:rPr>
          <w:rFonts w:ascii="Times New Roman" w:hAnsi="Times New Roman"/>
          <w:sz w:val="21"/>
          <w:szCs w:val="21"/>
        </w:rPr>
        <w:t xml:space="preserve">           </w:t>
      </w:r>
      <w:r>
        <w:rPr>
          <w:rFonts w:hint="eastAsia" w:ascii="Times New Roman" w:hAnsi="Times New Roman"/>
          <w:sz w:val="21"/>
          <w:szCs w:val="21"/>
        </w:rPr>
        <w:t>图8.1.18-2</w:t>
      </w:r>
      <w:r>
        <w:rPr>
          <w:rFonts w:ascii="Times New Roman" w:hAnsi="Times New Roman"/>
          <w:sz w:val="21"/>
          <w:szCs w:val="21"/>
        </w:rPr>
        <w:t xml:space="preserve">   </w:t>
      </w:r>
      <w:r>
        <w:rPr>
          <w:rFonts w:hint="eastAsia" w:ascii="Times New Roman" w:hAnsi="Times New Roman"/>
          <w:sz w:val="21"/>
          <w:szCs w:val="21"/>
        </w:rPr>
        <w:t>双排桩桩顶梁布置</w:t>
      </w:r>
    </w:p>
    <w:p>
      <w:pPr>
        <w:widowControl w:val="0"/>
        <w:tabs>
          <w:tab w:val="left" w:pos="5245"/>
          <w:tab w:val="left" w:pos="5812"/>
          <w:tab w:val="left" w:pos="6237"/>
        </w:tabs>
        <w:ind w:right="-58" w:rightChars="-24"/>
        <w:jc w:val="center"/>
        <w:rPr>
          <w:rFonts w:ascii="Times New Roman" w:hAnsi="Times New Roman"/>
          <w:sz w:val="21"/>
          <w:szCs w:val="21"/>
        </w:rPr>
      </w:pPr>
      <w:r>
        <w:rPr>
          <w:rFonts w:hint="eastAsia" w:ascii="Times New Roman" w:hAnsi="Times New Roman"/>
          <w:szCs w:val="24"/>
        </w:rPr>
        <w:t xml:space="preserve">    </w:t>
      </w:r>
      <w:r>
        <w:rPr>
          <w:rFonts w:hint="eastAsia" w:ascii="Times New Roman" w:hAnsi="Times New Roman"/>
          <w:sz w:val="21"/>
          <w:szCs w:val="21"/>
        </w:rPr>
        <w:t xml:space="preserve"> </w:t>
      </w:r>
      <w:r>
        <w:rPr>
          <w:rFonts w:ascii="Times New Roman" w:hAnsi="Times New Roman"/>
          <w:sz w:val="21"/>
          <w:szCs w:val="21"/>
        </w:rPr>
        <w:t>1—</w:t>
      </w:r>
      <w:r>
        <w:rPr>
          <w:rFonts w:hint="eastAsia" w:ascii="Times New Roman" w:hAnsi="Times New Roman"/>
          <w:sz w:val="21"/>
          <w:szCs w:val="21"/>
        </w:rPr>
        <w:t>前排桩；</w:t>
      </w:r>
      <w:r>
        <w:rPr>
          <w:rFonts w:ascii="Times New Roman" w:hAnsi="Times New Roman"/>
          <w:sz w:val="21"/>
          <w:szCs w:val="21"/>
        </w:rPr>
        <w:t>2—</w:t>
      </w:r>
      <w:r>
        <w:rPr>
          <w:rFonts w:hint="eastAsia" w:ascii="Times New Roman" w:hAnsi="Times New Roman"/>
          <w:sz w:val="21"/>
          <w:szCs w:val="21"/>
        </w:rPr>
        <w:t>后排桩；</w:t>
      </w:r>
      <w:r>
        <w:rPr>
          <w:rFonts w:ascii="Times New Roman" w:hAnsi="Times New Roman"/>
          <w:sz w:val="21"/>
          <w:szCs w:val="21"/>
        </w:rPr>
        <w:t>3—</w:t>
      </w:r>
      <w:r>
        <w:rPr>
          <w:rFonts w:hint="eastAsia" w:ascii="Times New Roman" w:hAnsi="Times New Roman"/>
          <w:sz w:val="21"/>
          <w:szCs w:val="21"/>
        </w:rPr>
        <w:t>连梁；</w:t>
      </w:r>
      <w:r>
        <w:rPr>
          <w:rFonts w:ascii="Times New Roman" w:hAnsi="Times New Roman"/>
          <w:szCs w:val="24"/>
        </w:rPr>
        <w:t xml:space="preserve">    </w:t>
      </w:r>
      <w:r>
        <w:rPr>
          <w:rFonts w:ascii="Times New Roman" w:hAnsi="Times New Roman"/>
          <w:sz w:val="21"/>
          <w:szCs w:val="21"/>
        </w:rPr>
        <w:t>1—</w:t>
      </w:r>
      <w:r>
        <w:rPr>
          <w:rFonts w:hint="eastAsia" w:ascii="Times New Roman" w:hAnsi="Times New Roman"/>
          <w:sz w:val="21"/>
          <w:szCs w:val="21"/>
        </w:rPr>
        <w:t>前排桩；</w:t>
      </w:r>
      <w:r>
        <w:rPr>
          <w:rFonts w:ascii="Times New Roman" w:hAnsi="Times New Roman"/>
          <w:sz w:val="21"/>
          <w:szCs w:val="21"/>
        </w:rPr>
        <w:t>2—</w:t>
      </w:r>
      <w:r>
        <w:rPr>
          <w:rFonts w:hint="eastAsia" w:ascii="Times New Roman" w:hAnsi="Times New Roman"/>
          <w:sz w:val="21"/>
          <w:szCs w:val="21"/>
        </w:rPr>
        <w:t>后排桩；</w:t>
      </w:r>
      <w:r>
        <w:rPr>
          <w:rFonts w:ascii="Times New Roman" w:hAnsi="Times New Roman"/>
          <w:sz w:val="21"/>
          <w:szCs w:val="21"/>
        </w:rPr>
        <w:t>3—</w:t>
      </w:r>
      <w:r>
        <w:rPr>
          <w:rFonts w:hint="eastAsia" w:ascii="Times New Roman" w:hAnsi="Times New Roman"/>
          <w:sz w:val="21"/>
          <w:szCs w:val="21"/>
        </w:rPr>
        <w:t xml:space="preserve">排桩对称中心线； </w:t>
      </w:r>
    </w:p>
    <w:p>
      <w:pPr>
        <w:widowControl w:val="0"/>
        <w:tabs>
          <w:tab w:val="left" w:pos="5245"/>
          <w:tab w:val="left" w:pos="5812"/>
          <w:tab w:val="left" w:pos="6237"/>
        </w:tabs>
        <w:ind w:right="-58" w:rightChars="-24"/>
        <w:jc w:val="center"/>
        <w:rPr>
          <w:rFonts w:ascii="Times New Roman" w:hAnsi="Times New Roman"/>
          <w:sz w:val="21"/>
          <w:szCs w:val="21"/>
        </w:rPr>
      </w:pPr>
      <w:r>
        <w:rPr>
          <w:rFonts w:hint="eastAsia" w:ascii="Times New Roman" w:hAnsi="Times New Roman"/>
          <w:sz w:val="21"/>
          <w:szCs w:val="21"/>
        </w:rPr>
        <w:t xml:space="preserve">                                          </w:t>
      </w:r>
      <w:r>
        <w:rPr>
          <w:rFonts w:ascii="Times New Roman" w:hAnsi="Times New Roman"/>
          <w:sz w:val="21"/>
          <w:szCs w:val="21"/>
        </w:rPr>
        <w:t>4—</w:t>
      </w:r>
      <w:r>
        <w:rPr>
          <w:rFonts w:hint="eastAsia" w:ascii="Times New Roman" w:hAnsi="Times New Roman"/>
          <w:sz w:val="21"/>
          <w:szCs w:val="21"/>
        </w:rPr>
        <w:t>桩顶冠梁；</w:t>
      </w:r>
      <w:r>
        <w:rPr>
          <w:rFonts w:ascii="Times New Roman" w:hAnsi="Times New Roman"/>
          <w:sz w:val="21"/>
          <w:szCs w:val="21"/>
        </w:rPr>
        <w:t>5—</w:t>
      </w:r>
      <w:r>
        <w:rPr>
          <w:rFonts w:hint="eastAsia" w:ascii="Times New Roman" w:hAnsi="Times New Roman"/>
          <w:sz w:val="21"/>
          <w:szCs w:val="21"/>
        </w:rPr>
        <w:t>连梁；</w:t>
      </w:r>
    </w:p>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b/>
        </w:rPr>
        <w:t>8.1.19</w:t>
      </w:r>
      <w:r>
        <w:rPr>
          <w:rFonts w:hint="eastAsia" w:ascii="Times New Roman" w:hAnsi="Times New Roman"/>
        </w:rPr>
        <w:t xml:space="preserve"> 双排桩计算采用图8.1.18-1的结构模型时，作用于后排桩上的土压力应按</w:t>
      </w:r>
      <w:r>
        <w:rPr>
          <w:rFonts w:hint="eastAsia" w:ascii="Times New Roman" w:hAnsi="Times New Roman"/>
          <w:lang w:eastAsia="zh-CN"/>
        </w:rPr>
        <w:t>本标准</w:t>
      </w:r>
      <w:r>
        <w:rPr>
          <w:rFonts w:hint="eastAsia" w:ascii="Times New Roman" w:hAnsi="Times New Roman"/>
        </w:rPr>
        <w:t>第五章的规定计算，前排桩嵌固段上的土反力应按本</w:t>
      </w:r>
      <w:r>
        <w:rPr>
          <w:rFonts w:hint="eastAsia" w:ascii="Times New Roman" w:hAnsi="Times New Roman"/>
          <w:lang w:val="en-US" w:eastAsia="zh-CN"/>
        </w:rPr>
        <w:t>标准</w:t>
      </w:r>
      <w:r>
        <w:rPr>
          <w:rFonts w:hint="eastAsia" w:ascii="Times New Roman" w:hAnsi="Times New Roman"/>
        </w:rPr>
        <w:t>第8.1.11条的规定计算。前、后排桩的桩间土体对桩侧的压力可按</w:t>
      </w:r>
      <w:r>
        <w:rPr>
          <w:rFonts w:hint="eastAsia" w:ascii="Times New Roman" w:hAnsi="Times New Roman"/>
          <w:color w:val="auto"/>
        </w:rPr>
        <w:t>式</w:t>
      </w:r>
      <w:r>
        <w:rPr>
          <w:rFonts w:hint="eastAsia" w:ascii="Times New Roman" w:hAnsi="Times New Roman"/>
          <w:color w:val="auto"/>
          <w:lang w:eastAsia="zh-CN"/>
        </w:rPr>
        <w:t>（</w:t>
      </w:r>
      <w:r>
        <w:rPr>
          <w:rFonts w:hint="eastAsia" w:ascii="Times New Roman" w:hAnsi="Times New Roman"/>
          <w:color w:val="auto"/>
          <w:lang w:val="en-US" w:eastAsia="zh-CN"/>
        </w:rPr>
        <w:t>8.1.19-1</w:t>
      </w:r>
      <w:r>
        <w:rPr>
          <w:rFonts w:hint="eastAsia" w:ascii="Times New Roman" w:hAnsi="Times New Roman"/>
          <w:color w:val="auto"/>
          <w:lang w:eastAsia="zh-CN"/>
        </w:rPr>
        <w:t>）</w:t>
      </w:r>
      <w:r>
        <w:rPr>
          <w:rFonts w:hint="eastAsia" w:ascii="Times New Roman" w:hAnsi="Times New Roman"/>
          <w:color w:val="auto"/>
        </w:rPr>
        <w:t>计</w:t>
      </w:r>
      <w:r>
        <w:rPr>
          <w:rFonts w:hint="eastAsia" w:ascii="Times New Roman" w:hAnsi="Times New Roman"/>
        </w:rPr>
        <w:t>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5245"/>
                <w:tab w:val="left" w:pos="5812"/>
                <w:tab w:val="left" w:pos="6237"/>
              </w:tabs>
              <w:ind w:right="-58" w:rightChars="-24"/>
              <w:jc w:val="right"/>
              <w:rPr>
                <w:rFonts w:ascii="Times New Roman" w:hAnsi="Times New Roman"/>
              </w:rPr>
            </w:pPr>
            <w:r>
              <w:rPr>
                <w:color w:val="0000FF"/>
              </w:rPr>
              <w:drawing>
                <wp:inline distT="0" distB="0" distL="114300" distR="114300">
                  <wp:extent cx="1572260" cy="323850"/>
                  <wp:effectExtent l="0" t="0" r="0" b="12065"/>
                  <wp:docPr id="86" name="图片 1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76"/>
                          <pic:cNvPicPr>
                            <a:picLocks noChangeAspect="true"/>
                          </pic:cNvPicPr>
                        </pic:nvPicPr>
                        <pic:blipFill>
                          <a:blip r:embed="rId362"/>
                          <a:stretch>
                            <a:fillRect/>
                          </a:stretch>
                        </pic:blipFill>
                        <pic:spPr>
                          <a:xfrm>
                            <a:off x="0" y="0"/>
                            <a:ext cx="1572260" cy="323850"/>
                          </a:xfrm>
                          <a:prstGeom prst="rect">
                            <a:avLst/>
                          </a:prstGeom>
                          <a:noFill/>
                          <a:ln>
                            <a:noFill/>
                          </a:ln>
                        </pic:spPr>
                      </pic:pic>
                    </a:graphicData>
                  </a:graphic>
                </wp:inline>
              </w:drawing>
            </w:r>
            <w:r>
              <w:rPr>
                <w:rFonts w:hint="eastAsia" w:ascii="Times New Roman" w:hAnsi="Times New Roman"/>
              </w:rPr>
              <w:t xml:space="preserve">  </w:t>
            </w:r>
          </w:p>
        </w:tc>
        <w:tc>
          <w:tcPr>
            <w:tcW w:w="4927" w:type="dxa"/>
          </w:tcPr>
          <w:p>
            <w:pPr>
              <w:widowControl w:val="0"/>
              <w:tabs>
                <w:tab w:val="left" w:pos="5245"/>
                <w:tab w:val="left" w:pos="5812"/>
                <w:tab w:val="left" w:pos="6237"/>
              </w:tabs>
              <w:spacing w:line="480" w:lineRule="auto"/>
              <w:ind w:right="-58" w:rightChars="-24"/>
              <w:jc w:val="right"/>
              <w:rPr>
                <w:rFonts w:ascii="Times New Roman" w:hAnsi="Times New Roman"/>
              </w:rPr>
            </w:pPr>
            <w:r>
              <w:rPr>
                <w:rFonts w:hint="eastAsia" w:ascii="Times New Roman" w:hAnsi="Times New Roman"/>
              </w:rPr>
              <w:t>(8.1.19-1)</w:t>
            </w:r>
          </w:p>
        </w:tc>
      </w:tr>
    </w:tbl>
    <w:p>
      <w:pPr>
        <w:widowControl w:val="0"/>
        <w:tabs>
          <w:tab w:val="left" w:pos="5245"/>
          <w:tab w:val="left" w:pos="5812"/>
          <w:tab w:val="left" w:pos="6237"/>
        </w:tabs>
        <w:ind w:left="1560" w:right="-58" w:rightChars="-24" w:hanging="1560" w:hangingChars="650"/>
        <w:rPr>
          <w:rFonts w:ascii="Times New Roman" w:hAnsi="Times New Roman"/>
        </w:rPr>
      </w:pPr>
      <w:r>
        <w:rPr>
          <w:rFonts w:hint="eastAsia" w:ascii="Times New Roman" w:hAnsi="Times New Roman"/>
        </w:rPr>
        <w:t xml:space="preserve">式中： </w:t>
      </w:r>
      <w:r>
        <w:drawing>
          <wp:inline distT="0" distB="0" distL="114300" distR="114300">
            <wp:extent cx="189865" cy="228600"/>
            <wp:effectExtent l="0" t="0" r="8255" b="0"/>
            <wp:docPr id="87" name="图片 1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177"/>
                    <pic:cNvPicPr>
                      <a:picLocks noChangeAspect="true"/>
                    </pic:cNvPicPr>
                  </pic:nvPicPr>
                  <pic:blipFill>
                    <a:blip r:embed="rId363"/>
                    <a:stretch>
                      <a:fillRect/>
                    </a:stretch>
                  </pic:blipFill>
                  <pic:spPr>
                    <a:xfrm>
                      <a:off x="0" y="0"/>
                      <a:ext cx="189865" cy="22860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前、后排桩间土体对桩侧的压力</w:t>
      </w:r>
      <w:r>
        <w:rPr>
          <w:rFonts w:ascii="Times New Roman" w:hAnsi="Times New Roman"/>
        </w:rPr>
        <w:t>(kPa)</w:t>
      </w:r>
      <w:r>
        <w:rPr>
          <w:rFonts w:hint="eastAsia" w:ascii="Times New Roman" w:hAnsi="Times New Roman"/>
        </w:rPr>
        <w:t>，可按作用在前、后排桩上的压力相等考虑；</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t xml:space="preserve"> </w:t>
      </w:r>
      <w:r>
        <w:drawing>
          <wp:inline distT="0" distB="0" distL="114300" distR="114300">
            <wp:extent cx="164465" cy="228600"/>
            <wp:effectExtent l="0" t="0" r="0" b="0"/>
            <wp:docPr id="88" name="图片 1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178"/>
                    <pic:cNvPicPr>
                      <a:picLocks noChangeAspect="true"/>
                    </pic:cNvPicPr>
                  </pic:nvPicPr>
                  <pic:blipFill>
                    <a:blip r:embed="rId364"/>
                    <a:stretch>
                      <a:fillRect/>
                    </a:stretch>
                  </pic:blipFill>
                  <pic:spPr>
                    <a:xfrm>
                      <a:off x="0" y="0"/>
                      <a:ext cx="164465" cy="22860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桩间土的水平刚度系数</w:t>
      </w:r>
      <w:r>
        <w:rPr>
          <w:rFonts w:ascii="Times New Roman" w:hAnsi="Times New Roman"/>
        </w:rPr>
        <w:t>(kN/m</w:t>
      </w:r>
      <w:r>
        <w:rPr>
          <w:rFonts w:ascii="Times New Roman" w:hAnsi="Times New Roman"/>
          <w:vertAlign w:val="superscript"/>
        </w:rPr>
        <w:t>3</w:t>
      </w:r>
      <w:r>
        <w:rPr>
          <w:rFonts w:ascii="Times New Roman" w:hAnsi="Times New Roman"/>
        </w:rPr>
        <w:t xml:space="preserve"> )</w:t>
      </w:r>
      <w:r>
        <w:rPr>
          <w:rFonts w:hint="eastAsia" w:ascii="Times New Roman" w:hAnsi="Times New Roman"/>
        </w:rPr>
        <w:t>；</w:t>
      </w:r>
    </w:p>
    <w:p>
      <w:pPr>
        <w:widowControl w:val="0"/>
        <w:tabs>
          <w:tab w:val="left" w:pos="5245"/>
          <w:tab w:val="left" w:pos="5812"/>
          <w:tab w:val="left" w:pos="6237"/>
        </w:tabs>
        <w:spacing w:line="480" w:lineRule="exact"/>
        <w:ind w:left="1558" w:leftChars="-1" w:right="-58" w:rightChars="-24" w:hanging="1560" w:hangingChars="650"/>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hint="eastAsia" w:ascii="Times New Roman" w:hAnsi="Times New Roman"/>
          <w:position w:val="-6"/>
        </w:rPr>
        <w:drawing>
          <wp:inline distT="0" distB="0" distL="114300" distR="114300">
            <wp:extent cx="215265" cy="177165"/>
            <wp:effectExtent l="0" t="0" r="0" b="0"/>
            <wp:docPr id="152" name="图片 1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 name="图片 179"/>
                    <pic:cNvPicPr>
                      <a:picLocks noChangeAspect="true"/>
                    </pic:cNvPicPr>
                  </pic:nvPicPr>
                  <pic:blipFill>
                    <a:blip r:embed="rId365"/>
                    <a:stretch>
                      <a:fillRect/>
                    </a:stretch>
                  </pic:blipFill>
                  <pic:spPr>
                    <a:xfrm>
                      <a:off x="0" y="0"/>
                      <a:ext cx="215265" cy="17716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前、后排桩水平位移的差值（m），当其相对位移减小为正值</w:t>
      </w:r>
      <w:r>
        <w:rPr>
          <w:rFonts w:ascii="Times New Roman" w:hAnsi="Times New Roman"/>
        </w:rPr>
        <w:t>；</w:t>
      </w:r>
      <w:r>
        <w:rPr>
          <w:rFonts w:hint="eastAsia" w:ascii="Times New Roman" w:hAnsi="Times New Roman"/>
        </w:rPr>
        <w:t>当其相对位移增加时，取</w:t>
      </w:r>
      <w:r>
        <w:rPr>
          <w:rFonts w:ascii="Times New Roman" w:hAnsi="Times New Roman"/>
        </w:rPr>
        <w:t>=0</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t xml:space="preserve"> </w:t>
      </w:r>
      <w:r>
        <w:rPr>
          <w:rFonts w:ascii="Times New Roman" w:hAnsi="Times New Roman"/>
        </w:rPr>
        <w:drawing>
          <wp:inline distT="0" distB="0" distL="114300" distR="114300">
            <wp:extent cx="240665" cy="228600"/>
            <wp:effectExtent l="0" t="0" r="3175" b="0"/>
            <wp:docPr id="156" name="图片 1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180"/>
                    <pic:cNvPicPr>
                      <a:picLocks noChangeAspect="true"/>
                    </pic:cNvPicPr>
                  </pic:nvPicPr>
                  <pic:blipFill>
                    <a:blip r:embed="rId366"/>
                    <a:stretch>
                      <a:fillRect/>
                    </a:stretch>
                  </pic:blipFill>
                  <pic:spPr>
                    <a:xfrm>
                      <a:off x="0" y="0"/>
                      <a:ext cx="240665" cy="22860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前、后排桩间土体对桩侧的初始压力</w:t>
      </w:r>
      <w:r>
        <w:rPr>
          <w:rFonts w:ascii="Times New Roman" w:hAnsi="Times New Roman"/>
        </w:rPr>
        <w:t>(kPa)</w:t>
      </w:r>
      <w:r>
        <w:rPr>
          <w:rFonts w:hint="eastAsia" w:ascii="Times New Roman" w:hAnsi="Times New Roman"/>
        </w:rPr>
        <w:t>。</w:t>
      </w:r>
    </w:p>
    <w:p>
      <w:pPr>
        <w:widowControl w:val="0"/>
        <w:tabs>
          <w:tab w:val="left" w:pos="5245"/>
          <w:tab w:val="left" w:pos="5812"/>
          <w:tab w:val="left" w:pos="6237"/>
        </w:tabs>
        <w:spacing w:line="480" w:lineRule="exact"/>
        <w:ind w:right="-58" w:rightChars="-24" w:firstLine="480" w:firstLineChars="200"/>
        <w:rPr>
          <w:rFonts w:ascii="Times New Roman" w:hAnsi="Times New Roman"/>
        </w:rPr>
      </w:pPr>
      <w:r>
        <w:drawing>
          <wp:anchor distT="0" distB="0" distL="114300" distR="114300" simplePos="0" relativeHeight="251673600" behindDoc="1" locked="0" layoutInCell="1" allowOverlap="1">
            <wp:simplePos x="0" y="0"/>
            <wp:positionH relativeFrom="column">
              <wp:posOffset>1988185</wp:posOffset>
            </wp:positionH>
            <wp:positionV relativeFrom="paragraph">
              <wp:posOffset>62865</wp:posOffset>
            </wp:positionV>
            <wp:extent cx="164465" cy="228600"/>
            <wp:effectExtent l="0" t="0" r="0" b="0"/>
            <wp:wrapTight wrapText="bothSides">
              <wp:wrapPolygon>
                <wp:start x="2002" y="4320"/>
                <wp:lineTo x="2002" y="10080"/>
                <wp:lineTo x="4003" y="17280"/>
                <wp:lineTo x="8006" y="20160"/>
                <wp:lineTo x="18014" y="20160"/>
                <wp:lineTo x="12009" y="4320"/>
                <wp:lineTo x="2002" y="4320"/>
              </wp:wrapPolygon>
            </wp:wrapTight>
            <wp:docPr id="142" name="图片 1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181"/>
                    <pic:cNvPicPr>
                      <a:picLocks noChangeAspect="true"/>
                    </pic:cNvPicPr>
                  </pic:nvPicPr>
                  <pic:blipFill>
                    <a:blip r:embed="rId364"/>
                    <a:stretch>
                      <a:fillRect/>
                    </a:stretch>
                  </pic:blipFill>
                  <pic:spPr>
                    <a:xfrm>
                      <a:off x="0" y="0"/>
                      <a:ext cx="164465" cy="228600"/>
                    </a:xfrm>
                    <a:prstGeom prst="rect">
                      <a:avLst/>
                    </a:prstGeom>
                    <a:noFill/>
                    <a:ln>
                      <a:noFill/>
                    </a:ln>
                  </pic:spPr>
                </pic:pic>
              </a:graphicData>
            </a:graphic>
          </wp:anchor>
        </w:drawing>
      </w:r>
      <w:r>
        <w:rPr>
          <w:rFonts w:hint="eastAsia" w:ascii="Times New Roman" w:hAnsi="Times New Roman"/>
        </w:rPr>
        <w:t>桩间土的水平刚度系数可</w:t>
      </w:r>
      <w:r>
        <w:rPr>
          <w:rFonts w:hint="eastAsia" w:ascii="Times New Roman" w:hAnsi="Times New Roman"/>
          <w:color w:val="auto"/>
        </w:rPr>
        <w:t>按式</w:t>
      </w:r>
      <w:r>
        <w:rPr>
          <w:rFonts w:hint="eastAsia" w:ascii="Times New Roman" w:hAnsi="Times New Roman"/>
          <w:color w:val="auto"/>
          <w:lang w:eastAsia="zh-CN"/>
        </w:rPr>
        <w:t>（</w:t>
      </w:r>
      <w:r>
        <w:rPr>
          <w:rFonts w:hint="eastAsia" w:ascii="Times New Roman" w:hAnsi="Times New Roman"/>
          <w:color w:val="auto"/>
          <w:lang w:val="en-US" w:eastAsia="zh-CN"/>
        </w:rPr>
        <w:t>8.1.19-2</w:t>
      </w:r>
      <w:r>
        <w:rPr>
          <w:rFonts w:hint="eastAsia" w:ascii="Times New Roman" w:hAnsi="Times New Roman"/>
          <w:color w:val="auto"/>
          <w:lang w:eastAsia="zh-CN"/>
        </w:rPr>
        <w:t>）</w:t>
      </w:r>
      <w:r>
        <w:rPr>
          <w:rFonts w:hint="eastAsia" w:ascii="Times New Roman" w:hAnsi="Times New Roman"/>
          <w:color w:val="auto"/>
        </w:rPr>
        <w:t>计算：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5245"/>
                <w:tab w:val="left" w:pos="5812"/>
                <w:tab w:val="left" w:pos="6237"/>
              </w:tabs>
              <w:spacing w:line="360" w:lineRule="auto"/>
              <w:ind w:right="-58" w:rightChars="-24"/>
              <w:jc w:val="center"/>
              <w:rPr>
                <w:rFonts w:ascii="Times New Roman" w:hAnsi="Times New Roman"/>
              </w:rPr>
            </w:pPr>
            <w:r>
              <w:rPr>
                <w:rFonts w:hint="eastAsia"/>
              </w:rPr>
              <w:t xml:space="preserve">            </w:t>
            </w:r>
            <w:r>
              <w:drawing>
                <wp:inline distT="0" distB="0" distL="114300" distR="114300">
                  <wp:extent cx="710565" cy="443865"/>
                  <wp:effectExtent l="0" t="0" r="5715" b="13335"/>
                  <wp:docPr id="154" name="图片 1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182"/>
                          <pic:cNvPicPr>
                            <a:picLocks noChangeAspect="true"/>
                          </pic:cNvPicPr>
                        </pic:nvPicPr>
                        <pic:blipFill>
                          <a:blip r:embed="rId367"/>
                          <a:stretch>
                            <a:fillRect/>
                          </a:stretch>
                        </pic:blipFill>
                        <pic:spPr>
                          <a:xfrm>
                            <a:off x="0" y="0"/>
                            <a:ext cx="710565" cy="443865"/>
                          </a:xfrm>
                          <a:prstGeom prst="rect">
                            <a:avLst/>
                          </a:prstGeom>
                          <a:noFill/>
                          <a:ln>
                            <a:noFill/>
                          </a:ln>
                        </pic:spPr>
                      </pic:pic>
                    </a:graphicData>
                  </a:graphic>
                </wp:inline>
              </w:drawing>
            </w:r>
            <w:r>
              <w:rPr>
                <w:rFonts w:hint="eastAsia"/>
              </w:rPr>
              <w:t xml:space="preserve">               </w:t>
            </w:r>
          </w:p>
        </w:tc>
        <w:tc>
          <w:tcPr>
            <w:tcW w:w="4927" w:type="dxa"/>
          </w:tcPr>
          <w:p>
            <w:pPr>
              <w:widowControl w:val="0"/>
              <w:tabs>
                <w:tab w:val="left" w:pos="5245"/>
                <w:tab w:val="left" w:pos="5812"/>
                <w:tab w:val="left" w:pos="6237"/>
              </w:tabs>
              <w:spacing w:line="480" w:lineRule="exact"/>
              <w:ind w:right="-58" w:rightChars="-24"/>
              <w:jc w:val="right"/>
              <w:rPr>
                <w:rFonts w:ascii="Times New Roman" w:hAnsi="Times New Roman"/>
              </w:rPr>
            </w:pPr>
            <w:r>
              <w:rPr>
                <w:rFonts w:hint="eastAsia" w:ascii="Times New Roman" w:hAnsi="Times New Roman"/>
              </w:rPr>
              <w:t>(8.1.19-2)</w:t>
            </w:r>
          </w:p>
        </w:tc>
      </w:tr>
    </w:tbl>
    <w:p>
      <w:pPr>
        <w:widowControl w:val="0"/>
        <w:tabs>
          <w:tab w:val="left" w:pos="5245"/>
          <w:tab w:val="left" w:pos="5812"/>
          <w:tab w:val="left" w:pos="6237"/>
        </w:tabs>
        <w:spacing w:line="480" w:lineRule="exact"/>
        <w:ind w:left="1560" w:right="-58" w:rightChars="-24" w:hanging="1560" w:hangingChars="650"/>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6"/>
        </w:rPr>
        <w:drawing>
          <wp:inline distT="0" distB="0" distL="114300" distR="114300">
            <wp:extent cx="152400" cy="200025"/>
            <wp:effectExtent l="0" t="0" r="0" b="13970"/>
            <wp:docPr id="153" name="图片 1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83"/>
                    <pic:cNvPicPr>
                      <a:picLocks noChangeAspect="true"/>
                    </pic:cNvPicPr>
                  </pic:nvPicPr>
                  <pic:blipFill>
                    <a:blip r:embed="rId347">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计算深度处，前、后排桩间土体的压缩模量（</w:t>
      </w:r>
      <w:r>
        <w:rPr>
          <w:rFonts w:ascii="Times New Roman" w:hAnsi="Times New Roman"/>
        </w:rPr>
        <w:t>kPa</w:t>
      </w:r>
      <w:r>
        <w:rPr>
          <w:rFonts w:hint="eastAsia" w:ascii="Times New Roman" w:hAnsi="Times New Roman"/>
        </w:rPr>
        <w:t>）</w:t>
      </w:r>
      <w:r>
        <w:rPr>
          <w:rFonts w:ascii="Times New Roman" w:hAnsi="Times New Roman"/>
        </w:rPr>
        <w:t>；</w:t>
      </w:r>
      <w:r>
        <w:rPr>
          <w:rFonts w:hint="eastAsia" w:ascii="Times New Roman" w:hAnsi="Times New Roman"/>
        </w:rPr>
        <w:t>当为成层土时，应按计算点的深度分别取相应土层的压缩模量；</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ascii="Times New Roman" w:hAnsi="Times New Roman"/>
          <w:position w:val="-24"/>
        </w:rPr>
        <w:drawing>
          <wp:inline distT="0" distB="0" distL="114300" distR="114300">
            <wp:extent cx="142875" cy="400050"/>
            <wp:effectExtent l="0" t="0" r="9525" b="0"/>
            <wp:docPr id="169" name="图片 1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 name="图片 184"/>
                    <pic:cNvPicPr>
                      <a:picLocks noChangeAspect="true"/>
                    </pic:cNvPicPr>
                  </pic:nvPicPr>
                  <pic:blipFill>
                    <a:blip r:embed="rId368">
                      <a:clrChange>
                        <a:clrFrom>
                          <a:srgbClr val="FFFFFF"/>
                        </a:clrFrom>
                        <a:clrTo>
                          <a:srgbClr val="FFFFFF">
                            <a:alpha val="0"/>
                          </a:srgbClr>
                        </a:clrTo>
                      </a:clrChange>
                    </a:blip>
                    <a:stretch>
                      <a:fillRect/>
                    </a:stretch>
                  </pic:blipFill>
                  <pic:spPr>
                    <a:xfrm>
                      <a:off x="0" y="0"/>
                      <a:ext cx="142875" cy="40005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双排桩的排距</w:t>
      </w:r>
      <w:r>
        <w:rPr>
          <w:rFonts w:ascii="Times New Roman" w:hAnsi="Times New Roman"/>
        </w:rPr>
        <w:t>(m)</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d</w:t>
      </w:r>
      <w:r>
        <w:rPr>
          <w:rFonts w:ascii="Times New Roman" w:hAnsi="Times New Roman"/>
        </w:rPr>
        <w:t xml:space="preserve"> ——</w:t>
      </w:r>
      <w:r>
        <w:rPr>
          <w:rFonts w:hint="eastAsia" w:ascii="Times New Roman" w:hAnsi="Times New Roman"/>
        </w:rPr>
        <w:t>桩的直径</w:t>
      </w:r>
      <w:r>
        <w:rPr>
          <w:rFonts w:ascii="Times New Roman" w:hAnsi="Times New Roman"/>
        </w:rPr>
        <w:t>(m)</w:t>
      </w:r>
      <w:r>
        <w:rPr>
          <w:rFonts w:hint="eastAsia" w:ascii="Times New Roman" w:hAnsi="Times New Roman"/>
        </w:rPr>
        <w:t>。</w:t>
      </w:r>
    </w:p>
    <w:p>
      <w:pPr>
        <w:widowControl w:val="0"/>
        <w:tabs>
          <w:tab w:val="left" w:pos="5245"/>
          <w:tab w:val="left" w:pos="5812"/>
          <w:tab w:val="left" w:pos="6237"/>
        </w:tabs>
        <w:spacing w:line="480" w:lineRule="exact"/>
        <w:ind w:right="-58" w:rightChars="-24" w:firstLine="480" w:firstLineChars="200"/>
        <w:rPr>
          <w:rFonts w:ascii="Times New Roman" w:hAnsi="Times New Roman"/>
        </w:rPr>
      </w:pPr>
      <w:r>
        <w:rPr>
          <w:rFonts w:hint="eastAsia" w:ascii="Times New Roman" w:hAnsi="Times New Roman"/>
        </w:rPr>
        <w:t>前、后排桩间土体对桩侧的初始压力</w:t>
      </w:r>
      <w:r>
        <w:rPr>
          <w:position w:val="-12"/>
        </w:rPr>
        <w:drawing>
          <wp:inline distT="0" distB="0" distL="114300" distR="114300">
            <wp:extent cx="240665" cy="228600"/>
            <wp:effectExtent l="0" t="0" r="3175" b="0"/>
            <wp:docPr id="157" name="图片 1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185"/>
                    <pic:cNvPicPr>
                      <a:picLocks noChangeAspect="true"/>
                    </pic:cNvPicPr>
                  </pic:nvPicPr>
                  <pic:blipFill>
                    <a:blip r:embed="rId366"/>
                    <a:stretch>
                      <a:fillRect/>
                    </a:stretch>
                  </pic:blipFill>
                  <pic:spPr>
                    <a:xfrm>
                      <a:off x="0" y="0"/>
                      <a:ext cx="240665" cy="228600"/>
                    </a:xfrm>
                    <a:prstGeom prst="rect">
                      <a:avLst/>
                    </a:prstGeom>
                    <a:noFill/>
                    <a:ln>
                      <a:noFill/>
                    </a:ln>
                  </pic:spPr>
                </pic:pic>
              </a:graphicData>
            </a:graphic>
          </wp:inline>
        </w:drawing>
      </w:r>
      <w:r>
        <w:rPr>
          <w:rFonts w:hint="eastAsia" w:ascii="Times New Roman" w:hAnsi="Times New Roman"/>
        </w:rPr>
        <w:t>可按下式计算：</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5245"/>
                <w:tab w:val="left" w:pos="5812"/>
                <w:tab w:val="left" w:pos="6237"/>
              </w:tabs>
              <w:ind w:right="-58" w:rightChars="-24"/>
              <w:jc w:val="right"/>
              <w:rPr>
                <w:rFonts w:ascii="Times New Roman" w:hAnsi="Times New Roman"/>
              </w:rPr>
            </w:pPr>
            <w:r>
              <w:drawing>
                <wp:inline distT="0" distB="0" distL="114300" distR="114300">
                  <wp:extent cx="1143000" cy="240665"/>
                  <wp:effectExtent l="0" t="0" r="0" b="2540"/>
                  <wp:docPr id="165" name="图片 1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图片 186"/>
                          <pic:cNvPicPr>
                            <a:picLocks noChangeAspect="true"/>
                          </pic:cNvPicPr>
                        </pic:nvPicPr>
                        <pic:blipFill>
                          <a:blip r:embed="rId369"/>
                          <a:stretch>
                            <a:fillRect/>
                          </a:stretch>
                        </pic:blipFill>
                        <pic:spPr>
                          <a:xfrm>
                            <a:off x="0" y="0"/>
                            <a:ext cx="1143000" cy="240665"/>
                          </a:xfrm>
                          <a:prstGeom prst="rect">
                            <a:avLst/>
                          </a:prstGeom>
                          <a:noFill/>
                          <a:ln>
                            <a:noFill/>
                          </a:ln>
                        </pic:spPr>
                      </pic:pic>
                    </a:graphicData>
                  </a:graphic>
                </wp:inline>
              </w:drawing>
            </w:r>
          </w:p>
        </w:tc>
        <w:tc>
          <w:tcPr>
            <w:tcW w:w="4927" w:type="dxa"/>
          </w:tcPr>
          <w:p>
            <w:pPr>
              <w:widowControl w:val="0"/>
              <w:tabs>
                <w:tab w:val="left" w:pos="5245"/>
                <w:tab w:val="left" w:pos="5812"/>
                <w:tab w:val="left" w:pos="6237"/>
              </w:tabs>
              <w:ind w:right="-58" w:rightChars="-24"/>
              <w:jc w:val="right"/>
              <w:rPr>
                <w:rFonts w:ascii="Times New Roman" w:hAnsi="Times New Roman"/>
              </w:rPr>
            </w:pPr>
            <w:r>
              <w:rPr>
                <w:rFonts w:hint="eastAsia" w:ascii="Times New Roman" w:hAnsi="Times New Roman"/>
              </w:rPr>
              <w:t>(8.1.19-3)</w:t>
            </w:r>
          </w:p>
        </w:tc>
      </w:tr>
      <w:tr>
        <w:tblPrEx>
          <w:tblCellMar>
            <w:top w:w="0" w:type="dxa"/>
            <w:left w:w="108" w:type="dxa"/>
            <w:bottom w:w="0" w:type="dxa"/>
            <w:right w:w="108" w:type="dxa"/>
          </w:tblCellMar>
        </w:tblPrEx>
        <w:tc>
          <w:tcPr>
            <w:tcW w:w="4927" w:type="dxa"/>
          </w:tcPr>
          <w:p>
            <w:pPr>
              <w:widowControl w:val="0"/>
              <w:tabs>
                <w:tab w:val="left" w:pos="5245"/>
                <w:tab w:val="left" w:pos="5812"/>
                <w:tab w:val="left" w:pos="6237"/>
              </w:tabs>
              <w:ind w:right="-58" w:rightChars="-24"/>
              <w:jc w:val="right"/>
              <w:rPr>
                <w:rFonts w:ascii="Times New Roman" w:hAnsi="Times New Roman"/>
              </w:rPr>
            </w:pPr>
            <w:r>
              <w:rPr>
                <w:rFonts w:ascii="Times New Roman" w:hAnsi="Times New Roman"/>
              </w:rPr>
              <w:drawing>
                <wp:inline distT="0" distB="0" distL="114300" distR="114300">
                  <wp:extent cx="1514475" cy="400050"/>
                  <wp:effectExtent l="0" t="0" r="9525" b="11430"/>
                  <wp:docPr id="167" name="图片 1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 name="图片 187"/>
                          <pic:cNvPicPr>
                            <a:picLocks noChangeAspect="true"/>
                          </pic:cNvPicPr>
                        </pic:nvPicPr>
                        <pic:blipFill>
                          <a:blip r:embed="rId370">
                            <a:clrChange>
                              <a:clrFrom>
                                <a:srgbClr val="FFFFFF"/>
                              </a:clrFrom>
                              <a:clrTo>
                                <a:srgbClr val="FFFFFF">
                                  <a:alpha val="0"/>
                                </a:srgbClr>
                              </a:clrTo>
                            </a:clrChange>
                          </a:blip>
                          <a:stretch>
                            <a:fillRect/>
                          </a:stretch>
                        </pic:blipFill>
                        <pic:spPr>
                          <a:xfrm>
                            <a:off x="0" y="0"/>
                            <a:ext cx="1514475" cy="400050"/>
                          </a:xfrm>
                          <a:prstGeom prst="rect">
                            <a:avLst/>
                          </a:prstGeom>
                          <a:noFill/>
                          <a:ln>
                            <a:noFill/>
                          </a:ln>
                        </pic:spPr>
                      </pic:pic>
                    </a:graphicData>
                  </a:graphic>
                </wp:inline>
              </w:drawing>
            </w:r>
          </w:p>
        </w:tc>
        <w:tc>
          <w:tcPr>
            <w:tcW w:w="4927" w:type="dxa"/>
          </w:tcPr>
          <w:p>
            <w:pPr>
              <w:widowControl w:val="0"/>
              <w:tabs>
                <w:tab w:val="left" w:pos="5245"/>
                <w:tab w:val="left" w:pos="5812"/>
                <w:tab w:val="left" w:pos="6237"/>
              </w:tabs>
              <w:spacing w:line="480" w:lineRule="auto"/>
              <w:ind w:right="-58" w:rightChars="-24"/>
              <w:jc w:val="right"/>
              <w:rPr>
                <w:rFonts w:ascii="Times New Roman" w:hAnsi="Times New Roman"/>
              </w:rPr>
            </w:pPr>
            <w:r>
              <w:rPr>
                <w:rFonts w:hint="eastAsia" w:ascii="Times New Roman" w:hAnsi="Times New Roman"/>
              </w:rPr>
              <w:t>(8.1.19-4)</w:t>
            </w:r>
          </w:p>
        </w:tc>
      </w:tr>
    </w:tbl>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rPr>
        <w:t>式中：</w:t>
      </w:r>
      <w:r>
        <w:rPr>
          <w:rFonts w:ascii="Times New Roman" w:hAnsi="Times New Roman"/>
        </w:rPr>
        <w:t xml:space="preserve"> </w:t>
      </w:r>
      <w:r>
        <w:drawing>
          <wp:inline distT="0" distB="0" distL="114300" distR="114300">
            <wp:extent cx="240665" cy="228600"/>
            <wp:effectExtent l="0" t="0" r="3175" b="0"/>
            <wp:docPr id="170" name="图片 1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0" name="图片 188"/>
                    <pic:cNvPicPr>
                      <a:picLocks noChangeAspect="true"/>
                    </pic:cNvPicPr>
                  </pic:nvPicPr>
                  <pic:blipFill>
                    <a:blip r:embed="rId371"/>
                    <a:stretch>
                      <a:fillRect/>
                    </a:stretch>
                  </pic:blipFill>
                  <pic:spPr>
                    <a:xfrm>
                      <a:off x="0" y="0"/>
                      <a:ext cx="240665" cy="22860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支护结构外侧，第</w:t>
      </w:r>
      <w:r>
        <w:rPr>
          <w:rFonts w:hint="eastAsia" w:ascii="Times New Roman" w:hAnsi="Times New Roman"/>
          <w:position w:val="-6"/>
        </w:rPr>
        <w:drawing>
          <wp:inline distT="0" distB="0" distL="114300" distR="114300">
            <wp:extent cx="57150" cy="200025"/>
            <wp:effectExtent l="0" t="0" r="3810" b="0"/>
            <wp:docPr id="172" name="图片 1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 name="图片 189"/>
                    <pic:cNvPicPr>
                      <a:picLocks noChangeAspect="true"/>
                    </pic:cNvPicPr>
                  </pic:nvPicPr>
                  <pic:blipFill>
                    <a:blip r:embed="rId372">
                      <a:clrChange>
                        <a:clrFrom>
                          <a:srgbClr val="FFFFFF"/>
                        </a:clrFrom>
                        <a:clrTo>
                          <a:srgbClr val="FFFFFF">
                            <a:alpha val="0"/>
                          </a:srgbClr>
                        </a:clrTo>
                      </a:clrChange>
                    </a:blip>
                    <a:stretch>
                      <a:fillRect/>
                    </a:stretch>
                  </pic:blipFill>
                  <pic:spPr>
                    <a:xfrm>
                      <a:off x="0" y="0"/>
                      <a:ext cx="57150" cy="200025"/>
                    </a:xfrm>
                    <a:prstGeom prst="rect">
                      <a:avLst/>
                    </a:prstGeom>
                    <a:noFill/>
                    <a:ln>
                      <a:noFill/>
                    </a:ln>
                  </pic:spPr>
                </pic:pic>
              </a:graphicData>
            </a:graphic>
          </wp:inline>
        </w:drawing>
      </w:r>
      <w:r>
        <w:rPr>
          <w:rFonts w:hint="eastAsia" w:ascii="Times New Roman" w:hAnsi="Times New Roman"/>
        </w:rPr>
        <w:t>层土中计算点的主动土压力强度标准值</w:t>
      </w:r>
      <w:r>
        <w:rPr>
          <w:rFonts w:ascii="Times New Roman" w:hAnsi="Times New Roman"/>
        </w:rPr>
        <w:t>(kPa)</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position w:val="-8"/>
        </w:rPr>
        <w:drawing>
          <wp:inline distT="0" distB="0" distL="114300" distR="114300">
            <wp:extent cx="76200" cy="200025"/>
            <wp:effectExtent l="0" t="0" r="0" b="0"/>
            <wp:docPr id="166" name="图片 1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190"/>
                    <pic:cNvPicPr>
                      <a:picLocks noChangeAspect="true"/>
                    </pic:cNvPicPr>
                  </pic:nvPicPr>
                  <pic:blipFill>
                    <a:blip r:embed="rId373">
                      <a:clrChange>
                        <a:clrFrom>
                          <a:srgbClr val="FFFFFF"/>
                        </a:clrFrom>
                        <a:clrTo>
                          <a:srgbClr val="FFFFFF">
                            <a:alpha val="0"/>
                          </a:srgbClr>
                        </a:clrTo>
                      </a:clrChange>
                    </a:blip>
                    <a:stretch>
                      <a:fillRect/>
                    </a:stretch>
                  </pic:blipFill>
                  <pic:spPr>
                    <a:xfrm>
                      <a:off x="0" y="0"/>
                      <a:ext cx="762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基坑深度</w:t>
      </w:r>
      <w:r>
        <w:rPr>
          <w:rFonts w:ascii="Times New Roman" w:hAnsi="Times New Roman"/>
        </w:rPr>
        <w:t>(m)</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200025" cy="200025"/>
            <wp:effectExtent l="0" t="0" r="13335" b="13970"/>
            <wp:docPr id="155" name="图片 1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191"/>
                    <pic:cNvPicPr>
                      <a:picLocks noChangeAspect="true"/>
                    </pic:cNvPicPr>
                  </pic:nvPicPr>
                  <pic:blipFill>
                    <a:blip r:embed="rId374">
                      <a:clrChange>
                        <a:clrFrom>
                          <a:srgbClr val="FFFFFF"/>
                        </a:clrFrom>
                        <a:clrTo>
                          <a:srgbClr val="FFFFFF">
                            <a:alpha val="0"/>
                          </a:srgbClr>
                        </a:clrTo>
                      </a:clrChange>
                    </a:blip>
                    <a:stretch>
                      <a:fillRect/>
                    </a:stretch>
                  </pic:blipFill>
                  <pic:spPr>
                    <a:xfrm>
                      <a:off x="0" y="0"/>
                      <a:ext cx="20002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基坑底面以上各土层按土层厚度加权的等效内摩擦角</w:t>
      </w:r>
      <w:r>
        <w:rPr>
          <w:rFonts w:ascii="Times New Roman" w:hAnsi="Times New Roman"/>
        </w:rPr>
        <w:t>(</w:t>
      </w:r>
      <w:r>
        <w:rPr>
          <w:rFonts w:hint="eastAsia" w:ascii="Times New Roman" w:hAnsi="Times New Roman"/>
        </w:rPr>
        <w:t>°</w:t>
      </w:r>
      <w:r>
        <w:rPr>
          <w:rFonts w:ascii="Times New Roman" w:hAnsi="Times New Roman"/>
        </w:rPr>
        <w:t>)</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position w:val="-6"/>
        </w:rPr>
        <w:drawing>
          <wp:inline distT="0" distB="0" distL="114300" distR="114300">
            <wp:extent cx="95250" cy="200025"/>
            <wp:effectExtent l="0" t="0" r="11430" b="0"/>
            <wp:docPr id="164" name="图片 1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 name="图片 192"/>
                    <pic:cNvPicPr>
                      <a:picLocks noChangeAspect="true"/>
                    </pic:cNvPicPr>
                  </pic:nvPicPr>
                  <pic:blipFill>
                    <a:blip r:embed="rId375">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计算系数，当计算的</w:t>
      </w:r>
      <w:r>
        <w:rPr>
          <w:rFonts w:hint="eastAsia" w:ascii="Times New Roman" w:hAnsi="Times New Roman"/>
          <w:position w:val="-6"/>
        </w:rPr>
        <w:drawing>
          <wp:inline distT="0" distB="0" distL="114300" distR="114300">
            <wp:extent cx="95250" cy="200025"/>
            <wp:effectExtent l="0" t="0" r="11430" b="0"/>
            <wp:docPr id="168" name="图片 1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8" name="图片 193"/>
                    <pic:cNvPicPr>
                      <a:picLocks noChangeAspect="true"/>
                    </pic:cNvPicPr>
                  </pic:nvPicPr>
                  <pic:blipFill>
                    <a:blip r:embed="rId375">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hint="eastAsia" w:ascii="Times New Roman" w:hAnsi="Times New Roman"/>
        </w:rPr>
        <w:t>大于</w:t>
      </w:r>
      <w:r>
        <w:rPr>
          <w:rFonts w:ascii="Times New Roman" w:hAnsi="Times New Roman"/>
        </w:rPr>
        <w:t>1</w:t>
      </w:r>
      <w:r>
        <w:rPr>
          <w:rFonts w:hint="eastAsia" w:ascii="Times New Roman" w:hAnsi="Times New Roman"/>
        </w:rPr>
        <w:t>时，取</w:t>
      </w:r>
      <w:r>
        <w:rPr>
          <w:rFonts w:hint="eastAsia" w:ascii="Times New Roman" w:hAnsi="Times New Roman"/>
          <w:position w:val="-6"/>
        </w:rPr>
        <w:drawing>
          <wp:inline distT="0" distB="0" distL="114300" distR="114300">
            <wp:extent cx="95250" cy="200025"/>
            <wp:effectExtent l="0" t="0" r="11430" b="0"/>
            <wp:docPr id="162" name="图片 1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94"/>
                    <pic:cNvPicPr>
                      <a:picLocks noChangeAspect="true"/>
                    </pic:cNvPicPr>
                  </pic:nvPicPr>
                  <pic:blipFill>
                    <a:blip r:embed="rId375">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=1</w:t>
      </w:r>
      <w:r>
        <w:rPr>
          <w:rFonts w:hint="eastAsia" w:ascii="Times New Roman" w:hAnsi="Times New Roman"/>
        </w:rPr>
        <w:t>。</w:t>
      </w:r>
    </w:p>
    <w:tbl>
      <w:tblPr>
        <w:tblStyle w:val="32"/>
        <w:tblpPr w:leftFromText="180" w:rightFromText="180" w:vertAnchor="text" w:horzAnchor="margin" w:tblpY="1005"/>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Times New Roman" w:hAnsi="Times New Roman"/>
              </w:rPr>
            </w:pPr>
            <w:r>
              <w:rPr>
                <w:rFonts w:ascii="Times New Roman" w:hAnsi="Times New Roman"/>
              </w:rPr>
              <w:drawing>
                <wp:inline distT="0" distB="0" distL="114300" distR="114300">
                  <wp:extent cx="1257300" cy="400050"/>
                  <wp:effectExtent l="0" t="0" r="7620" b="11430"/>
                  <wp:docPr id="160" name="图片 1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95"/>
                          <pic:cNvPicPr>
                            <a:picLocks noChangeAspect="true"/>
                          </pic:cNvPicPr>
                        </pic:nvPicPr>
                        <pic:blipFill>
                          <a:blip r:embed="rId376">
                            <a:clrChange>
                              <a:clrFrom>
                                <a:srgbClr val="FFFFFF"/>
                              </a:clrFrom>
                              <a:clrTo>
                                <a:srgbClr val="FFFFFF">
                                  <a:alpha val="0"/>
                                </a:srgbClr>
                              </a:clrTo>
                            </a:clrChange>
                          </a:blip>
                          <a:stretch>
                            <a:fillRect/>
                          </a:stretch>
                        </pic:blipFill>
                        <pic:spPr>
                          <a:xfrm>
                            <a:off x="0" y="0"/>
                            <a:ext cx="1257300" cy="400050"/>
                          </a:xfrm>
                          <a:prstGeom prst="rect">
                            <a:avLst/>
                          </a:prstGeom>
                          <a:noFill/>
                          <a:ln>
                            <a:noFill/>
                          </a:ln>
                        </pic:spPr>
                      </pic:pic>
                    </a:graphicData>
                  </a:graphic>
                </wp:inline>
              </w:drawing>
            </w:r>
          </w:p>
        </w:tc>
        <w:tc>
          <w:tcPr>
            <w:tcW w:w="4927" w:type="dxa"/>
            <w:vAlign w:val="center"/>
          </w:tcPr>
          <w:p>
            <w:pPr>
              <w:widowControl w:val="0"/>
              <w:spacing w:line="480" w:lineRule="auto"/>
              <w:jc w:val="right"/>
              <w:rPr>
                <w:rFonts w:ascii="Times New Roman" w:hAnsi="Times New Roman"/>
              </w:rPr>
            </w:pPr>
            <w:r>
              <w:rPr>
                <w:rFonts w:hint="eastAsia" w:ascii="Times New Roman" w:hAnsi="Times New Roman"/>
              </w:rPr>
              <w:t>(8.1.20-1)</w:t>
            </w:r>
          </w:p>
        </w:tc>
      </w:tr>
    </w:tbl>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b/>
        </w:rPr>
        <w:t>8.1.20</w:t>
      </w:r>
      <w:r>
        <w:rPr>
          <w:rFonts w:ascii="Times New Roman" w:hAnsi="Times New Roman"/>
        </w:rPr>
        <w:t xml:space="preserve"> </w:t>
      </w:r>
      <w:r>
        <w:rPr>
          <w:rFonts w:hint="eastAsia" w:ascii="Times New Roman" w:hAnsi="Times New Roman"/>
        </w:rPr>
        <w:t>双排桩支挡结构的嵌固深度应满足抗倾覆稳定性要求，嵌固稳定安全系数应按下列公式计算</w:t>
      </w:r>
      <w:r>
        <w:rPr>
          <w:rFonts w:ascii="Times New Roman" w:hAnsi="Times New Roman"/>
        </w:rPr>
        <w:t>(</w:t>
      </w:r>
      <w:r>
        <w:rPr>
          <w:rFonts w:hint="eastAsia" w:ascii="Times New Roman" w:hAnsi="Times New Roman"/>
        </w:rPr>
        <w:t>图8.1.20</w:t>
      </w:r>
      <w:r>
        <w:rPr>
          <w:rFonts w:ascii="Times New Roman" w:hAnsi="Times New Roman"/>
        </w:rPr>
        <w:t>)</w:t>
      </w:r>
      <w:r>
        <w:rPr>
          <w:rFonts w:hint="eastAsia" w:ascii="Times New Roman" w:hAnsi="Times New Roman"/>
        </w:rPr>
        <w:t>：</w:t>
      </w:r>
    </w:p>
    <w:p>
      <w:pPr>
        <w:widowControl w:val="0"/>
        <w:tabs>
          <w:tab w:val="left" w:pos="5245"/>
          <w:tab w:val="left" w:pos="5812"/>
          <w:tab w:val="left" w:pos="6237"/>
        </w:tabs>
        <w:spacing w:line="480" w:lineRule="exact"/>
        <w:ind w:left="1680" w:right="-58" w:rightChars="-24" w:hanging="1680" w:hangingChars="700"/>
        <w:rPr>
          <w:rFonts w:hint="eastAsia" w:ascii="Times New Roman" w:hAnsi="Times New Roman" w:eastAsia="宋体"/>
          <w:lang w:eastAsia="zh-CN"/>
        </w:rPr>
      </w:pPr>
      <w:r>
        <w:rPr>
          <w:rFonts w:hint="eastAsia" w:ascii="Times New Roman" w:hAnsi="Times New Roman"/>
        </w:rPr>
        <w:t>式中：</w:t>
      </w:r>
      <w:r>
        <w:rPr>
          <w:rFonts w:ascii="Times New Roman" w:hAnsi="Times New Roman"/>
        </w:rPr>
        <w:t xml:space="preserve"> </w:t>
      </w:r>
      <w:r>
        <w:rPr>
          <w:rFonts w:ascii="Times New Roman" w:hAnsi="Times New Roman"/>
          <w:position w:val="-6"/>
        </w:rPr>
        <w:drawing>
          <wp:inline distT="0" distB="0" distL="114300" distR="114300">
            <wp:extent cx="257175" cy="200025"/>
            <wp:effectExtent l="0" t="0" r="1905" b="13970"/>
            <wp:docPr id="158" name="图片 1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 name="图片 196"/>
                    <pic:cNvPicPr>
                      <a:picLocks noChangeAspect="true"/>
                    </pic:cNvPicPr>
                  </pic:nvPicPr>
                  <pic:blipFill>
                    <a:blip r:embed="rId377">
                      <a:clrChange>
                        <a:clrFrom>
                          <a:srgbClr val="FFFFFF"/>
                        </a:clrFrom>
                        <a:clrTo>
                          <a:srgbClr val="FFFFFF">
                            <a:alpha val="0"/>
                          </a:srgbClr>
                        </a:clrTo>
                      </a:clrChange>
                    </a:blip>
                    <a:stretch>
                      <a:fillRect/>
                    </a:stretch>
                  </pic:blipFill>
                  <pic:spPr>
                    <a:xfrm>
                      <a:off x="0" y="0"/>
                      <a:ext cx="2571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嵌固稳定安全系数；基坑工程安全等级一、二、三级的支挡结构，</w:t>
      </w:r>
      <w:r>
        <w:rPr>
          <w:rFonts w:hint="eastAsia" w:ascii="Times New Roman" w:hAnsi="Times New Roman"/>
          <w:position w:val="-6"/>
        </w:rPr>
        <w:drawing>
          <wp:inline distT="0" distB="0" distL="114300" distR="114300">
            <wp:extent cx="257175" cy="200025"/>
            <wp:effectExtent l="0" t="0" r="1905" b="13970"/>
            <wp:docPr id="159" name="图片 1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图片 197"/>
                    <pic:cNvPicPr>
                      <a:picLocks noChangeAspect="true"/>
                    </pic:cNvPicPr>
                  </pic:nvPicPr>
                  <pic:blipFill>
                    <a:blip r:embed="rId377">
                      <a:clrChange>
                        <a:clrFrom>
                          <a:srgbClr val="FFFFFF"/>
                        </a:clrFrom>
                        <a:clrTo>
                          <a:srgbClr val="FFFFFF">
                            <a:alpha val="0"/>
                          </a:srgbClr>
                        </a:clrTo>
                      </a:clrChange>
                    </a:blip>
                    <a:stretch>
                      <a:fillRect/>
                    </a:stretch>
                  </pic:blipFill>
                  <pic:spPr>
                    <a:xfrm>
                      <a:off x="0" y="0"/>
                      <a:ext cx="257175" cy="200025"/>
                    </a:xfrm>
                    <a:prstGeom prst="rect">
                      <a:avLst/>
                    </a:prstGeom>
                    <a:noFill/>
                    <a:ln>
                      <a:noFill/>
                    </a:ln>
                  </pic:spPr>
                </pic:pic>
              </a:graphicData>
            </a:graphic>
          </wp:inline>
        </w:drawing>
      </w:r>
      <w:r>
        <w:rPr>
          <w:rFonts w:hint="eastAsia" w:ascii="Times New Roman" w:hAnsi="Times New Roman"/>
        </w:rPr>
        <w:t>分别不小于</w:t>
      </w:r>
      <w:r>
        <w:rPr>
          <w:rFonts w:ascii="Times New Roman" w:hAnsi="Times New Roman"/>
        </w:rPr>
        <w:t>1. 25</w:t>
      </w:r>
      <w:r>
        <w:rPr>
          <w:rFonts w:hint="eastAsia" w:ascii="Times New Roman" w:hAnsi="Times New Roman"/>
        </w:rPr>
        <w:t>，</w:t>
      </w:r>
      <w:r>
        <w:rPr>
          <w:rFonts w:ascii="Times New Roman" w:hAnsi="Times New Roman"/>
        </w:rPr>
        <w:t xml:space="preserve"> 1. 2</w:t>
      </w:r>
      <w:r>
        <w:rPr>
          <w:rFonts w:hint="eastAsia" w:ascii="Times New Roman" w:hAnsi="Times New Roman"/>
        </w:rPr>
        <w:t>和</w:t>
      </w:r>
      <w:r>
        <w:rPr>
          <w:rFonts w:ascii="Times New Roman" w:hAnsi="Times New Roman"/>
        </w:rPr>
        <w:t>1. 15</w:t>
      </w:r>
      <w:r>
        <w:rPr>
          <w:rFonts w:hint="eastAsia" w:ascii="Times New Roman" w:hAnsi="Times New Roman"/>
          <w:lang w:eastAsia="zh-CN"/>
        </w:rPr>
        <w:t>；</w:t>
      </w:r>
    </w:p>
    <w:p>
      <w:pPr>
        <w:widowControl w:val="0"/>
        <w:tabs>
          <w:tab w:val="left" w:pos="5245"/>
          <w:tab w:val="left" w:pos="5812"/>
          <w:tab w:val="left" w:pos="6237"/>
        </w:tabs>
        <w:spacing w:line="480" w:lineRule="exact"/>
        <w:ind w:left="1680" w:right="-58" w:rightChars="-24" w:hanging="1680" w:hangingChars="700"/>
        <w:rPr>
          <w:rFonts w:ascii="Times New Roman" w:hAnsi="Times New Roman"/>
        </w:rPr>
      </w:pPr>
      <w:r>
        <w:rPr>
          <w:rFonts w:ascii="Times New Roman" w:hAnsi="Times New Roman"/>
        </w:rPr>
        <w:t xml:space="preserve"> </w:t>
      </w:r>
      <w:r>
        <w:rPr>
          <w:rFonts w:ascii="Times New Roman" w:hAnsi="Times New Roman"/>
          <w:position w:val="-6"/>
        </w:rPr>
        <w:drawing>
          <wp:inline distT="0" distB="0" distL="114300" distR="114300">
            <wp:extent cx="219075" cy="200025"/>
            <wp:effectExtent l="0" t="0" r="9525" b="13970"/>
            <wp:docPr id="143" name="图片 1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98"/>
                    <pic:cNvPicPr>
                      <a:picLocks noChangeAspect="true"/>
                    </pic:cNvPicPr>
                  </pic:nvPicPr>
                  <pic:blipFill>
                    <a:blip r:embed="rId378">
                      <a:clrChange>
                        <a:clrFrom>
                          <a:srgbClr val="FFFFFF"/>
                        </a:clrFrom>
                        <a:clrTo>
                          <a:srgbClr val="FFFFFF">
                            <a:alpha val="0"/>
                          </a:srgbClr>
                        </a:clrTo>
                      </a:clrChange>
                    </a:blip>
                    <a:stretch>
                      <a:fillRect/>
                    </a:stretch>
                  </pic:blipFill>
                  <pic:spPr>
                    <a:xfrm>
                      <a:off x="0" y="0"/>
                      <a:ext cx="219075" cy="200025"/>
                    </a:xfrm>
                    <a:prstGeom prst="rect">
                      <a:avLst/>
                    </a:prstGeom>
                    <a:noFill/>
                    <a:ln>
                      <a:noFill/>
                    </a:ln>
                  </pic:spPr>
                </pic:pic>
              </a:graphicData>
            </a:graphic>
          </wp:inline>
        </w:drawing>
      </w:r>
      <w:r>
        <w:rPr>
          <w:rFonts w:hint="eastAsia" w:ascii="Times New Roman" w:hAnsi="Times New Roman"/>
        </w:rPr>
        <w:t xml:space="preserve"> 、</w:t>
      </w:r>
      <w:r>
        <w:rPr>
          <w:rFonts w:hint="eastAsia" w:ascii="Times New Roman" w:hAnsi="Times New Roman"/>
          <w:position w:val="-24"/>
        </w:rPr>
        <w:drawing>
          <wp:inline distT="0" distB="0" distL="114300" distR="114300">
            <wp:extent cx="228600" cy="400050"/>
            <wp:effectExtent l="0" t="0" r="0" b="0"/>
            <wp:docPr id="173" name="图片 1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 name="图片 199"/>
                    <pic:cNvPicPr>
                      <a:picLocks noChangeAspect="true"/>
                    </pic:cNvPicPr>
                  </pic:nvPicPr>
                  <pic:blipFill>
                    <a:blip r:embed="rId379">
                      <a:clrChange>
                        <a:clrFrom>
                          <a:srgbClr val="FFFFFF"/>
                        </a:clrFrom>
                        <a:clrTo>
                          <a:srgbClr val="FFFFFF">
                            <a:alpha val="0"/>
                          </a:srgbClr>
                        </a:clrTo>
                      </a:clrChange>
                    </a:blip>
                    <a:stretch>
                      <a:fillRect/>
                    </a:stretch>
                  </pic:blipFill>
                  <pic:spPr>
                    <a:xfrm>
                      <a:off x="0" y="0"/>
                      <a:ext cx="228600" cy="40005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基坑外侧主动土压力、基坑内侧被动土压力的标准值（</w:t>
      </w:r>
      <w:r>
        <w:rPr>
          <w:rFonts w:ascii="Times New Roman" w:hAnsi="Times New Roman"/>
        </w:rPr>
        <w:t>kPa</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133350" cy="200025"/>
            <wp:effectExtent l="0" t="0" r="3810" b="13970"/>
            <wp:docPr id="145" name="图片 2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200"/>
                    <pic:cNvPicPr>
                      <a:picLocks noChangeAspect="true"/>
                    </pic:cNvPicPr>
                  </pic:nvPicPr>
                  <pic:blipFill>
                    <a:blip r:embed="rId380">
                      <a:clrChange>
                        <a:clrFrom>
                          <a:srgbClr val="FFFFFF"/>
                        </a:clrFrom>
                        <a:clrTo>
                          <a:srgbClr val="FFFFFF">
                            <a:alpha val="0"/>
                          </a:srgbClr>
                        </a:clrTo>
                      </a:clrChange>
                    </a:blip>
                    <a:stretch>
                      <a:fillRect/>
                    </a:stretch>
                  </pic:blipFill>
                  <pic:spPr>
                    <a:xfrm>
                      <a:off x="0" y="0"/>
                      <a:ext cx="133350" cy="200025"/>
                    </a:xfrm>
                    <a:prstGeom prst="rect">
                      <a:avLst/>
                    </a:prstGeom>
                    <a:noFill/>
                    <a:ln>
                      <a:noFill/>
                    </a:ln>
                  </pic:spPr>
                </pic:pic>
              </a:graphicData>
            </a:graphic>
          </wp:inline>
        </w:drawing>
      </w:r>
      <w:r>
        <w:rPr>
          <w:rFonts w:hint="eastAsia" w:ascii="Times New Roman" w:hAnsi="Times New Roman"/>
        </w:rPr>
        <w:t>、</w:t>
      </w:r>
      <w:r>
        <w:rPr>
          <w:rFonts w:hint="eastAsia" w:ascii="Times New Roman" w:hAnsi="Times New Roman"/>
          <w:position w:val="-24"/>
        </w:rPr>
        <w:drawing>
          <wp:inline distT="0" distB="0" distL="114300" distR="114300">
            <wp:extent cx="142875" cy="400050"/>
            <wp:effectExtent l="0" t="0" r="9525" b="0"/>
            <wp:docPr id="144" name="图片 2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201"/>
                    <pic:cNvPicPr>
                      <a:picLocks noChangeAspect="true"/>
                    </pic:cNvPicPr>
                  </pic:nvPicPr>
                  <pic:blipFill>
                    <a:blip r:embed="rId381">
                      <a:clrChange>
                        <a:clrFrom>
                          <a:srgbClr val="FFFFFF"/>
                        </a:clrFrom>
                        <a:clrTo>
                          <a:srgbClr val="FFFFFF">
                            <a:alpha val="0"/>
                          </a:srgbClr>
                        </a:clrTo>
                      </a:clrChange>
                    </a:blip>
                    <a:stretch>
                      <a:fillRect/>
                    </a:stretch>
                  </pic:blipFill>
                  <pic:spPr>
                    <a:xfrm>
                      <a:off x="0" y="0"/>
                      <a:ext cx="142875" cy="40005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基坑外侧主动土压力、基坑内侧被动土压力至前排桩底端的距离（m）；</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position w:val="-6"/>
        </w:rPr>
        <w:drawing>
          <wp:inline distT="0" distB="0" distL="114300" distR="114300">
            <wp:extent cx="104775" cy="200025"/>
            <wp:effectExtent l="0" t="0" r="1905" b="0"/>
            <wp:docPr id="161" name="图片 2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202"/>
                    <pic:cNvPicPr>
                      <a:picLocks noChangeAspect="true"/>
                    </pic:cNvPicPr>
                  </pic:nvPicPr>
                  <pic:blipFill>
                    <a:blip r:embed="rId382">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双排桩、桩顶连梁和桩间土的重力之和（kN）；</w:t>
      </w:r>
    </w:p>
    <w:p>
      <w:pPr>
        <w:widowControl w:val="0"/>
        <w:tabs>
          <w:tab w:val="left" w:pos="5245"/>
          <w:tab w:val="left" w:pos="5812"/>
          <w:tab w:val="left" w:pos="6237"/>
        </w:tabs>
        <w:spacing w:line="480" w:lineRule="exact"/>
        <w:ind w:right="-58" w:rightChars="-24" w:firstLine="960" w:firstLineChars="400"/>
        <w:rPr>
          <w:rFonts w:ascii="Times New Roman" w:hAnsi="Times New Roman"/>
        </w:rPr>
      </w:pPr>
      <w:r>
        <w:rPr>
          <w:rFonts w:ascii="Times New Roman" w:hAnsi="Times New Roman"/>
          <w:position w:val="-6"/>
        </w:rPr>
        <w:drawing>
          <wp:inline distT="0" distB="0" distL="114300" distR="114300">
            <wp:extent cx="152400" cy="200025"/>
            <wp:effectExtent l="0" t="0" r="0" b="13970"/>
            <wp:docPr id="148" name="图片 2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203"/>
                    <pic:cNvPicPr>
                      <a:picLocks noChangeAspect="true"/>
                    </pic:cNvPicPr>
                  </pic:nvPicPr>
                  <pic:blipFill>
                    <a:blip r:embed="rId383">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双排桩、桩顶连梁和桩间土的重心至前排桩边缘的水平距离（m）。</w:t>
      </w:r>
    </w:p>
    <w:p>
      <w:pPr>
        <w:widowControl w:val="0"/>
        <w:tabs>
          <w:tab w:val="left" w:pos="5245"/>
          <w:tab w:val="left" w:pos="5812"/>
          <w:tab w:val="left" w:pos="6237"/>
        </w:tabs>
        <w:ind w:right="-58" w:rightChars="-24"/>
        <w:jc w:val="center"/>
        <w:rPr>
          <w:rFonts w:ascii="Times New Roman" w:hAnsi="Times New Roman"/>
        </w:rPr>
      </w:pPr>
      <w:r>
        <w:rPr>
          <w:rFonts w:ascii="Times New Roman" w:hAnsi="Times New Roman"/>
        </w:rPr>
        <w:drawing>
          <wp:inline distT="0" distB="0" distL="114300" distR="114300">
            <wp:extent cx="3562350" cy="2781300"/>
            <wp:effectExtent l="0" t="0" r="3810" b="7620"/>
            <wp:docPr id="146" name="图片 2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204"/>
                    <pic:cNvPicPr>
                      <a:picLocks noChangeAspect="true"/>
                    </pic:cNvPicPr>
                  </pic:nvPicPr>
                  <pic:blipFill>
                    <a:blip r:embed="rId384"/>
                    <a:stretch>
                      <a:fillRect/>
                    </a:stretch>
                  </pic:blipFill>
                  <pic:spPr>
                    <a:xfrm>
                      <a:off x="0" y="0"/>
                      <a:ext cx="3562350" cy="2781300"/>
                    </a:xfrm>
                    <a:prstGeom prst="rect">
                      <a:avLst/>
                    </a:prstGeom>
                    <a:noFill/>
                    <a:ln>
                      <a:noFill/>
                    </a:ln>
                  </pic:spPr>
                </pic:pic>
              </a:graphicData>
            </a:graphic>
          </wp:inline>
        </w:drawing>
      </w:r>
    </w:p>
    <w:p>
      <w:pPr>
        <w:widowControl w:val="0"/>
        <w:tabs>
          <w:tab w:val="left" w:pos="5245"/>
          <w:tab w:val="left" w:pos="5812"/>
          <w:tab w:val="left" w:pos="6237"/>
        </w:tabs>
        <w:ind w:right="-58" w:rightChars="-24"/>
        <w:jc w:val="center"/>
        <w:rPr>
          <w:rFonts w:ascii="Times New Roman" w:hAnsi="Times New Roman"/>
          <w:sz w:val="21"/>
          <w:szCs w:val="21"/>
        </w:rPr>
      </w:pPr>
      <w:r>
        <w:rPr>
          <w:rFonts w:hint="eastAsia" w:ascii="Times New Roman" w:hAnsi="Times New Roman"/>
          <w:sz w:val="21"/>
          <w:szCs w:val="21"/>
        </w:rPr>
        <w:t>图8.1.20</w:t>
      </w:r>
      <w:r>
        <w:rPr>
          <w:rFonts w:ascii="Times New Roman" w:hAnsi="Times New Roman"/>
          <w:sz w:val="21"/>
          <w:szCs w:val="21"/>
        </w:rPr>
        <w:t xml:space="preserve"> </w:t>
      </w:r>
      <w:r>
        <w:rPr>
          <w:rFonts w:hint="eastAsia" w:ascii="Times New Roman" w:hAnsi="Times New Roman"/>
          <w:sz w:val="21"/>
          <w:szCs w:val="21"/>
        </w:rPr>
        <w:t>双排桩抗倾覆稳定性验算</w:t>
      </w:r>
    </w:p>
    <w:p>
      <w:pPr>
        <w:widowControl w:val="0"/>
        <w:tabs>
          <w:tab w:val="left" w:pos="5245"/>
          <w:tab w:val="left" w:pos="5812"/>
          <w:tab w:val="left" w:pos="6237"/>
        </w:tabs>
        <w:ind w:right="-58" w:rightChars="-24"/>
        <w:jc w:val="center"/>
        <w:rPr>
          <w:rFonts w:ascii="Times New Roman" w:hAnsi="Times New Roman"/>
          <w:sz w:val="21"/>
          <w:szCs w:val="21"/>
        </w:rPr>
      </w:pPr>
      <w:r>
        <w:rPr>
          <w:rFonts w:hint="eastAsia" w:ascii="Times New Roman" w:hAnsi="Times New Roman"/>
          <w:sz w:val="21"/>
          <w:szCs w:val="21"/>
        </w:rPr>
        <w:t>1—前排桩；</w:t>
      </w:r>
      <w:r>
        <w:rPr>
          <w:rFonts w:ascii="Times New Roman" w:hAnsi="Times New Roman"/>
          <w:sz w:val="21"/>
          <w:szCs w:val="21"/>
        </w:rPr>
        <w:t>2—</w:t>
      </w:r>
      <w:r>
        <w:rPr>
          <w:rFonts w:hint="eastAsia" w:ascii="Times New Roman" w:hAnsi="Times New Roman"/>
          <w:sz w:val="21"/>
          <w:szCs w:val="21"/>
        </w:rPr>
        <w:t>后排桩；</w:t>
      </w:r>
      <w:r>
        <w:rPr>
          <w:rFonts w:ascii="Times New Roman" w:hAnsi="Times New Roman"/>
          <w:sz w:val="21"/>
          <w:szCs w:val="21"/>
        </w:rPr>
        <w:t>3—</w:t>
      </w:r>
      <w:r>
        <w:rPr>
          <w:rFonts w:hint="eastAsia" w:ascii="Times New Roman" w:hAnsi="Times New Roman"/>
          <w:sz w:val="21"/>
          <w:szCs w:val="21"/>
        </w:rPr>
        <w:t>连梁</w:t>
      </w:r>
    </w:p>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b/>
        </w:rPr>
        <w:t>8.1.21</w:t>
      </w:r>
      <w:r>
        <w:rPr>
          <w:rFonts w:hint="eastAsia" w:ascii="Times New Roman" w:hAnsi="Times New Roman"/>
        </w:rPr>
        <w:t xml:space="preserve"> </w:t>
      </w:r>
      <w:r>
        <w:rPr>
          <w:rFonts w:hint="eastAsia" w:ascii="Times New Roman" w:hAnsi="Times New Roman"/>
          <w:color w:val="auto"/>
        </w:rPr>
        <w:t>钢筋混凝土排桩的</w:t>
      </w:r>
      <w:r>
        <w:rPr>
          <w:rFonts w:hint="eastAsia" w:ascii="Times New Roman" w:hAnsi="Times New Roman"/>
        </w:rPr>
        <w:t>正截面受弯承载力计算应符合下列规定</w:t>
      </w:r>
      <w:r>
        <w:rPr>
          <w:rFonts w:ascii="Times New Roman" w:hAnsi="Times New Roman"/>
        </w:rPr>
        <w:t>：</w:t>
      </w:r>
    </w:p>
    <w:p>
      <w:pPr>
        <w:widowControl w:val="0"/>
        <w:tabs>
          <w:tab w:val="left" w:pos="5245"/>
          <w:tab w:val="left" w:pos="5812"/>
          <w:tab w:val="left" w:pos="6237"/>
        </w:tabs>
        <w:spacing w:line="480" w:lineRule="exact"/>
        <w:ind w:right="-58" w:rightChars="-24" w:firstLine="480" w:firstLineChars="200"/>
        <w:rPr>
          <w:rFonts w:ascii="Times New Roman" w:hAnsi="Times New Roman"/>
        </w:rPr>
      </w:pPr>
      <w:r>
        <w:rPr>
          <w:rFonts w:ascii="Times New Roman" w:hAnsi="Times New Roman"/>
        </w:rPr>
        <w:t>1</w:t>
      </w:r>
      <w:r>
        <w:rPr>
          <w:rFonts w:hint="eastAsia" w:ascii="Times New Roman" w:hAnsi="Times New Roman"/>
        </w:rPr>
        <w:t xml:space="preserve"> 沿周边均匀配置纵向钢筋的圆形截面的支护桩，应按现行国家标准《混凝土结构设计规范》</w:t>
      </w:r>
      <w:r>
        <w:rPr>
          <w:rFonts w:ascii="Times New Roman" w:hAnsi="Times New Roman"/>
        </w:rPr>
        <w:t>GB 50010</w:t>
      </w:r>
      <w:r>
        <w:rPr>
          <w:rFonts w:hint="eastAsia" w:ascii="Times New Roman" w:hAnsi="Times New Roman"/>
        </w:rPr>
        <w:t>的有关规定进行正截面受弯承载力计算。</w:t>
      </w:r>
    </w:p>
    <w:p>
      <w:pPr>
        <w:widowControl w:val="0"/>
        <w:tabs>
          <w:tab w:val="left" w:pos="5245"/>
          <w:tab w:val="left" w:pos="5812"/>
          <w:tab w:val="left" w:pos="6237"/>
        </w:tabs>
        <w:spacing w:line="480" w:lineRule="exact"/>
        <w:ind w:right="-58" w:rightChars="-24" w:firstLine="480" w:firstLineChars="200"/>
        <w:rPr>
          <w:rFonts w:ascii="Times New Roman" w:hAnsi="Times New Roman"/>
        </w:rPr>
      </w:pPr>
      <w:r>
        <w:rPr>
          <w:rFonts w:ascii="Times New Roman" w:hAnsi="Times New Roman"/>
        </w:rPr>
        <w:t>2</w:t>
      </w:r>
      <w:r>
        <w:rPr>
          <w:rFonts w:hint="eastAsia" w:ascii="Times New Roman" w:hAnsi="Times New Roman"/>
        </w:rPr>
        <w:t xml:space="preserve"> 沿受拉区和受压区周边局部均匀配置纵向钢筋的圆形截面的支护桩，其正截面受弯承载力应符合按图8.1.21和式(8.1.21-1) ～ (8.1.21-2)计算：</w:t>
      </w:r>
    </w:p>
    <w:p>
      <w:pPr>
        <w:widowControl w:val="0"/>
        <w:tabs>
          <w:tab w:val="left" w:pos="5245"/>
          <w:tab w:val="left" w:pos="5812"/>
          <w:tab w:val="left" w:pos="6237"/>
        </w:tabs>
        <w:ind w:right="-58" w:rightChars="-24"/>
        <w:jc w:val="center"/>
        <w:rPr>
          <w:rFonts w:ascii="Times New Roman" w:hAnsi="Times New Roman"/>
        </w:rPr>
      </w:pPr>
      <w:r>
        <w:rPr>
          <w:rFonts w:ascii="Times New Roman" w:hAnsi="Times New Roman"/>
        </w:rPr>
        <w:drawing>
          <wp:inline distT="0" distB="0" distL="114300" distR="114300">
            <wp:extent cx="2085975" cy="2124075"/>
            <wp:effectExtent l="0" t="0" r="1905" b="9525"/>
            <wp:docPr id="163" name="图片 2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图片 205"/>
                    <pic:cNvPicPr>
                      <a:picLocks noChangeAspect="true"/>
                    </pic:cNvPicPr>
                  </pic:nvPicPr>
                  <pic:blipFill>
                    <a:blip r:embed="rId385"/>
                    <a:srcRect t="3020" b="1666"/>
                    <a:stretch>
                      <a:fillRect/>
                    </a:stretch>
                  </pic:blipFill>
                  <pic:spPr>
                    <a:xfrm>
                      <a:off x="0" y="0"/>
                      <a:ext cx="2085975" cy="2124075"/>
                    </a:xfrm>
                    <a:prstGeom prst="rect">
                      <a:avLst/>
                    </a:prstGeom>
                    <a:noFill/>
                    <a:ln>
                      <a:noFill/>
                    </a:ln>
                  </pic:spPr>
                </pic:pic>
              </a:graphicData>
            </a:graphic>
          </wp:inline>
        </w:drawing>
      </w:r>
    </w:p>
    <w:p>
      <w:pPr>
        <w:pStyle w:val="44"/>
        <w:widowControl w:val="0"/>
        <w:tabs>
          <w:tab w:val="left" w:pos="5245"/>
          <w:tab w:val="left" w:pos="5812"/>
          <w:tab w:val="left" w:pos="6237"/>
        </w:tabs>
        <w:ind w:left="410" w:leftChars="171" w:right="-58" w:rightChars="-24" w:firstLine="1470" w:firstLineChars="700"/>
        <w:rPr>
          <w:rFonts w:ascii="Times New Roman" w:hAnsi="Times New Roman"/>
          <w:sz w:val="21"/>
          <w:szCs w:val="21"/>
        </w:rPr>
      </w:pPr>
      <w:r>
        <w:rPr>
          <w:rFonts w:hint="eastAsia" w:ascii="Times New Roman" w:hAnsi="Times New Roman"/>
          <w:sz w:val="21"/>
          <w:szCs w:val="21"/>
        </w:rPr>
        <w:t>图8.1.21</w:t>
      </w:r>
      <w:r>
        <w:rPr>
          <w:rFonts w:ascii="Times New Roman" w:hAnsi="Times New Roman"/>
          <w:sz w:val="21"/>
          <w:szCs w:val="21"/>
        </w:rPr>
        <w:t xml:space="preserve">  </w:t>
      </w:r>
      <w:r>
        <w:rPr>
          <w:rFonts w:hint="eastAsia" w:ascii="Times New Roman" w:hAnsi="Times New Roman"/>
          <w:sz w:val="21"/>
          <w:szCs w:val="21"/>
        </w:rPr>
        <w:t>沿受拉区和受压区周边局部均匀配置纵向钢筋的圆形截面</w:t>
      </w:r>
    </w:p>
    <w:p>
      <w:pPr>
        <w:bidi w:val="0"/>
        <w:jc w:val="center"/>
      </w:pPr>
      <w:bookmarkStart w:id="477" w:name="_Toc11810"/>
      <w:bookmarkStart w:id="478" w:name="_Toc27451"/>
      <w:r>
        <w:t>1</w:t>
      </w:r>
      <w:r>
        <w:rPr>
          <w:rFonts w:hint="eastAsia"/>
        </w:rPr>
        <w:t>一构造钢筋；</w:t>
      </w:r>
      <w:r>
        <w:t>2—</w:t>
      </w:r>
      <w:r>
        <w:rPr>
          <w:rFonts w:hint="eastAsia"/>
        </w:rPr>
        <w:t>混凝土受压区</w:t>
      </w:r>
      <w:bookmarkEnd w:id="477"/>
      <w:bookmarkEnd w:id="478"/>
    </w:p>
    <w:tbl>
      <w:tblPr>
        <w:tblStyle w:val="32"/>
        <w:tblW w:w="0" w:type="auto"/>
        <w:tblInd w:w="360" w:type="dxa"/>
        <w:tblLayout w:type="fixed"/>
        <w:tblCellMar>
          <w:top w:w="0" w:type="dxa"/>
          <w:left w:w="108" w:type="dxa"/>
          <w:bottom w:w="0" w:type="dxa"/>
          <w:right w:w="108" w:type="dxa"/>
        </w:tblCellMar>
      </w:tblPr>
      <w:tblGrid>
        <w:gridCol w:w="5985"/>
        <w:gridCol w:w="3509"/>
      </w:tblGrid>
      <w:tr>
        <w:tblPrEx>
          <w:tblCellMar>
            <w:top w:w="0" w:type="dxa"/>
            <w:left w:w="108" w:type="dxa"/>
            <w:bottom w:w="0" w:type="dxa"/>
            <w:right w:w="108" w:type="dxa"/>
          </w:tblCellMar>
        </w:tblPrEx>
        <w:tc>
          <w:tcPr>
            <w:tcW w:w="5985" w:type="dxa"/>
            <w:vAlign w:val="center"/>
          </w:tcPr>
          <w:p>
            <w:pPr>
              <w:pStyle w:val="45"/>
              <w:ind w:firstLine="0" w:firstLineChars="0"/>
              <w:jc w:val="right"/>
              <w:rPr>
                <w:rFonts w:ascii="Times New Roman" w:hAnsi="Times New Roman"/>
                <w:szCs w:val="24"/>
              </w:rPr>
            </w:pPr>
            <w:r>
              <w:rPr>
                <w:rFonts w:ascii="Times New Roman" w:hAnsi="Times New Roman"/>
              </w:rPr>
              <w:drawing>
                <wp:inline distT="0" distB="0" distL="114300" distR="114300">
                  <wp:extent cx="3457575" cy="590550"/>
                  <wp:effectExtent l="0" t="0" r="1905" b="0"/>
                  <wp:docPr id="171" name="图片 2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 name="图片 206"/>
                          <pic:cNvPicPr>
                            <a:picLocks noChangeAspect="true"/>
                          </pic:cNvPicPr>
                        </pic:nvPicPr>
                        <pic:blipFill>
                          <a:blip r:embed="rId386">
                            <a:clrChange>
                              <a:clrFrom>
                                <a:srgbClr val="FFFFFF"/>
                              </a:clrFrom>
                              <a:clrTo>
                                <a:srgbClr val="FFFFFF">
                                  <a:alpha val="0"/>
                                </a:srgbClr>
                              </a:clrTo>
                            </a:clrChange>
                          </a:blip>
                          <a:stretch>
                            <a:fillRect/>
                          </a:stretch>
                        </pic:blipFill>
                        <pic:spPr>
                          <a:xfrm>
                            <a:off x="0" y="0"/>
                            <a:ext cx="3457575" cy="590550"/>
                          </a:xfrm>
                          <a:prstGeom prst="rect">
                            <a:avLst/>
                          </a:prstGeom>
                          <a:noFill/>
                          <a:ln>
                            <a:noFill/>
                          </a:ln>
                        </pic:spPr>
                      </pic:pic>
                    </a:graphicData>
                  </a:graphic>
                </wp:inline>
              </w:drawing>
            </w:r>
          </w:p>
        </w:tc>
        <w:tc>
          <w:tcPr>
            <w:tcW w:w="3509" w:type="dxa"/>
            <w:vAlign w:val="center"/>
          </w:tcPr>
          <w:p>
            <w:pPr>
              <w:pStyle w:val="45"/>
              <w:spacing w:line="480" w:lineRule="auto"/>
              <w:ind w:firstLine="0" w:firstLineChars="0"/>
              <w:jc w:val="right"/>
              <w:rPr>
                <w:rFonts w:ascii="Times New Roman" w:hAnsi="Times New Roman"/>
                <w:szCs w:val="24"/>
              </w:rPr>
            </w:pPr>
            <w:r>
              <w:rPr>
                <w:rFonts w:hint="eastAsia" w:ascii="Times New Roman" w:hAnsi="Times New Roman"/>
                <w:szCs w:val="24"/>
              </w:rPr>
              <w:t>(8.1.21-1)</w:t>
            </w:r>
          </w:p>
        </w:tc>
      </w:tr>
      <w:tr>
        <w:tblPrEx>
          <w:tblCellMar>
            <w:top w:w="0" w:type="dxa"/>
            <w:left w:w="108" w:type="dxa"/>
            <w:bottom w:w="0" w:type="dxa"/>
            <w:right w:w="108" w:type="dxa"/>
          </w:tblCellMar>
        </w:tblPrEx>
        <w:trPr>
          <w:trHeight w:val="724" w:hRule="atLeast"/>
        </w:trPr>
        <w:tc>
          <w:tcPr>
            <w:tcW w:w="5985" w:type="dxa"/>
            <w:vAlign w:val="center"/>
          </w:tcPr>
          <w:p>
            <w:pPr>
              <w:pStyle w:val="45"/>
              <w:ind w:firstLine="0" w:firstLineChars="0"/>
              <w:jc w:val="right"/>
              <w:rPr>
                <w:rFonts w:ascii="Times New Roman" w:hAnsi="Times New Roman"/>
                <w:szCs w:val="24"/>
              </w:rPr>
            </w:pPr>
            <w:r>
              <w:rPr>
                <w:rFonts w:hint="eastAsia" w:ascii="Times New Roman" w:hAnsi="Times New Roman"/>
                <w:position w:val="-23"/>
              </w:rPr>
              <w:drawing>
                <wp:inline distT="0" distB="0" distL="114300" distR="114300">
                  <wp:extent cx="2447925" cy="400050"/>
                  <wp:effectExtent l="0" t="0" r="5715" b="0"/>
                  <wp:docPr id="150" name="图片 2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207"/>
                          <pic:cNvPicPr>
                            <a:picLocks noChangeAspect="true"/>
                          </pic:cNvPicPr>
                        </pic:nvPicPr>
                        <pic:blipFill>
                          <a:blip r:embed="rId387">
                            <a:clrChange>
                              <a:clrFrom>
                                <a:srgbClr val="FFFFFF"/>
                              </a:clrFrom>
                              <a:clrTo>
                                <a:srgbClr val="FFFFFF">
                                  <a:alpha val="0"/>
                                </a:srgbClr>
                              </a:clrTo>
                            </a:clrChange>
                          </a:blip>
                          <a:stretch>
                            <a:fillRect/>
                          </a:stretch>
                        </pic:blipFill>
                        <pic:spPr>
                          <a:xfrm>
                            <a:off x="0" y="0"/>
                            <a:ext cx="2447925" cy="400050"/>
                          </a:xfrm>
                          <a:prstGeom prst="rect">
                            <a:avLst/>
                          </a:prstGeom>
                          <a:noFill/>
                          <a:ln>
                            <a:noFill/>
                          </a:ln>
                        </pic:spPr>
                      </pic:pic>
                    </a:graphicData>
                  </a:graphic>
                </wp:inline>
              </w:drawing>
            </w:r>
          </w:p>
        </w:tc>
        <w:tc>
          <w:tcPr>
            <w:tcW w:w="3509" w:type="dxa"/>
            <w:vAlign w:val="center"/>
          </w:tcPr>
          <w:p>
            <w:pPr>
              <w:pStyle w:val="45"/>
              <w:spacing w:line="480" w:lineRule="auto"/>
              <w:ind w:firstLine="0" w:firstLineChars="0"/>
              <w:jc w:val="right"/>
              <w:rPr>
                <w:rFonts w:ascii="Times New Roman" w:hAnsi="Times New Roman"/>
                <w:szCs w:val="24"/>
              </w:rPr>
            </w:pPr>
            <w:r>
              <w:rPr>
                <w:rFonts w:hint="eastAsia" w:ascii="Times New Roman" w:hAnsi="Times New Roman"/>
                <w:szCs w:val="24"/>
              </w:rPr>
              <w:t>(8.1.21-2)</w:t>
            </w:r>
          </w:p>
        </w:tc>
      </w:tr>
    </w:tbl>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rPr>
        <w:t>混凝土受压区圆心半角的余弦应符合下列要求：</w:t>
      </w:r>
    </w:p>
    <w:tbl>
      <w:tblPr>
        <w:tblStyle w:val="32"/>
        <w:tblW w:w="0" w:type="auto"/>
        <w:tblInd w:w="360" w:type="dxa"/>
        <w:tblLayout w:type="fixed"/>
        <w:tblCellMar>
          <w:top w:w="0" w:type="dxa"/>
          <w:left w:w="108" w:type="dxa"/>
          <w:bottom w:w="0" w:type="dxa"/>
          <w:right w:w="108" w:type="dxa"/>
        </w:tblCellMar>
      </w:tblPr>
      <w:tblGrid>
        <w:gridCol w:w="5560"/>
        <w:gridCol w:w="3934"/>
      </w:tblGrid>
      <w:tr>
        <w:tblPrEx>
          <w:tblCellMar>
            <w:top w:w="0" w:type="dxa"/>
            <w:left w:w="108" w:type="dxa"/>
            <w:bottom w:w="0" w:type="dxa"/>
            <w:right w:w="108" w:type="dxa"/>
          </w:tblCellMar>
        </w:tblPrEx>
        <w:tc>
          <w:tcPr>
            <w:tcW w:w="5560" w:type="dxa"/>
          </w:tcPr>
          <w:p>
            <w:pPr>
              <w:pStyle w:val="45"/>
              <w:ind w:firstLine="0" w:firstLineChars="0"/>
              <w:jc w:val="right"/>
              <w:rPr>
                <w:rFonts w:ascii="Times New Roman" w:hAnsi="Times New Roman"/>
              </w:rPr>
            </w:pPr>
            <w:r>
              <w:rPr>
                <w:rFonts w:hint="eastAsia" w:ascii="Times New Roman" w:hAnsi="Times New Roman"/>
              </w:rPr>
              <w:t xml:space="preserve">               </w:t>
            </w:r>
            <w:r>
              <w:rPr>
                <w:rFonts w:hint="eastAsia" w:ascii="Times New Roman" w:hAnsi="Times New Roman"/>
                <w:position w:val="-23"/>
              </w:rPr>
              <w:drawing>
                <wp:inline distT="0" distB="0" distL="114300" distR="114300">
                  <wp:extent cx="2124075" cy="400050"/>
                  <wp:effectExtent l="0" t="0" r="9525" b="0"/>
                  <wp:docPr id="147" name="图片 2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208"/>
                          <pic:cNvPicPr>
                            <a:picLocks noChangeAspect="true"/>
                          </pic:cNvPicPr>
                        </pic:nvPicPr>
                        <pic:blipFill>
                          <a:blip r:embed="rId388">
                            <a:clrChange>
                              <a:clrFrom>
                                <a:srgbClr val="FFFFFF"/>
                              </a:clrFrom>
                              <a:clrTo>
                                <a:srgbClr val="FFFFFF">
                                  <a:alpha val="0"/>
                                </a:srgbClr>
                              </a:clrTo>
                            </a:clrChange>
                          </a:blip>
                          <a:stretch>
                            <a:fillRect/>
                          </a:stretch>
                        </pic:blipFill>
                        <pic:spPr>
                          <a:xfrm>
                            <a:off x="0" y="0"/>
                            <a:ext cx="2124075" cy="400050"/>
                          </a:xfrm>
                          <a:prstGeom prst="rect">
                            <a:avLst/>
                          </a:prstGeom>
                          <a:noFill/>
                          <a:ln>
                            <a:noFill/>
                          </a:ln>
                        </pic:spPr>
                      </pic:pic>
                    </a:graphicData>
                  </a:graphic>
                </wp:inline>
              </w:drawing>
            </w:r>
          </w:p>
        </w:tc>
        <w:tc>
          <w:tcPr>
            <w:tcW w:w="3934" w:type="dxa"/>
          </w:tcPr>
          <w:p>
            <w:pPr>
              <w:pStyle w:val="45"/>
              <w:spacing w:line="480" w:lineRule="auto"/>
              <w:ind w:firstLine="0" w:firstLineChars="0"/>
              <w:jc w:val="right"/>
              <w:rPr>
                <w:rFonts w:ascii="Times New Roman" w:hAnsi="Times New Roman"/>
              </w:rPr>
            </w:pPr>
            <w:r>
              <w:rPr>
                <w:rFonts w:hint="eastAsia" w:ascii="Times New Roman" w:hAnsi="Times New Roman"/>
                <w:szCs w:val="24"/>
              </w:rPr>
              <w:t>(8.1.21-3)</w:t>
            </w:r>
          </w:p>
        </w:tc>
      </w:tr>
    </w:tbl>
    <w:p>
      <w:pPr>
        <w:widowControl w:val="0"/>
        <w:tabs>
          <w:tab w:val="left" w:pos="5245"/>
          <w:tab w:val="left" w:pos="5812"/>
          <w:tab w:val="left" w:pos="6237"/>
        </w:tabs>
        <w:spacing w:line="480" w:lineRule="exact"/>
        <w:ind w:right="-58" w:rightChars="-24"/>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6"/>
        </w:rPr>
        <w:drawing>
          <wp:inline distT="0" distB="0" distL="114300" distR="114300">
            <wp:extent cx="95250" cy="200025"/>
            <wp:effectExtent l="0" t="0" r="11430" b="0"/>
            <wp:docPr id="149" name="图片 2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209"/>
                    <pic:cNvPicPr>
                      <a:picLocks noChangeAspect="true"/>
                    </pic:cNvPicPr>
                  </pic:nvPicPr>
                  <pic:blipFill>
                    <a:blip r:embed="rId375">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对应于受压区混凝土截面面积的圆心角</w:t>
      </w:r>
      <w:r>
        <w:rPr>
          <w:rFonts w:ascii="Times New Roman" w:hAnsi="Times New Roman"/>
        </w:rPr>
        <w:t>(rad)</w:t>
      </w:r>
      <w:r>
        <w:rPr>
          <w:rFonts w:hint="eastAsia" w:ascii="Times New Roman" w:hAnsi="Times New Roman"/>
        </w:rPr>
        <w:t>与</w:t>
      </w:r>
      <w:r>
        <w:rPr>
          <w:rFonts w:hint="eastAsia" w:ascii="Times New Roman" w:hAnsi="Times New Roman"/>
          <w:position w:val="-6"/>
        </w:rPr>
        <w:drawing>
          <wp:inline distT="0" distB="0" distL="114300" distR="114300">
            <wp:extent cx="180975" cy="200025"/>
            <wp:effectExtent l="0" t="0" r="1905" b="0"/>
            <wp:docPr id="151" name="图片 2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210"/>
                    <pic:cNvPicPr>
                      <a:picLocks noChangeAspect="true"/>
                    </pic:cNvPicPr>
                  </pic:nvPicPr>
                  <pic:blipFill>
                    <a:blip r:embed="rId389">
                      <a:clrChange>
                        <a:clrFrom>
                          <a:srgbClr val="FFFFFF"/>
                        </a:clrFrom>
                        <a:clrTo>
                          <a:srgbClr val="FFFFFF">
                            <a:alpha val="0"/>
                          </a:srgbClr>
                        </a:clrTo>
                      </a:clrChange>
                    </a:blip>
                    <a:stretch>
                      <a:fillRect/>
                    </a:stretch>
                  </pic:blipFill>
                  <pic:spPr>
                    <a:xfrm>
                      <a:off x="0" y="0"/>
                      <a:ext cx="180975" cy="200025"/>
                    </a:xfrm>
                    <a:prstGeom prst="rect">
                      <a:avLst/>
                    </a:prstGeom>
                    <a:noFill/>
                    <a:ln>
                      <a:noFill/>
                    </a:ln>
                  </pic:spPr>
                </pic:pic>
              </a:graphicData>
            </a:graphic>
          </wp:inline>
        </w:drawing>
      </w:r>
      <w:r>
        <w:rPr>
          <w:rFonts w:hint="eastAsia" w:ascii="Times New Roman" w:hAnsi="Times New Roman"/>
        </w:rPr>
        <w:t>的比值；</w:t>
      </w:r>
    </w:p>
    <w:p>
      <w:pPr>
        <w:widowControl w:val="0"/>
        <w:tabs>
          <w:tab w:val="left" w:pos="5245"/>
          <w:tab w:val="left" w:pos="5812"/>
          <w:tab w:val="left" w:pos="6237"/>
        </w:tabs>
        <w:spacing w:line="480" w:lineRule="exact"/>
        <w:ind w:left="1560" w:right="-58" w:rightChars="-24" w:hanging="1560" w:hangingChars="650"/>
        <w:rPr>
          <w:rFonts w:hint="eastAsia" w:ascii="Times New Roman" w:hAnsi="Times New Roman" w:eastAsia="宋体"/>
          <w:szCs w:val="24"/>
          <w:lang w:eastAsia="zh-CN"/>
        </w:rPr>
      </w:pPr>
      <w:r>
        <w:rPr>
          <w:rFonts w:ascii="Times New Roman" w:hAnsi="Times New Roman"/>
          <w:szCs w:val="24"/>
        </w:rPr>
        <w:t xml:space="preserve">     </w:t>
      </w:r>
      <w:r>
        <w:rPr>
          <w:rFonts w:hint="eastAsia" w:ascii="Times New Roman" w:hAnsi="Times New Roman"/>
          <w:szCs w:val="24"/>
        </w:rPr>
        <w:t xml:space="preserve"> </w:t>
      </w:r>
      <w:r>
        <w:rPr>
          <w:rFonts w:ascii="Times New Roman" w:hAnsi="Times New Roman"/>
          <w:position w:val="-6"/>
        </w:rPr>
        <w:drawing>
          <wp:inline distT="0" distB="0" distL="114300" distR="114300">
            <wp:extent cx="161925" cy="200025"/>
            <wp:effectExtent l="0" t="0" r="5715" b="13970"/>
            <wp:docPr id="176" name="图片 2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 name="图片 211"/>
                    <pic:cNvPicPr>
                      <a:picLocks noChangeAspect="true"/>
                    </pic:cNvPicPr>
                  </pic:nvPicPr>
                  <pic:blipFill>
                    <a:blip r:embed="rId390">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对应于周边均匀受拉钢筋的圆心角</w:t>
      </w:r>
      <w:r>
        <w:rPr>
          <w:rFonts w:ascii="Times New Roman" w:hAnsi="Times New Roman"/>
          <w:szCs w:val="24"/>
        </w:rPr>
        <w:t>(rad)</w:t>
      </w:r>
      <w:r>
        <w:rPr>
          <w:rFonts w:hint="eastAsia" w:ascii="Times New Roman" w:hAnsi="Times New Roman"/>
          <w:szCs w:val="24"/>
        </w:rPr>
        <w:t>与</w:t>
      </w:r>
      <w:r>
        <w:rPr>
          <w:rFonts w:hint="eastAsia" w:ascii="Times New Roman" w:hAnsi="Times New Roman"/>
          <w:position w:val="-6"/>
        </w:rPr>
        <w:drawing>
          <wp:inline distT="0" distB="0" distL="114300" distR="114300">
            <wp:extent cx="180975" cy="200025"/>
            <wp:effectExtent l="0" t="0" r="1905" b="0"/>
            <wp:docPr id="174" name="图片 2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 name="图片 212"/>
                    <pic:cNvPicPr>
                      <a:picLocks noChangeAspect="true"/>
                    </pic:cNvPicPr>
                  </pic:nvPicPr>
                  <pic:blipFill>
                    <a:blip r:embed="rId389">
                      <a:clrChange>
                        <a:clrFrom>
                          <a:srgbClr val="FFFFFF"/>
                        </a:clrFrom>
                        <a:clrTo>
                          <a:srgbClr val="FFFFFF">
                            <a:alpha val="0"/>
                          </a:srgbClr>
                        </a:clrTo>
                      </a:clrChange>
                    </a:blip>
                    <a:stretch>
                      <a:fillRect/>
                    </a:stretch>
                  </pic:blipFill>
                  <pic:spPr>
                    <a:xfrm>
                      <a:off x="0" y="0"/>
                      <a:ext cx="180975" cy="200025"/>
                    </a:xfrm>
                    <a:prstGeom prst="rect">
                      <a:avLst/>
                    </a:prstGeom>
                    <a:noFill/>
                    <a:ln>
                      <a:noFill/>
                    </a:ln>
                  </pic:spPr>
                </pic:pic>
              </a:graphicData>
            </a:graphic>
          </wp:inline>
        </w:drawing>
      </w:r>
      <w:r>
        <w:rPr>
          <w:rFonts w:hint="eastAsia" w:ascii="Times New Roman" w:hAnsi="Times New Roman"/>
          <w:szCs w:val="24"/>
        </w:rPr>
        <w:t>的比值：</w:t>
      </w:r>
      <w:r>
        <w:rPr>
          <w:rFonts w:hint="eastAsia" w:ascii="Times New Roman" w:hAnsi="Times New Roman"/>
          <w:position w:val="-6"/>
        </w:rPr>
        <w:drawing>
          <wp:inline distT="0" distB="0" distL="114300" distR="114300">
            <wp:extent cx="161925" cy="200025"/>
            <wp:effectExtent l="0" t="0" r="5715" b="13970"/>
            <wp:docPr id="178" name="图片 2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8" name="图片 213"/>
                    <pic:cNvPicPr>
                      <a:picLocks noChangeAspect="true"/>
                    </pic:cNvPicPr>
                  </pic:nvPicPr>
                  <pic:blipFill>
                    <a:blip r:embed="rId390">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hint="eastAsia" w:ascii="Times New Roman" w:hAnsi="Times New Roman"/>
          <w:szCs w:val="24"/>
        </w:rPr>
        <w:t>值宜在</w:t>
      </w:r>
      <w:r>
        <w:rPr>
          <w:rFonts w:ascii="Times New Roman" w:hAnsi="Times New Roman"/>
          <w:szCs w:val="24"/>
        </w:rPr>
        <w:t>1/6</w:t>
      </w:r>
      <w:r>
        <w:rPr>
          <w:rFonts w:hint="eastAsia" w:ascii="Times New Roman" w:hAnsi="Times New Roman"/>
          <w:szCs w:val="24"/>
        </w:rPr>
        <w:t>～</w:t>
      </w:r>
      <w:r>
        <w:rPr>
          <w:rFonts w:ascii="Times New Roman" w:hAnsi="Times New Roman"/>
          <w:szCs w:val="24"/>
        </w:rPr>
        <w:t>1/3</w:t>
      </w:r>
      <w:r>
        <w:rPr>
          <w:rFonts w:hint="eastAsia" w:ascii="Times New Roman" w:hAnsi="Times New Roman"/>
          <w:szCs w:val="24"/>
        </w:rPr>
        <w:t>之间选取，通常可取</w:t>
      </w:r>
      <w:r>
        <w:rPr>
          <w:rFonts w:ascii="Times New Roman" w:hAnsi="Times New Roman"/>
          <w:szCs w:val="24"/>
        </w:rPr>
        <w:t>0.25</w:t>
      </w:r>
      <w:r>
        <w:rPr>
          <w:rFonts w:hint="eastAsia" w:ascii="Times New Roman" w:hAnsi="Times New Roman"/>
          <w:szCs w:val="24"/>
          <w:lang w:eastAsia="zh-CN"/>
        </w:rPr>
        <w:t>；</w:t>
      </w:r>
    </w:p>
    <w:p>
      <w:pPr>
        <w:widowControl w:val="0"/>
        <w:tabs>
          <w:tab w:val="left" w:pos="5245"/>
          <w:tab w:val="left" w:pos="5812"/>
          <w:tab w:val="left" w:pos="6237"/>
        </w:tabs>
        <w:spacing w:line="480" w:lineRule="exact"/>
        <w:ind w:right="-58" w:rightChars="-24" w:firstLine="720" w:firstLineChars="300"/>
        <w:rPr>
          <w:rFonts w:ascii="Times New Roman" w:hAnsi="Times New Roman"/>
        </w:rPr>
      </w:pPr>
      <w:r>
        <w:rPr>
          <w:rFonts w:ascii="Times New Roman" w:hAnsi="Times New Roman"/>
          <w:position w:val="-6"/>
        </w:rPr>
        <w:drawing>
          <wp:inline distT="0" distB="0" distL="114300" distR="114300">
            <wp:extent cx="161925" cy="200025"/>
            <wp:effectExtent l="0" t="0" r="5715" b="13335"/>
            <wp:docPr id="175" name="图片 2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图片 214"/>
                    <pic:cNvPicPr>
                      <a:picLocks noChangeAspect="true"/>
                    </pic:cNvPicPr>
                  </pic:nvPicPr>
                  <pic:blipFill>
                    <a:blip r:embed="rId391">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对应于周边均匀受压钢筋的圆心角</w:t>
      </w:r>
      <w:r>
        <w:rPr>
          <w:rFonts w:ascii="Times New Roman" w:hAnsi="Times New Roman"/>
        </w:rPr>
        <w:t>(rad)</w:t>
      </w:r>
      <w:r>
        <w:rPr>
          <w:rFonts w:hint="eastAsia" w:ascii="Times New Roman" w:hAnsi="Times New Roman"/>
        </w:rPr>
        <w:t>与</w:t>
      </w:r>
      <w:r>
        <w:rPr>
          <w:rFonts w:hint="eastAsia" w:ascii="Times New Roman" w:hAnsi="Times New Roman"/>
          <w:position w:val="-6"/>
        </w:rPr>
        <w:drawing>
          <wp:inline distT="0" distB="0" distL="114300" distR="114300">
            <wp:extent cx="180975" cy="200025"/>
            <wp:effectExtent l="0" t="0" r="1905" b="0"/>
            <wp:docPr id="186" name="图片 2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215"/>
                    <pic:cNvPicPr>
                      <a:picLocks noChangeAspect="true"/>
                    </pic:cNvPicPr>
                  </pic:nvPicPr>
                  <pic:blipFill>
                    <a:blip r:embed="rId389">
                      <a:clrChange>
                        <a:clrFrom>
                          <a:srgbClr val="FFFFFF"/>
                        </a:clrFrom>
                        <a:clrTo>
                          <a:srgbClr val="FFFFFF">
                            <a:alpha val="0"/>
                          </a:srgbClr>
                        </a:clrTo>
                      </a:clrChange>
                    </a:blip>
                    <a:stretch>
                      <a:fillRect/>
                    </a:stretch>
                  </pic:blipFill>
                  <pic:spPr>
                    <a:xfrm>
                      <a:off x="0" y="0"/>
                      <a:ext cx="180975" cy="200025"/>
                    </a:xfrm>
                    <a:prstGeom prst="rect">
                      <a:avLst/>
                    </a:prstGeom>
                    <a:noFill/>
                    <a:ln>
                      <a:noFill/>
                    </a:ln>
                  </pic:spPr>
                </pic:pic>
              </a:graphicData>
            </a:graphic>
          </wp:inline>
        </w:drawing>
      </w:r>
      <w:r>
        <w:rPr>
          <w:rFonts w:hint="eastAsia" w:ascii="Times New Roman" w:hAnsi="Times New Roman"/>
        </w:rPr>
        <w:t>的比值：宜取</w:t>
      </w:r>
      <w:r>
        <w:rPr>
          <w:rFonts w:hint="eastAsia" w:ascii="Times New Roman" w:hAnsi="Times New Roman"/>
          <w:position w:val="-6"/>
        </w:rPr>
        <w:drawing>
          <wp:inline distT="0" distB="0" distL="114300" distR="114300">
            <wp:extent cx="161925" cy="200025"/>
            <wp:effectExtent l="0" t="0" r="5715" b="13335"/>
            <wp:docPr id="179" name="图片 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 name="图片 216"/>
                    <pic:cNvPicPr>
                      <a:picLocks noChangeAspect="true"/>
                    </pic:cNvPicPr>
                  </pic:nvPicPr>
                  <pic:blipFill>
                    <a:blip r:embed="rId391">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hint="eastAsia" w:ascii="Times New Roman" w:hAnsi="Times New Roman"/>
        </w:rPr>
        <w:t>≤</w:t>
      </w:r>
      <w:r>
        <w:rPr>
          <w:rFonts w:ascii="Times New Roman" w:hAnsi="Times New Roman"/>
        </w:rPr>
        <w:t>0.25</w:t>
      </w:r>
      <w:r>
        <w:rPr>
          <w:rFonts w:hint="eastAsia" w:ascii="Times New Roman" w:hAnsi="Times New Roman"/>
        </w:rPr>
        <w:t>。</w:t>
      </w:r>
    </w:p>
    <w:p>
      <w:pPr>
        <w:widowControl w:val="0"/>
        <w:tabs>
          <w:tab w:val="left" w:pos="5245"/>
          <w:tab w:val="left" w:pos="5812"/>
          <w:tab w:val="left" w:pos="6237"/>
        </w:tabs>
        <w:spacing w:line="480" w:lineRule="exact"/>
        <w:ind w:right="-58" w:rightChars="-24"/>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hint="eastAsia" w:ascii="Times New Roman" w:hAnsi="Times New Roman"/>
          <w:position w:val="-6"/>
        </w:rPr>
        <w:drawing>
          <wp:inline distT="0" distB="0" distL="114300" distR="114300">
            <wp:extent cx="95250" cy="200025"/>
            <wp:effectExtent l="0" t="0" r="11430" b="0"/>
            <wp:docPr id="177" name="图片 2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7" name="图片 217"/>
                    <pic:cNvPicPr>
                      <a:picLocks noChangeAspect="true"/>
                    </pic:cNvPicPr>
                  </pic:nvPicPr>
                  <pic:blipFill>
                    <a:blip r:embed="rId350">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rPr>
        <w:t>构件截面面积（m</w:t>
      </w:r>
      <w:r>
        <w:rPr>
          <w:rFonts w:hint="eastAsia" w:ascii="Times New Roman" w:hAnsi="Times New Roman"/>
          <w:vertAlign w:val="superscript"/>
        </w:rPr>
        <w:t>2</w:t>
      </w:r>
      <w:r>
        <w:rPr>
          <w:rFonts w:hint="eastAsia" w:ascii="Times New Roman" w:hAnsi="Times New Roman"/>
        </w:rPr>
        <w:t>）</w:t>
      </w:r>
      <w:r>
        <w:rPr>
          <w:rFonts w:ascii="Times New Roman" w:hAnsi="Times New Roman"/>
        </w:rPr>
        <w:t>；</w:t>
      </w:r>
    </w:p>
    <w:p>
      <w:pPr>
        <w:widowControl w:val="0"/>
        <w:tabs>
          <w:tab w:val="left" w:pos="5245"/>
          <w:tab w:val="left" w:pos="5812"/>
          <w:tab w:val="left" w:pos="6237"/>
        </w:tabs>
        <w:spacing w:line="480" w:lineRule="exact"/>
        <w:ind w:right="-58" w:rightChars="-24" w:firstLine="120" w:firstLineChars="50"/>
        <w:rPr>
          <w:rFonts w:ascii="Times New Roman" w:hAnsi="Times New Roman"/>
        </w:rPr>
      </w:pPr>
      <w:r>
        <w:rPr>
          <w:rFonts w:ascii="Times New Roman" w:hAnsi="Times New Roman"/>
          <w:position w:val="-6"/>
        </w:rPr>
        <w:drawing>
          <wp:inline distT="0" distB="0" distL="114300" distR="114300">
            <wp:extent cx="209550" cy="200025"/>
            <wp:effectExtent l="0" t="0" r="3810" b="13970"/>
            <wp:docPr id="180" name="图片 2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0" name="图片 218"/>
                    <pic:cNvPicPr>
                      <a:picLocks noChangeAspect="true"/>
                    </pic:cNvPicPr>
                  </pic:nvPicPr>
                  <pic:blipFill>
                    <a:blip r:embed="rId392">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hint="eastAsia" w:ascii="Times New Roman" w:hAnsi="Times New Roman"/>
          <w:szCs w:val="24"/>
        </w:rPr>
        <w:t>、</w:t>
      </w:r>
      <w:r>
        <w:rPr>
          <w:rFonts w:hint="eastAsia" w:ascii="Times New Roman" w:hAnsi="Times New Roman"/>
          <w:position w:val="-21"/>
        </w:rPr>
        <w:drawing>
          <wp:inline distT="0" distB="0" distL="114300" distR="114300">
            <wp:extent cx="209550" cy="400050"/>
            <wp:effectExtent l="0" t="0" r="3810" b="0"/>
            <wp:docPr id="181" name="图片 2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1" name="图片 219"/>
                    <pic:cNvPicPr>
                      <a:picLocks noChangeAspect="true"/>
                    </pic:cNvPicPr>
                  </pic:nvPicPr>
                  <pic:blipFill>
                    <a:blip r:embed="rId393">
                      <a:clrChange>
                        <a:clrFrom>
                          <a:srgbClr val="FFFFFF"/>
                        </a:clrFrom>
                        <a:clrTo>
                          <a:srgbClr val="FFFFFF">
                            <a:alpha val="0"/>
                          </a:srgbClr>
                        </a:clrTo>
                      </a:clrChange>
                    </a:blip>
                    <a:stretch>
                      <a:fillRect/>
                    </a:stretch>
                  </pic:blipFill>
                  <pic:spPr>
                    <a:xfrm>
                      <a:off x="0" y="0"/>
                      <a:ext cx="209550" cy="400050"/>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沿周边均匀配置在圆心角</w:t>
      </w:r>
      <w:r>
        <w:rPr>
          <w:rFonts w:hint="eastAsia" w:ascii="Times New Roman" w:hAnsi="Times New Roman"/>
          <w:position w:val="-6"/>
        </w:rPr>
        <w:drawing>
          <wp:inline distT="0" distB="0" distL="114300" distR="114300">
            <wp:extent cx="371475" cy="200025"/>
            <wp:effectExtent l="0" t="0" r="9525" b="13970"/>
            <wp:docPr id="185" name="图片 2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220"/>
                    <pic:cNvPicPr>
                      <a:picLocks noChangeAspect="true"/>
                    </pic:cNvPicPr>
                  </pic:nvPicPr>
                  <pic:blipFill>
                    <a:blip r:embed="rId394">
                      <a:clrChange>
                        <a:clrFrom>
                          <a:srgbClr val="FFFFFF"/>
                        </a:clrFrom>
                        <a:clrTo>
                          <a:srgbClr val="FFFFFF">
                            <a:alpha val="0"/>
                          </a:srgbClr>
                        </a:clrTo>
                      </a:clrChange>
                    </a:blip>
                    <a:stretch>
                      <a:fillRect/>
                    </a:stretch>
                  </pic:blipFill>
                  <pic:spPr>
                    <a:xfrm>
                      <a:off x="0" y="0"/>
                      <a:ext cx="371475" cy="200025"/>
                    </a:xfrm>
                    <a:prstGeom prst="rect">
                      <a:avLst/>
                    </a:prstGeom>
                    <a:noFill/>
                    <a:ln>
                      <a:noFill/>
                    </a:ln>
                  </pic:spPr>
                </pic:pic>
              </a:graphicData>
            </a:graphic>
          </wp:inline>
        </w:drawing>
      </w:r>
      <w:r>
        <w:rPr>
          <w:rFonts w:hint="eastAsia" w:ascii="Times New Roman" w:hAnsi="Times New Roman"/>
          <w:szCs w:val="24"/>
        </w:rPr>
        <w:t xml:space="preserve">, </w:t>
      </w:r>
      <w:r>
        <w:rPr>
          <w:rFonts w:hint="eastAsia" w:ascii="Times New Roman" w:hAnsi="Times New Roman"/>
          <w:position w:val="-6"/>
        </w:rPr>
        <w:drawing>
          <wp:inline distT="0" distB="0" distL="114300" distR="114300">
            <wp:extent cx="333375" cy="200025"/>
            <wp:effectExtent l="0" t="0" r="1905" b="13335"/>
            <wp:docPr id="182" name="图片 2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 name="图片 221"/>
                    <pic:cNvPicPr>
                      <a:picLocks noChangeAspect="true"/>
                    </pic:cNvPicPr>
                  </pic:nvPicPr>
                  <pic:blipFill>
                    <a:blip r:embed="rId395">
                      <a:clrChange>
                        <a:clrFrom>
                          <a:srgbClr val="FFFFFF"/>
                        </a:clrFrom>
                        <a:clrTo>
                          <a:srgbClr val="FFFFFF">
                            <a:alpha val="0"/>
                          </a:srgbClr>
                        </a:clrTo>
                      </a:clrChange>
                    </a:blip>
                    <a:stretch>
                      <a:fillRect/>
                    </a:stretch>
                  </pic:blipFill>
                  <pic:spPr>
                    <a:xfrm>
                      <a:off x="0" y="0"/>
                      <a:ext cx="333375" cy="200025"/>
                    </a:xfrm>
                    <a:prstGeom prst="rect">
                      <a:avLst/>
                    </a:prstGeom>
                    <a:noFill/>
                    <a:ln>
                      <a:noFill/>
                    </a:ln>
                  </pic:spPr>
                </pic:pic>
              </a:graphicData>
            </a:graphic>
          </wp:inline>
        </w:drawing>
      </w:r>
      <w:r>
        <w:rPr>
          <w:rFonts w:hint="eastAsia" w:ascii="Times New Roman" w:hAnsi="Times New Roman"/>
          <w:szCs w:val="24"/>
        </w:rPr>
        <w:t>；内的纵向受拉、受压钢筋截面面积；</w:t>
      </w:r>
    </w:p>
    <w:p>
      <w:pPr>
        <w:pStyle w:val="45"/>
        <w:tabs>
          <w:tab w:val="left" w:pos="5245"/>
          <w:tab w:val="left" w:pos="5812"/>
          <w:tab w:val="left" w:pos="6237"/>
        </w:tabs>
        <w:spacing w:line="480" w:lineRule="exact"/>
        <w:ind w:left="410" w:leftChars="171" w:right="-58" w:rightChars="-24" w:firstLine="480"/>
        <w:rPr>
          <w:rFonts w:ascii="Times New Roman" w:hAnsi="Times New Roman"/>
          <w:szCs w:val="24"/>
        </w:rPr>
      </w:pPr>
      <w:r>
        <w:rPr>
          <w:rFonts w:ascii="Times New Roman" w:hAnsi="Times New Roman"/>
          <w:position w:val="-6"/>
        </w:rPr>
        <w:drawing>
          <wp:inline distT="0" distB="0" distL="114300" distR="114300">
            <wp:extent cx="76200" cy="200025"/>
            <wp:effectExtent l="0" t="0" r="0" b="0"/>
            <wp:docPr id="183" name="图片 2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222"/>
                    <pic:cNvPicPr>
                      <a:picLocks noChangeAspect="true"/>
                    </pic:cNvPicPr>
                  </pic:nvPicPr>
                  <pic:blipFill>
                    <a:blip r:embed="rId396">
                      <a:clrChange>
                        <a:clrFrom>
                          <a:srgbClr val="FFFFFF"/>
                        </a:clrFrom>
                        <a:clrTo>
                          <a:srgbClr val="FFFFFF">
                            <a:alpha val="0"/>
                          </a:srgbClr>
                        </a:clrTo>
                      </a:clrChange>
                    </a:blip>
                    <a:stretch>
                      <a:fillRect/>
                    </a:stretch>
                  </pic:blipFill>
                  <pic:spPr>
                    <a:xfrm>
                      <a:off x="0" y="0"/>
                      <a:ext cx="762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圆形截面的半径</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w:t>
      </w:r>
      <w:r>
        <w:rPr>
          <w:rFonts w:hint="eastAsia" w:ascii="Times New Roman" w:hAnsi="Times New Roman"/>
          <w:szCs w:val="24"/>
        </w:rPr>
        <w:t>；</w:t>
      </w:r>
    </w:p>
    <w:p>
      <w:pPr>
        <w:pStyle w:val="45"/>
        <w:tabs>
          <w:tab w:val="left" w:pos="5245"/>
          <w:tab w:val="left" w:pos="5812"/>
          <w:tab w:val="left" w:pos="6237"/>
        </w:tabs>
        <w:spacing w:line="480" w:lineRule="exact"/>
        <w:ind w:left="410" w:leftChars="171" w:right="-58" w:rightChars="-24" w:firstLine="240" w:firstLineChars="100"/>
        <w:rPr>
          <w:rFonts w:ascii="Times New Roman" w:hAnsi="Times New Roman"/>
          <w:szCs w:val="24"/>
        </w:rPr>
      </w:pPr>
      <w:r>
        <w:rPr>
          <w:rFonts w:hint="eastAsia" w:ascii="Times New Roman" w:hAnsi="Times New Roman"/>
          <w:szCs w:val="24"/>
        </w:rPr>
        <w:t xml:space="preserve">  </w:t>
      </w:r>
      <w:r>
        <w:rPr>
          <w:rFonts w:hint="eastAsia" w:ascii="Times New Roman" w:hAnsi="Times New Roman"/>
          <w:position w:val="-6"/>
        </w:rPr>
        <w:drawing>
          <wp:inline distT="0" distB="0" distL="114300" distR="114300">
            <wp:extent cx="123825" cy="200025"/>
            <wp:effectExtent l="0" t="0" r="13335" b="13970"/>
            <wp:docPr id="184" name="图片 2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223"/>
                    <pic:cNvPicPr>
                      <a:picLocks noChangeAspect="true"/>
                    </pic:cNvPicPr>
                  </pic:nvPicPr>
                  <pic:blipFill>
                    <a:blip r:embed="rId397">
                      <a:clrChange>
                        <a:clrFrom>
                          <a:srgbClr val="FFFFFF"/>
                        </a:clrFrom>
                        <a:clrTo>
                          <a:srgbClr val="FFFFFF">
                            <a:alpha val="0"/>
                          </a:srgbClr>
                        </a:clrTo>
                      </a:clrChange>
                    </a:blip>
                    <a:stretch>
                      <a:fillRect/>
                    </a:stretch>
                  </pic:blipFill>
                  <pic:spPr>
                    <a:xfrm>
                      <a:off x="0" y="0"/>
                      <a:ext cx="12382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纵向钢筋所在圆周的半径</w:t>
      </w:r>
      <w:r>
        <w:rPr>
          <w:rFonts w:hint="eastAsia" w:ascii="Times New Roman" w:hAnsi="Times New Roman"/>
        </w:rPr>
        <w:t>（m</w:t>
      </w:r>
      <w:r>
        <w:rPr>
          <w:rFonts w:hint="eastAsia" w:ascii="Times New Roman" w:hAnsi="Times New Roman"/>
          <w:vertAlign w:val="superscript"/>
        </w:rPr>
        <w:t>2</w:t>
      </w:r>
      <w:r>
        <w:rPr>
          <w:rFonts w:hint="eastAsia" w:ascii="Times New Roman" w:hAnsi="Times New Roman"/>
        </w:rPr>
        <w:t>）</w:t>
      </w:r>
      <w:r>
        <w:rPr>
          <w:rFonts w:hint="eastAsia" w:ascii="Times New Roman" w:hAnsi="Times New Roman"/>
          <w:szCs w:val="24"/>
        </w:rPr>
        <w:t>；</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w:t>
      </w:r>
      <w:r>
        <w:rPr>
          <w:rFonts w:hint="eastAsia" w:ascii="Times New Roman" w:hAnsi="Times New Roman"/>
          <w:position w:val="-24"/>
        </w:rPr>
        <w:drawing>
          <wp:inline distT="0" distB="0" distL="114300" distR="114300">
            <wp:extent cx="123825" cy="400050"/>
            <wp:effectExtent l="0" t="0" r="13335" b="0"/>
            <wp:docPr id="187" name="图片 2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7" name="图片 224"/>
                    <pic:cNvPicPr>
                      <a:picLocks noChangeAspect="true"/>
                    </pic:cNvPicPr>
                  </pic:nvPicPr>
                  <pic:blipFill>
                    <a:blip r:embed="rId398">
                      <a:clrChange>
                        <a:clrFrom>
                          <a:srgbClr val="FFFFFF"/>
                        </a:clrFrom>
                        <a:clrTo>
                          <a:srgbClr val="FFFFFF">
                            <a:alpha val="0"/>
                          </a:srgbClr>
                        </a:clrTo>
                      </a:clrChange>
                    </a:blip>
                    <a:stretch>
                      <a:fillRect/>
                    </a:stretch>
                  </pic:blipFill>
                  <pic:spPr>
                    <a:xfrm>
                      <a:off x="0" y="0"/>
                      <a:ext cx="123825" cy="400050"/>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钢筋的抗拉强度设计值</w:t>
      </w:r>
      <w:r>
        <w:rPr>
          <w:rFonts w:hint="eastAsia" w:ascii="Times New Roman" w:hAnsi="Times New Roman"/>
        </w:rPr>
        <w:t>（kN/m</w:t>
      </w:r>
      <w:r>
        <w:rPr>
          <w:rFonts w:hint="eastAsia" w:ascii="Times New Roman" w:hAnsi="Times New Roman"/>
          <w:vertAlign w:val="superscript"/>
        </w:rPr>
        <w:t>2</w:t>
      </w:r>
      <w:r>
        <w:rPr>
          <w:rFonts w:hint="eastAsia" w:ascii="Times New Roman" w:hAnsi="Times New Roman"/>
        </w:rPr>
        <w:t>）</w:t>
      </w:r>
      <w:r>
        <w:rPr>
          <w:rFonts w:hint="eastAsia" w:ascii="Times New Roman" w:hAnsi="Times New Roman"/>
          <w:szCs w:val="24"/>
        </w:rPr>
        <w:t>；</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w:t>
      </w:r>
      <w:r>
        <w:rPr>
          <w:rFonts w:hint="eastAsia" w:ascii="Times New Roman" w:hAnsi="Times New Roman"/>
          <w:position w:val="-6"/>
        </w:rPr>
        <w:drawing>
          <wp:inline distT="0" distB="0" distL="114300" distR="114300">
            <wp:extent cx="114300" cy="200025"/>
            <wp:effectExtent l="0" t="0" r="7620" b="13970"/>
            <wp:docPr id="188" name="图片 2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8" name="图片 225"/>
                    <pic:cNvPicPr>
                      <a:picLocks noChangeAspect="true"/>
                    </pic:cNvPicPr>
                  </pic:nvPicPr>
                  <pic:blipFill>
                    <a:blip r:embed="rId399">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混凝土轴心抗压强度设计值</w:t>
      </w:r>
      <w:r>
        <w:rPr>
          <w:rFonts w:hint="eastAsia" w:ascii="Times New Roman" w:hAnsi="Times New Roman"/>
        </w:rPr>
        <w:t>（kN/m</w:t>
      </w:r>
      <w:r>
        <w:rPr>
          <w:rFonts w:hint="eastAsia" w:ascii="Times New Roman" w:hAnsi="Times New Roman"/>
          <w:vertAlign w:val="superscript"/>
        </w:rPr>
        <w:t>2</w:t>
      </w:r>
      <w:r>
        <w:rPr>
          <w:rFonts w:hint="eastAsia" w:ascii="Times New Roman" w:hAnsi="Times New Roman"/>
        </w:rPr>
        <w:t>）</w:t>
      </w:r>
      <w:r>
        <w:rPr>
          <w:rFonts w:hint="eastAsia" w:ascii="Times New Roman" w:hAnsi="Times New Roman"/>
          <w:szCs w:val="24"/>
        </w:rPr>
        <w:t>；</w:t>
      </w:r>
    </w:p>
    <w:p>
      <w:pPr>
        <w:pStyle w:val="45"/>
        <w:tabs>
          <w:tab w:val="left" w:pos="720"/>
          <w:tab w:val="left" w:pos="5245"/>
          <w:tab w:val="left" w:pos="5812"/>
          <w:tab w:val="left" w:pos="6237"/>
        </w:tabs>
        <w:spacing w:line="480" w:lineRule="exact"/>
        <w:ind w:left="1558" w:leftChars="249" w:right="-58" w:rightChars="-24" w:hanging="960" w:hangingChars="400"/>
        <w:rPr>
          <w:rFonts w:ascii="Times New Roman" w:hAnsi="Times New Roman"/>
          <w:szCs w:val="24"/>
        </w:rPr>
      </w:pPr>
      <w:r>
        <w:rPr>
          <w:rFonts w:hint="eastAsia" w:ascii="Times New Roman" w:hAnsi="Times New Roman"/>
          <w:szCs w:val="24"/>
        </w:rPr>
        <w:t xml:space="preserve">  </w:t>
      </w:r>
      <w:r>
        <w:rPr>
          <w:rFonts w:hint="eastAsia" w:ascii="Times New Roman" w:hAnsi="Times New Roman"/>
          <w:position w:val="-6"/>
        </w:rPr>
        <w:drawing>
          <wp:inline distT="0" distB="0" distL="114300" distR="114300">
            <wp:extent cx="142875" cy="200025"/>
            <wp:effectExtent l="0" t="0" r="9525" b="13970"/>
            <wp:docPr id="189" name="图片 2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 name="图片 226"/>
                    <pic:cNvPicPr>
                      <a:picLocks noChangeAspect="true"/>
                    </pic:cNvPicPr>
                  </pic:nvPicPr>
                  <pic:blipFill>
                    <a:blip r:embed="rId400">
                      <a:clrChange>
                        <a:clrFrom>
                          <a:srgbClr val="FFFFFF"/>
                        </a:clrFrom>
                        <a:clrTo>
                          <a:srgbClr val="FFFFFF">
                            <a:alpha val="0"/>
                          </a:srgbClr>
                        </a:clrTo>
                      </a:clrChange>
                    </a:blip>
                    <a:stretch>
                      <a:fillRect/>
                    </a:stretch>
                  </pic:blipFill>
                  <pic:spPr>
                    <a:xfrm>
                      <a:off x="0" y="0"/>
                      <a:ext cx="142875" cy="200025"/>
                    </a:xfrm>
                    <a:prstGeom prst="rect">
                      <a:avLst/>
                    </a:prstGeom>
                    <a:noFill/>
                    <a:ln>
                      <a:noFill/>
                    </a:ln>
                  </pic:spPr>
                </pic:pic>
              </a:graphicData>
            </a:graphic>
          </wp:inline>
        </w:drawing>
      </w:r>
      <w:r>
        <w:rPr>
          <w:rFonts w:ascii="Times New Roman" w:hAnsi="Times New Roman"/>
        </w:rPr>
        <w:t>——</w:t>
      </w:r>
      <w:r>
        <w:rPr>
          <w:rFonts w:hint="eastAsia" w:ascii="Times New Roman" w:hAnsi="Times New Roman"/>
          <w:szCs w:val="24"/>
        </w:rPr>
        <w:t>矩形截面的相对界限受压区高度，应按现行《混凝土结构设计规范》GB 50010的规定取值。</w:t>
      </w:r>
    </w:p>
    <w:p>
      <w:pPr>
        <w:pStyle w:val="45"/>
        <w:tabs>
          <w:tab w:val="left" w:pos="5245"/>
          <w:tab w:val="left" w:pos="5812"/>
          <w:tab w:val="left" w:pos="6237"/>
        </w:tabs>
        <w:ind w:left="1730" w:leftChars="171" w:right="-58" w:rightChars="-24" w:hanging="1320" w:hangingChars="550"/>
        <w:rPr>
          <w:rFonts w:ascii="Times New Roman" w:hAnsi="Times New Roman"/>
          <w:szCs w:val="24"/>
        </w:rPr>
      </w:pPr>
      <w:r>
        <w:rPr>
          <w:rFonts w:hint="eastAsia" w:ascii="Times New Roman" w:hAnsi="Times New Roman"/>
          <w:szCs w:val="24"/>
        </w:rPr>
        <w:t>计算的受压区混凝土截面面积的圆心角(rad)与</w:t>
      </w:r>
      <w:r>
        <w:rPr>
          <w:rFonts w:hint="eastAsia" w:ascii="Times New Roman" w:hAnsi="Times New Roman"/>
          <w:position w:val="-6"/>
        </w:rPr>
        <w:drawing>
          <wp:inline distT="0" distB="0" distL="114300" distR="114300">
            <wp:extent cx="209550" cy="200025"/>
            <wp:effectExtent l="0" t="0" r="3810" b="0"/>
            <wp:docPr id="190" name="图片 2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0" name="图片 227"/>
                    <pic:cNvPicPr>
                      <a:picLocks noChangeAspect="true"/>
                    </pic:cNvPicPr>
                  </pic:nvPicPr>
                  <pic:blipFill>
                    <a:blip r:embed="rId401">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hint="eastAsia" w:ascii="Times New Roman" w:hAnsi="Times New Roman"/>
          <w:szCs w:val="24"/>
        </w:rPr>
        <w:t>的比值</w:t>
      </w:r>
      <w:r>
        <w:rPr>
          <w:rFonts w:hint="eastAsia" w:ascii="Times New Roman" w:hAnsi="Times New Roman"/>
          <w:position w:val="-6"/>
        </w:rPr>
        <w:drawing>
          <wp:inline distT="0" distB="0" distL="114300" distR="114300">
            <wp:extent cx="95250" cy="200025"/>
            <wp:effectExtent l="0" t="0" r="11430" b="0"/>
            <wp:docPr id="191" name="图片 2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1" name="图片 228"/>
                    <pic:cNvPicPr>
                      <a:picLocks noChangeAspect="true"/>
                    </pic:cNvPicPr>
                  </pic:nvPicPr>
                  <pic:blipFill>
                    <a:blip r:embed="rId375">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hint="eastAsia" w:ascii="Times New Roman" w:hAnsi="Times New Roman"/>
          <w:szCs w:val="24"/>
        </w:rPr>
        <w:t>宜符合下</w:t>
      </w:r>
      <w:r>
        <w:rPr>
          <w:rFonts w:hint="eastAsia" w:ascii="Times New Roman" w:hAnsi="Times New Roman"/>
          <w:color w:val="0000FF"/>
          <w:szCs w:val="24"/>
          <w:lang w:val="en-US" w:eastAsia="zh-CN"/>
        </w:rPr>
        <w:t>式</w:t>
      </w:r>
      <w:r>
        <w:rPr>
          <w:rFonts w:hint="eastAsia" w:ascii="Times New Roman" w:hAnsi="Times New Roman"/>
          <w:szCs w:val="24"/>
        </w:rPr>
        <w:t>条件：</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5245"/>
                <w:tab w:val="left" w:pos="5812"/>
                <w:tab w:val="left" w:pos="6237"/>
              </w:tabs>
              <w:spacing w:line="480" w:lineRule="exact"/>
              <w:ind w:right="-58" w:rightChars="-24"/>
              <w:jc w:val="right"/>
              <w:rPr>
                <w:rFonts w:ascii="Times New Roman" w:hAnsi="Times New Roman"/>
              </w:rPr>
            </w:pPr>
            <w:r>
              <w:rPr>
                <w:rFonts w:ascii="Times New Roman" w:hAnsi="Times New Roman"/>
              </w:rPr>
              <w:drawing>
                <wp:inline distT="0" distB="0" distL="114300" distR="114300">
                  <wp:extent cx="666750" cy="200025"/>
                  <wp:effectExtent l="0" t="0" r="3810" b="13970"/>
                  <wp:docPr id="192" name="图片 2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2" name="图片 229"/>
                          <pic:cNvPicPr>
                            <a:picLocks noChangeAspect="true"/>
                          </pic:cNvPicPr>
                        </pic:nvPicPr>
                        <pic:blipFill>
                          <a:blip r:embed="rId402">
                            <a:clrChange>
                              <a:clrFrom>
                                <a:srgbClr val="FFFFFF"/>
                              </a:clrFrom>
                              <a:clrTo>
                                <a:srgbClr val="FFFFFF">
                                  <a:alpha val="0"/>
                                </a:srgbClr>
                              </a:clrTo>
                            </a:clrChange>
                          </a:blip>
                          <a:stretch>
                            <a:fillRect/>
                          </a:stretch>
                        </pic:blipFill>
                        <pic:spPr>
                          <a:xfrm>
                            <a:off x="0" y="0"/>
                            <a:ext cx="666750" cy="200025"/>
                          </a:xfrm>
                          <a:prstGeom prst="rect">
                            <a:avLst/>
                          </a:prstGeom>
                          <a:noFill/>
                          <a:ln>
                            <a:noFill/>
                          </a:ln>
                        </pic:spPr>
                      </pic:pic>
                    </a:graphicData>
                  </a:graphic>
                </wp:inline>
              </w:drawing>
            </w:r>
          </w:p>
        </w:tc>
        <w:tc>
          <w:tcPr>
            <w:tcW w:w="4927" w:type="dxa"/>
          </w:tcPr>
          <w:p>
            <w:pPr>
              <w:widowControl w:val="0"/>
              <w:tabs>
                <w:tab w:val="left" w:pos="5245"/>
                <w:tab w:val="left" w:pos="5812"/>
                <w:tab w:val="left" w:pos="6237"/>
              </w:tabs>
              <w:spacing w:line="480" w:lineRule="exact"/>
              <w:ind w:right="-58" w:rightChars="-24"/>
              <w:jc w:val="right"/>
              <w:rPr>
                <w:rFonts w:ascii="Times New Roman" w:hAnsi="Times New Roman"/>
              </w:rPr>
            </w:pPr>
            <w:r>
              <w:rPr>
                <w:rFonts w:ascii="Times New Roman" w:hAnsi="Times New Roman"/>
              </w:rPr>
              <w:t>(</w:t>
            </w:r>
            <w:r>
              <w:rPr>
                <w:rFonts w:hint="eastAsia" w:ascii="Times New Roman" w:hAnsi="Times New Roman"/>
              </w:rPr>
              <w:t>8.1.21-4</w:t>
            </w:r>
            <w:r>
              <w:rPr>
                <w:rFonts w:ascii="Times New Roman" w:hAnsi="Times New Roman"/>
              </w:rPr>
              <w:t>)</w:t>
            </w:r>
          </w:p>
        </w:tc>
      </w:tr>
    </w:tbl>
    <w:p>
      <w:pPr>
        <w:pStyle w:val="45"/>
        <w:tabs>
          <w:tab w:val="left" w:pos="5245"/>
          <w:tab w:val="left" w:pos="5812"/>
          <w:tab w:val="left" w:pos="6237"/>
        </w:tabs>
        <w:ind w:left="360" w:right="-58" w:rightChars="-24" w:firstLine="0" w:firstLineChars="0"/>
        <w:rPr>
          <w:rFonts w:ascii="Times New Roman" w:hAnsi="Times New Roman"/>
          <w:szCs w:val="24"/>
        </w:rPr>
      </w:pPr>
      <w:r>
        <w:rPr>
          <w:rFonts w:hint="eastAsia" w:ascii="Times New Roman" w:hAnsi="Times New Roman"/>
          <w:szCs w:val="24"/>
        </w:rPr>
        <w:t>当不符合上述条件时，其正截面受弯承载力可按下式计算：</w:t>
      </w:r>
    </w:p>
    <w:tbl>
      <w:tblPr>
        <w:tblStyle w:val="32"/>
        <w:tblW w:w="0" w:type="auto"/>
        <w:tblInd w:w="360" w:type="dxa"/>
        <w:tblLayout w:type="fixed"/>
        <w:tblCellMar>
          <w:top w:w="0" w:type="dxa"/>
          <w:left w:w="108" w:type="dxa"/>
          <w:bottom w:w="0" w:type="dxa"/>
          <w:right w:w="108" w:type="dxa"/>
        </w:tblCellMar>
      </w:tblPr>
      <w:tblGrid>
        <w:gridCol w:w="5418"/>
        <w:gridCol w:w="4076"/>
      </w:tblGrid>
      <w:tr>
        <w:tblPrEx>
          <w:tblCellMar>
            <w:top w:w="0" w:type="dxa"/>
            <w:left w:w="108" w:type="dxa"/>
            <w:bottom w:w="0" w:type="dxa"/>
            <w:right w:w="108" w:type="dxa"/>
          </w:tblCellMar>
        </w:tblPrEx>
        <w:tc>
          <w:tcPr>
            <w:tcW w:w="5418" w:type="dxa"/>
          </w:tcPr>
          <w:p>
            <w:pPr>
              <w:pStyle w:val="45"/>
              <w:spacing w:line="276" w:lineRule="auto"/>
              <w:ind w:firstLine="0" w:firstLineChars="0"/>
              <w:jc w:val="right"/>
              <w:rPr>
                <w:rFonts w:ascii="Times New Roman" w:hAnsi="Times New Roman"/>
                <w:szCs w:val="24"/>
              </w:rPr>
            </w:pPr>
            <w:r>
              <w:rPr>
                <w:rFonts w:ascii="Times New Roman" w:hAnsi="Times New Roman"/>
                <w:position w:val="-26"/>
              </w:rPr>
              <w:drawing>
                <wp:inline distT="0" distB="0" distL="114300" distR="114300">
                  <wp:extent cx="1581150" cy="400050"/>
                  <wp:effectExtent l="0" t="0" r="3810" b="0"/>
                  <wp:docPr id="193" name="图片 2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 name="图片 230"/>
                          <pic:cNvPicPr>
                            <a:picLocks noChangeAspect="true"/>
                          </pic:cNvPicPr>
                        </pic:nvPicPr>
                        <pic:blipFill>
                          <a:blip r:embed="rId403">
                            <a:clrChange>
                              <a:clrFrom>
                                <a:srgbClr val="FFFFFF"/>
                              </a:clrFrom>
                              <a:clrTo>
                                <a:srgbClr val="FFFFFF">
                                  <a:alpha val="0"/>
                                </a:srgbClr>
                              </a:clrTo>
                            </a:clrChange>
                          </a:blip>
                          <a:stretch>
                            <a:fillRect/>
                          </a:stretch>
                        </pic:blipFill>
                        <pic:spPr>
                          <a:xfrm>
                            <a:off x="0" y="0"/>
                            <a:ext cx="1581150" cy="400050"/>
                          </a:xfrm>
                          <a:prstGeom prst="rect">
                            <a:avLst/>
                          </a:prstGeom>
                          <a:noFill/>
                          <a:ln>
                            <a:noFill/>
                          </a:ln>
                        </pic:spPr>
                      </pic:pic>
                    </a:graphicData>
                  </a:graphic>
                </wp:inline>
              </w:drawing>
            </w:r>
          </w:p>
        </w:tc>
        <w:tc>
          <w:tcPr>
            <w:tcW w:w="4076" w:type="dxa"/>
          </w:tcPr>
          <w:p>
            <w:pPr>
              <w:pStyle w:val="45"/>
              <w:ind w:firstLine="0" w:firstLineChars="0"/>
              <w:jc w:val="right"/>
              <w:rPr>
                <w:rFonts w:ascii="Times New Roman" w:hAnsi="Times New Roman"/>
                <w:szCs w:val="24"/>
              </w:rPr>
            </w:pPr>
            <w:r>
              <w:rPr>
                <w:rFonts w:hint="eastAsia" w:ascii="Times New Roman" w:hAnsi="Times New Roman"/>
                <w:szCs w:val="24"/>
              </w:rPr>
              <w:t>(8.1.21-5)</w:t>
            </w:r>
          </w:p>
        </w:tc>
      </w:tr>
    </w:tbl>
    <w:p>
      <w:pPr>
        <w:widowControl w:val="0"/>
        <w:rPr>
          <w:rFonts w:ascii="Times New Roman" w:hAnsi="Times New Roman"/>
          <w:szCs w:val="24"/>
        </w:rPr>
      </w:pPr>
      <w:r>
        <w:rPr>
          <w:rFonts w:hint="eastAsia" w:ascii="Times New Roman" w:hAnsi="Times New Roman"/>
          <w:szCs w:val="24"/>
        </w:rPr>
        <w:t>注：本条适用于截面受拉区内纵向钢筋不少于3根的圆形截面的情况。</w:t>
      </w:r>
    </w:p>
    <w:p>
      <w:pPr>
        <w:widowControl w:val="0"/>
        <w:spacing w:line="480" w:lineRule="exact"/>
        <w:ind w:firstLine="480" w:firstLineChars="200"/>
        <w:rPr>
          <w:rFonts w:ascii="Times New Roman" w:hAnsi="Times New Roman"/>
          <w:szCs w:val="24"/>
        </w:rPr>
      </w:pPr>
      <w:r>
        <w:rPr>
          <w:rFonts w:ascii="Times New Roman" w:hAnsi="Times New Roman"/>
        </w:rPr>
        <w:t>3</w:t>
      </w:r>
      <w:r>
        <w:rPr>
          <w:rFonts w:hint="eastAsia" w:ascii="Times New Roman" w:hAnsi="Times New Roman"/>
        </w:rPr>
        <w:t xml:space="preserve"> </w:t>
      </w:r>
      <w:r>
        <w:rPr>
          <w:rFonts w:hint="eastAsia" w:ascii="Times New Roman" w:hAnsi="Times New Roman"/>
          <w:szCs w:val="24"/>
        </w:rPr>
        <w:t>沿圆形截面受拉区和受压区周边实际配置的均匀纵向钢筋的圆心角应分别取为</w:t>
      </w:r>
      <w:r>
        <w:rPr>
          <w:rFonts w:ascii="Times New Roman" w:hAnsi="Times New Roman"/>
          <w:position w:val="-24"/>
          <w:szCs w:val="24"/>
        </w:rPr>
        <w:drawing>
          <wp:inline distT="0" distB="0" distL="114300" distR="114300">
            <wp:extent cx="590550" cy="400050"/>
            <wp:effectExtent l="0" t="0" r="3810" b="0"/>
            <wp:docPr id="194" name="图片 2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 name="图片 231"/>
                    <pic:cNvPicPr>
                      <a:picLocks noChangeAspect="true"/>
                    </pic:cNvPicPr>
                  </pic:nvPicPr>
                  <pic:blipFill>
                    <a:blip r:embed="rId404">
                      <a:clrChange>
                        <a:clrFrom>
                          <a:srgbClr val="FFFFFF"/>
                        </a:clrFrom>
                        <a:clrTo>
                          <a:srgbClr val="FFFFFF">
                            <a:alpha val="0"/>
                          </a:srgbClr>
                        </a:clrTo>
                      </a:clrChange>
                    </a:blip>
                    <a:stretch>
                      <a:fillRect/>
                    </a:stretch>
                  </pic:blipFill>
                  <pic:spPr>
                    <a:xfrm>
                      <a:off x="0" y="0"/>
                      <a:ext cx="590550" cy="400050"/>
                    </a:xfrm>
                    <a:prstGeom prst="rect">
                      <a:avLst/>
                    </a:prstGeom>
                    <a:noFill/>
                    <a:ln>
                      <a:noFill/>
                    </a:ln>
                  </pic:spPr>
                </pic:pic>
              </a:graphicData>
            </a:graphic>
          </wp:inline>
        </w:drawing>
      </w:r>
      <w:r>
        <w:rPr>
          <w:rFonts w:hint="eastAsia" w:ascii="Times New Roman" w:hAnsi="Times New Roman"/>
          <w:szCs w:val="24"/>
        </w:rPr>
        <w:t>和</w:t>
      </w:r>
      <w:r>
        <w:rPr>
          <w:rFonts w:ascii="Times New Roman" w:hAnsi="Times New Roman"/>
          <w:position w:val="-24"/>
          <w:szCs w:val="24"/>
        </w:rPr>
        <w:drawing>
          <wp:inline distT="0" distB="0" distL="114300" distR="114300">
            <wp:extent cx="609600" cy="400050"/>
            <wp:effectExtent l="0" t="0" r="0" b="0"/>
            <wp:docPr id="80" name="图片 2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232"/>
                    <pic:cNvPicPr>
                      <a:picLocks noChangeAspect="true"/>
                    </pic:cNvPicPr>
                  </pic:nvPicPr>
                  <pic:blipFill>
                    <a:blip r:embed="rId405">
                      <a:clrChange>
                        <a:clrFrom>
                          <a:srgbClr val="FFFFFF"/>
                        </a:clrFrom>
                        <a:clrTo>
                          <a:srgbClr val="FFFFFF">
                            <a:alpha val="0"/>
                          </a:srgbClr>
                        </a:clrTo>
                      </a:clrChange>
                    </a:blip>
                    <a:stretch>
                      <a:fillRect/>
                    </a:stretch>
                  </pic:blipFill>
                  <pic:spPr>
                    <a:xfrm>
                      <a:off x="0" y="0"/>
                      <a:ext cx="609600" cy="400050"/>
                    </a:xfrm>
                    <a:prstGeom prst="rect">
                      <a:avLst/>
                    </a:prstGeom>
                    <a:noFill/>
                    <a:ln>
                      <a:noFill/>
                    </a:ln>
                  </pic:spPr>
                </pic:pic>
              </a:graphicData>
            </a:graphic>
          </wp:inline>
        </w:drawing>
      </w:r>
      <w:r>
        <w:rPr>
          <w:rFonts w:hint="eastAsia" w:ascii="Times New Roman" w:hAnsi="Times New Roman"/>
          <w:szCs w:val="24"/>
        </w:rPr>
        <w:t>，</w:t>
      </w:r>
      <w:r>
        <w:rPr>
          <w:rFonts w:ascii="Times New Roman" w:hAnsi="Times New Roman"/>
          <w:position w:val="-8"/>
          <w:szCs w:val="24"/>
        </w:rPr>
        <w:drawing>
          <wp:inline distT="0" distB="0" distL="114300" distR="114300">
            <wp:extent cx="76200" cy="200025"/>
            <wp:effectExtent l="0" t="0" r="0" b="0"/>
            <wp:docPr id="77" name="图片 2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233"/>
                    <pic:cNvPicPr>
                      <a:picLocks noChangeAspect="true"/>
                    </pic:cNvPicPr>
                  </pic:nvPicPr>
                  <pic:blipFill>
                    <a:blip r:embed="rId406">
                      <a:clrChange>
                        <a:clrFrom>
                          <a:srgbClr val="FFFFFF"/>
                        </a:clrFrom>
                        <a:clrTo>
                          <a:srgbClr val="FFFFFF">
                            <a:alpha val="0"/>
                          </a:srgbClr>
                        </a:clrTo>
                      </a:clrChange>
                    </a:blip>
                    <a:stretch>
                      <a:fillRect/>
                    </a:stretch>
                  </pic:blipFill>
                  <pic:spPr>
                    <a:xfrm>
                      <a:off x="0" y="0"/>
                      <a:ext cx="76200" cy="200025"/>
                    </a:xfrm>
                    <a:prstGeom prst="rect">
                      <a:avLst/>
                    </a:prstGeom>
                    <a:noFill/>
                    <a:ln>
                      <a:noFill/>
                    </a:ln>
                  </pic:spPr>
                </pic:pic>
              </a:graphicData>
            </a:graphic>
          </wp:inline>
        </w:drawing>
      </w:r>
      <w:r>
        <w:rPr>
          <w:rFonts w:hint="eastAsia" w:ascii="Times New Roman" w:hAnsi="Times New Roman"/>
          <w:szCs w:val="24"/>
        </w:rPr>
        <w:t>、</w:t>
      </w:r>
      <w:r>
        <w:rPr>
          <w:rFonts w:ascii="Times New Roman" w:hAnsi="Times New Roman"/>
          <w:position w:val="-8"/>
          <w:szCs w:val="24"/>
        </w:rPr>
        <w:drawing>
          <wp:inline distT="0" distB="0" distL="114300" distR="114300">
            <wp:extent cx="114300" cy="200025"/>
            <wp:effectExtent l="0" t="0" r="7620" b="0"/>
            <wp:docPr id="79" name="图片 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234"/>
                    <pic:cNvPicPr>
                      <a:picLocks noChangeAspect="true"/>
                    </pic:cNvPicPr>
                  </pic:nvPicPr>
                  <pic:blipFill>
                    <a:blip r:embed="rId407">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hint="eastAsia" w:ascii="Times New Roman" w:hAnsi="Times New Roman"/>
          <w:szCs w:val="24"/>
        </w:rPr>
        <w:t>为受拉区、受压区配置均匀纵向钢筋的根数。配置在圆形截面受拉区的纵向钢筋按全截面面积计算的最小配筋率不宜小于0.2%和</w:t>
      </w:r>
      <w:r>
        <w:rPr>
          <w:rFonts w:ascii="Times New Roman" w:hAnsi="Times New Roman"/>
          <w:position w:val="-9"/>
          <w:szCs w:val="24"/>
        </w:rPr>
        <w:drawing>
          <wp:inline distT="0" distB="0" distL="114300" distR="114300">
            <wp:extent cx="571500" cy="200025"/>
            <wp:effectExtent l="0" t="0" r="7620" b="13335"/>
            <wp:docPr id="78" name="图片 2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235"/>
                    <pic:cNvPicPr>
                      <a:picLocks noChangeAspect="true"/>
                    </pic:cNvPicPr>
                  </pic:nvPicPr>
                  <pic:blipFill>
                    <a:blip r:embed="rId408">
                      <a:clrChange>
                        <a:clrFrom>
                          <a:srgbClr val="FFFFFF"/>
                        </a:clrFrom>
                        <a:clrTo>
                          <a:srgbClr val="FFFFFF">
                            <a:alpha val="0"/>
                          </a:srgbClr>
                        </a:clrTo>
                      </a:clrChange>
                    </a:blip>
                    <a:stretch>
                      <a:fillRect/>
                    </a:stretch>
                  </pic:blipFill>
                  <pic:spPr>
                    <a:xfrm>
                      <a:off x="0" y="0"/>
                      <a:ext cx="571500" cy="200025"/>
                    </a:xfrm>
                    <a:prstGeom prst="rect">
                      <a:avLst/>
                    </a:prstGeom>
                    <a:noFill/>
                    <a:ln>
                      <a:noFill/>
                    </a:ln>
                  </pic:spPr>
                </pic:pic>
              </a:graphicData>
            </a:graphic>
          </wp:inline>
        </w:drawing>
      </w:r>
      <w:r>
        <w:rPr>
          <w:rFonts w:hint="eastAsia" w:ascii="Times New Roman" w:hAnsi="Times New Roman"/>
          <w:szCs w:val="24"/>
        </w:rPr>
        <w:t>中的较大者，此处，</w:t>
      </w:r>
      <w:r>
        <w:rPr>
          <w:rFonts w:ascii="Times New Roman" w:hAnsi="Times New Roman"/>
          <w:position w:val="-8"/>
          <w:szCs w:val="24"/>
        </w:rPr>
        <w:drawing>
          <wp:inline distT="0" distB="0" distL="114300" distR="114300">
            <wp:extent cx="95250" cy="200025"/>
            <wp:effectExtent l="0" t="0" r="11430" b="13970"/>
            <wp:docPr id="71" name="图片 2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236"/>
                    <pic:cNvPicPr>
                      <a:picLocks noChangeAspect="true"/>
                    </pic:cNvPicPr>
                  </pic:nvPicPr>
                  <pic:blipFill>
                    <a:blip r:embed="rId409">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hint="eastAsia" w:ascii="Times New Roman" w:hAnsi="Times New Roman"/>
          <w:szCs w:val="24"/>
        </w:rPr>
        <w:t>为混凝土轴心抗拉强度设计值。在不配置纵向受力钢筋的圆周范围内应设置周边纵向构造钢筋，纵向构造钢筋直径不应小于纵向受力钢筋直径的二分之一，且不应小于10mm；纵向构造钢筋的环向间距不应大于圆截面的半径和250mm两者的较小值，且不得少于1根。</w:t>
      </w:r>
    </w:p>
    <w:p>
      <w:pPr>
        <w:widowControl w:val="0"/>
        <w:spacing w:line="480" w:lineRule="exact"/>
        <w:rPr>
          <w:rFonts w:ascii="Times New Roman" w:hAnsi="Times New Roman"/>
        </w:rPr>
      </w:pPr>
      <w:r>
        <w:rPr>
          <w:rFonts w:hint="eastAsia" w:ascii="Times New Roman" w:hAnsi="Times New Roman"/>
          <w:b/>
          <w:szCs w:val="24"/>
        </w:rPr>
        <w:t>8.1.22</w:t>
      </w:r>
      <w:r>
        <w:rPr>
          <w:rFonts w:hint="eastAsia" w:ascii="Times New Roman" w:hAnsi="Times New Roman"/>
          <w:szCs w:val="24"/>
        </w:rPr>
        <w:t xml:space="preserve"> 混凝土桩的斜截面受剪</w:t>
      </w:r>
      <w:r>
        <w:rPr>
          <w:rFonts w:hint="eastAsia" w:ascii="Times New Roman" w:hAnsi="Times New Roman"/>
        </w:rPr>
        <w:t>承载力应按现行《混凝土结构设计规范》GB50010的规定计算，其剪力设计值应按</w:t>
      </w:r>
      <w:r>
        <w:rPr>
          <w:rFonts w:hint="eastAsia" w:ascii="Times New Roman" w:hAnsi="Times New Roman"/>
          <w:lang w:eastAsia="zh-CN"/>
        </w:rPr>
        <w:t>本标准</w:t>
      </w:r>
      <w:r>
        <w:rPr>
          <w:rFonts w:hint="eastAsia" w:ascii="Times New Roman" w:hAnsi="Times New Roman"/>
        </w:rPr>
        <w:t>第8.1.7条确定。</w:t>
      </w:r>
    </w:p>
    <w:p>
      <w:pPr>
        <w:widowControl w:val="0"/>
        <w:spacing w:line="480" w:lineRule="exact"/>
        <w:rPr>
          <w:rFonts w:ascii="Times New Roman" w:hAnsi="Times New Roman"/>
        </w:rPr>
      </w:pPr>
      <w:r>
        <w:rPr>
          <w:rFonts w:hint="eastAsia" w:ascii="Times New Roman" w:hAnsi="Times New Roman"/>
          <w:b/>
          <w:szCs w:val="24"/>
        </w:rPr>
        <w:t>8.1.23</w:t>
      </w:r>
      <w:r>
        <w:rPr>
          <w:rFonts w:hint="eastAsia" w:ascii="Times New Roman" w:hAnsi="Times New Roman"/>
        </w:rPr>
        <w:t>其他材料、截面形状的支护桩，其受弯、受剪承载力的计算应按国家现行的有关</w:t>
      </w:r>
      <w:r>
        <w:rPr>
          <w:rFonts w:hint="eastAsia" w:ascii="Times New Roman" w:hAnsi="Times New Roman"/>
          <w:lang w:val="en-US" w:eastAsia="zh-CN"/>
        </w:rPr>
        <w:t>规范</w:t>
      </w:r>
      <w:r>
        <w:rPr>
          <w:rFonts w:hint="eastAsia" w:ascii="Times New Roman" w:hAnsi="Times New Roman"/>
        </w:rPr>
        <w:t>的规定执行。</w:t>
      </w:r>
    </w:p>
    <w:p>
      <w:pPr>
        <w:bidi w:val="0"/>
        <w:jc w:val="center"/>
        <w:rPr>
          <w:b/>
          <w:bCs/>
          <w:sz w:val="28"/>
          <w:szCs w:val="24"/>
        </w:rPr>
      </w:pPr>
      <w:bookmarkStart w:id="479" w:name="_Toc17069"/>
      <w:bookmarkStart w:id="480" w:name="_Toc24217"/>
      <w:r>
        <w:rPr>
          <w:rFonts w:hint="eastAsia"/>
          <w:b/>
          <w:bCs/>
          <w:sz w:val="28"/>
          <w:szCs w:val="24"/>
        </w:rPr>
        <w:t>Ⅲ 构造要求</w:t>
      </w:r>
      <w:bookmarkEnd w:id="479"/>
      <w:bookmarkEnd w:id="480"/>
    </w:p>
    <w:p>
      <w:pPr>
        <w:keepNext w:val="0"/>
        <w:keepLines w:val="0"/>
        <w:pageBreakBefore w:val="0"/>
        <w:widowControl/>
        <w:kinsoku/>
        <w:wordWrap/>
        <w:overflowPunct/>
        <w:topLinePunct w:val="0"/>
        <w:autoSpaceDE/>
        <w:autoSpaceDN/>
        <w:bidi w:val="0"/>
        <w:adjustRightInd/>
        <w:snapToGrid/>
        <w:spacing w:line="480" w:lineRule="exact"/>
        <w:textAlignment w:val="auto"/>
        <w:rPr>
          <w:b/>
          <w:bCs/>
        </w:rPr>
      </w:pPr>
      <w:bookmarkStart w:id="481" w:name="_Toc27645"/>
      <w:bookmarkStart w:id="482" w:name="_Toc10185"/>
      <w:r>
        <w:rPr>
          <w:rFonts w:hint="eastAsia"/>
          <w:b/>
          <w:bCs/>
        </w:rPr>
        <w:t xml:space="preserve">8.1.24 </w:t>
      </w:r>
      <w:r>
        <w:rPr>
          <w:rFonts w:hint="eastAsia"/>
          <w:b w:val="0"/>
          <w:bCs w:val="0"/>
        </w:rPr>
        <w:t>钢筋混凝土排桩的构造应按下列原则选取：</w:t>
      </w:r>
      <w:bookmarkEnd w:id="481"/>
      <w:bookmarkEnd w:id="482"/>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1 桩的直径应根据基坑深度、土层性质、锚杆或支撑层数和施工场地条件等因素，按其承受的弯矩和剪力值确定。桩径不宜小于600</w:t>
      </w:r>
      <w:r>
        <w:rPr>
          <w:rFonts w:ascii="Times New Roman" w:hAnsi="Times New Roman"/>
          <w:szCs w:val="24"/>
        </w:rPr>
        <w:t>mm</w:t>
      </w:r>
      <w:r>
        <w:rPr>
          <w:rFonts w:hint="eastAsia" w:ascii="Times New Roman" w:hAnsi="Times New Roman"/>
          <w:szCs w:val="24"/>
        </w:rPr>
        <w:t>，并宜取50mm的模数；</w:t>
      </w:r>
    </w:p>
    <w:p>
      <w:pPr>
        <w:widowControl w:val="0"/>
        <w:tabs>
          <w:tab w:val="left" w:pos="5245"/>
          <w:tab w:val="left" w:pos="5812"/>
          <w:tab w:val="left" w:pos="6237"/>
        </w:tabs>
        <w:spacing w:line="480" w:lineRule="exact"/>
        <w:ind w:right="-58" w:rightChars="-24" w:firstLine="480" w:firstLineChars="200"/>
        <w:rPr>
          <w:rFonts w:ascii="Times New Roman" w:hAnsi="Times New Roman"/>
          <w:szCs w:val="24"/>
        </w:rPr>
      </w:pPr>
      <w:r>
        <w:rPr>
          <w:rFonts w:hint="eastAsia" w:ascii="Times New Roman" w:hAnsi="Times New Roman"/>
          <w:szCs w:val="24"/>
        </w:rPr>
        <w:t>2 排桩的中心距不宜大于桩直径的2.0倍；</w:t>
      </w:r>
    </w:p>
    <w:p>
      <w:pPr>
        <w:widowControl w:val="0"/>
        <w:tabs>
          <w:tab w:val="left" w:pos="5245"/>
          <w:tab w:val="left" w:pos="5812"/>
          <w:tab w:val="left" w:pos="6237"/>
        </w:tabs>
        <w:spacing w:line="480" w:lineRule="exact"/>
        <w:ind w:right="-58" w:rightChars="-24" w:firstLine="480" w:firstLineChars="200"/>
        <w:rPr>
          <w:rFonts w:ascii="Times New Roman" w:hAnsi="Times New Roman"/>
          <w:szCs w:val="24"/>
        </w:rPr>
      </w:pPr>
      <w:r>
        <w:rPr>
          <w:rFonts w:hint="eastAsia" w:ascii="Times New Roman" w:hAnsi="Times New Roman"/>
          <w:szCs w:val="24"/>
        </w:rPr>
        <w:t>3 桩的嵌固深度应满足</w:t>
      </w:r>
      <w:r>
        <w:rPr>
          <w:rFonts w:hint="eastAsia" w:ascii="Times New Roman" w:hAnsi="Times New Roman"/>
          <w:color w:val="auto"/>
          <w:szCs w:val="24"/>
        </w:rPr>
        <w:t>本</w:t>
      </w:r>
      <w:r>
        <w:rPr>
          <w:rFonts w:hint="eastAsia" w:ascii="Times New Roman" w:hAnsi="Times New Roman"/>
          <w:color w:val="auto"/>
          <w:szCs w:val="24"/>
          <w:lang w:val="en-US" w:eastAsia="zh-CN"/>
        </w:rPr>
        <w:t>标准</w:t>
      </w:r>
      <w:r>
        <w:rPr>
          <w:rFonts w:hint="eastAsia" w:ascii="Times New Roman" w:hAnsi="Times New Roman"/>
          <w:szCs w:val="24"/>
        </w:rPr>
        <w:t>第</w:t>
      </w:r>
      <w:r>
        <w:rPr>
          <w:rFonts w:hint="eastAsia" w:ascii="Times New Roman" w:hAnsi="Times New Roman"/>
          <w:szCs w:val="24"/>
          <w:lang w:val="en-US" w:eastAsia="zh-CN"/>
        </w:rPr>
        <w:t>6</w:t>
      </w:r>
      <w:r>
        <w:rPr>
          <w:rFonts w:hint="eastAsia" w:ascii="Times New Roman" w:hAnsi="Times New Roman"/>
          <w:szCs w:val="24"/>
        </w:rPr>
        <w:t>章的规定；</w:t>
      </w:r>
    </w:p>
    <w:p>
      <w:pPr>
        <w:widowControl w:val="0"/>
        <w:tabs>
          <w:tab w:val="left" w:pos="5245"/>
          <w:tab w:val="left" w:pos="5812"/>
          <w:tab w:val="left" w:pos="6237"/>
        </w:tabs>
        <w:spacing w:line="480" w:lineRule="exact"/>
        <w:ind w:right="-58" w:rightChars="-24" w:firstLine="480" w:firstLineChars="200"/>
        <w:rPr>
          <w:rFonts w:ascii="Times New Roman" w:hAnsi="Times New Roman"/>
          <w:szCs w:val="24"/>
        </w:rPr>
      </w:pPr>
      <w:r>
        <w:rPr>
          <w:rFonts w:hint="eastAsia" w:ascii="Times New Roman" w:hAnsi="Times New Roman"/>
          <w:szCs w:val="24"/>
        </w:rPr>
        <w:t>4 钢筋混凝土排桩纵向受力钢筋宜沿全截面均匀对称布置。并可按内力分布沿桩身分段配筋，纵向受力钢筋应有一半以上通长配置。</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8.1.25</w:t>
      </w:r>
      <w:r>
        <w:rPr>
          <w:rFonts w:hint="eastAsia" w:ascii="Times New Roman" w:hAnsi="Times New Roman"/>
          <w:szCs w:val="24"/>
        </w:rPr>
        <w:t xml:space="preserve"> </w:t>
      </w:r>
      <w:r>
        <w:rPr>
          <w:rFonts w:hint="eastAsia" w:ascii="Times New Roman" w:hAnsi="Times New Roman"/>
          <w:color w:val="auto"/>
          <w:szCs w:val="24"/>
        </w:rPr>
        <w:t>钢筋混凝土排桩的</w:t>
      </w:r>
      <w:r>
        <w:rPr>
          <w:rFonts w:hint="eastAsia" w:ascii="Times New Roman" w:hAnsi="Times New Roman"/>
          <w:szCs w:val="24"/>
        </w:rPr>
        <w:t>配筋、桩身混凝土强度等级和钢筋保护层厚度应符合下列规定：</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1 排桩的纵向受力钢筋宜选用HRB400，HRB500级钢筋，根数不宜少于8根，净间距不应小于60</w:t>
      </w:r>
      <w:r>
        <w:rPr>
          <w:rFonts w:ascii="Times New Roman" w:hAnsi="Times New Roman"/>
          <w:szCs w:val="24"/>
        </w:rPr>
        <w:t>mm</w:t>
      </w:r>
      <w:r>
        <w:rPr>
          <w:rFonts w:hint="eastAsia" w:ascii="Times New Roman" w:hAnsi="Times New Roman"/>
          <w:szCs w:val="24"/>
        </w:rPr>
        <w:t>；排桩顶部设置钢筋混凝土构造冠梁时，纵向钢筋锚入冠梁的长度宜取冠梁高度；冠梁按结构受力构件设置时，桩身纵向受力钢筋伸入冠梁的锚固长度应符合现行《混凝土结构设计规范》GB50010对钢筋锚固的有关规定；</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2 箍筋宜选用HPB300、HRB400级钢筋，宜采用螺旋式箍筋，箍筋直径不宜小于6mm，间距宜取150～300mm，对桩身剪力较大的部位，尚应符合</w:t>
      </w:r>
      <w:r>
        <w:rPr>
          <w:rFonts w:hint="eastAsia" w:ascii="Times New Roman" w:hAnsi="Times New Roman"/>
          <w:szCs w:val="24"/>
          <w:lang w:eastAsia="zh-CN"/>
        </w:rPr>
        <w:t>本标准</w:t>
      </w:r>
      <w:r>
        <w:rPr>
          <w:rFonts w:hint="eastAsia" w:ascii="Times New Roman" w:hAnsi="Times New Roman"/>
          <w:szCs w:val="24"/>
        </w:rPr>
        <w:t>第8.1.7条受剪承载力的要求；</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3 沿桩身配置的加劲箍应满足钢筋笼起吊安装要求，加强筋宜选用HPB300, HRB400, HRB500级钢筋，加强筋直径不宜小于16mm，间距宜取1000～2000mm；</w:t>
      </w:r>
    </w:p>
    <w:p>
      <w:pPr>
        <w:widowControl w:val="0"/>
        <w:tabs>
          <w:tab w:val="left" w:pos="5245"/>
          <w:tab w:val="left" w:pos="5812"/>
          <w:tab w:val="left" w:pos="6237"/>
        </w:tabs>
        <w:spacing w:line="480" w:lineRule="exact"/>
        <w:ind w:right="-58" w:rightChars="-24" w:firstLine="480" w:firstLineChars="200"/>
        <w:rPr>
          <w:rFonts w:hint="eastAsia" w:ascii="Times New Roman" w:hAnsi="Times New Roman"/>
          <w:szCs w:val="24"/>
        </w:rPr>
      </w:pPr>
      <w:bookmarkStart w:id="483" w:name="_Toc6767"/>
      <w:bookmarkStart w:id="484" w:name="_Toc20744"/>
      <w:r>
        <w:rPr>
          <w:rFonts w:hint="eastAsia" w:ascii="Times New Roman" w:hAnsi="Times New Roman"/>
          <w:szCs w:val="24"/>
        </w:rPr>
        <w:t>4 桩身棍凝土强度等级不应低于C25；</w:t>
      </w:r>
      <w:bookmarkEnd w:id="483"/>
      <w:bookmarkEnd w:id="484"/>
    </w:p>
    <w:p>
      <w:pPr>
        <w:widowControl w:val="0"/>
        <w:tabs>
          <w:tab w:val="left" w:pos="426"/>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5 纵向受力钢筋的保护层厚度不应小于35mm；采用水下灌注混凝土工艺时，不应小于50mm；</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szCs w:val="24"/>
        </w:rPr>
        <w:t xml:space="preserve">    6 当沿桩身分段配置纵向受力主筋时，分段配置的纵向钢筋的锚固长度应符合现行《混凝土结构设计规范》GB50010的相关规定。</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 xml:space="preserve">8.1.26 </w:t>
      </w:r>
      <w:r>
        <w:rPr>
          <w:rFonts w:hint="eastAsia" w:ascii="Times New Roman" w:hAnsi="Times New Roman"/>
          <w:szCs w:val="24"/>
        </w:rPr>
        <w:t>排桩顶部应设置冠梁。混凝土冠梁的宽度不宜小于桩径，高度不宜小于桩径的0.6倍，混凝土强度等级不宜低于桩身混凝土的强度等级。冠梁钢筋应符合构造配筋要求。冠梁作为支撑或锚杆的传力构件或按空间结构设计时，尚应按受弯梁进行截面设计。冠梁纵向钢筋的保护层厚度应符合现行国家标准《混凝土结构设计规范》GB 50010的有关规定。</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 xml:space="preserve">8.1.27 </w:t>
      </w:r>
      <w:r>
        <w:rPr>
          <w:rFonts w:hint="eastAsia" w:ascii="Times New Roman" w:hAnsi="Times New Roman"/>
          <w:szCs w:val="24"/>
        </w:rPr>
        <w:t>冠梁顶面标高不宜高于主体建筑供水、排水、供热、电力、通信等地下管线与支护结构相交处的管线底面。排桩桩顶低于自然地面时，排桩顶面以上的支护应符合</w:t>
      </w:r>
      <w:r>
        <w:rPr>
          <w:rFonts w:hint="eastAsia" w:ascii="Times New Roman" w:hAnsi="Times New Roman"/>
          <w:szCs w:val="24"/>
          <w:lang w:eastAsia="zh-CN"/>
        </w:rPr>
        <w:t>本标准</w:t>
      </w:r>
      <w:r>
        <w:rPr>
          <w:rFonts w:hint="eastAsia" w:ascii="Times New Roman" w:hAnsi="Times New Roman"/>
          <w:szCs w:val="24"/>
        </w:rPr>
        <w:t>对相应支护结构形式的有关规定。</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 xml:space="preserve">8.1.28 </w:t>
      </w:r>
      <w:r>
        <w:rPr>
          <w:rFonts w:hint="eastAsia" w:ascii="Times New Roman" w:hAnsi="Times New Roman"/>
          <w:szCs w:val="24"/>
        </w:rPr>
        <w:t>排桩结构应对桩间土采取防护措施。采用内置钢筋网或钢丝网的喷射混凝土护面时：喷射混凝土面层厚度不宜小于80</w:t>
      </w:r>
      <w:r>
        <w:rPr>
          <w:rFonts w:ascii="Times New Roman" w:hAnsi="Times New Roman"/>
          <w:szCs w:val="24"/>
        </w:rPr>
        <w:t>mm</w:t>
      </w:r>
      <w:r>
        <w:rPr>
          <w:rFonts w:hint="eastAsia" w:ascii="Times New Roman" w:hAnsi="Times New Roman"/>
          <w:szCs w:val="24"/>
        </w:rPr>
        <w:t>，混凝土强度等级不宜小于C20；混凝土面层内配置的钢筋网的纵横向何距不宜大于200mm；钢筋网应配置横向拉筋，拉筋直径不宜小于12mm，拉筋可采用植筋或膨胀螺栓与桩身连接，钢筋网宜采用桩间土内打入直径不小于12mm的钢筋钉固定，钢筋钉打入桩间土中的长度不应小于排桩净间距的1.5倍且不应小于500mm。</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 xml:space="preserve">8.1.29 </w:t>
      </w:r>
      <w:r>
        <w:rPr>
          <w:rFonts w:hint="eastAsia" w:ascii="Times New Roman" w:hAnsi="Times New Roman"/>
          <w:szCs w:val="24"/>
        </w:rPr>
        <w:t>双排桩排距宜取</w:t>
      </w:r>
      <w:r>
        <w:rPr>
          <w:rFonts w:hint="eastAsia" w:ascii="Times New Roman" w:hAnsi="Times New Roman"/>
          <w:szCs w:val="24"/>
          <w:lang w:val="en-US" w:eastAsia="zh-CN"/>
        </w:rPr>
        <w:t>2d~5d</w:t>
      </w:r>
      <w:r>
        <w:rPr>
          <w:rFonts w:hint="eastAsia" w:ascii="Times New Roman" w:hAnsi="Times New Roman"/>
          <w:szCs w:val="24"/>
        </w:rPr>
        <w:t>，连梁的宽度不应小于</w:t>
      </w:r>
      <w:r>
        <w:rPr>
          <w:rFonts w:hint="eastAsia" w:ascii="Times New Roman" w:hAnsi="Times New Roman"/>
          <w:szCs w:val="24"/>
          <w:lang w:val="en-US" w:eastAsia="zh-CN"/>
        </w:rPr>
        <w:t>d</w:t>
      </w:r>
      <w:r>
        <w:rPr>
          <w:rFonts w:hint="eastAsia" w:ascii="Times New Roman" w:hAnsi="Times New Roman"/>
          <w:szCs w:val="24"/>
        </w:rPr>
        <w:t>，高度不宜小于</w:t>
      </w:r>
      <w:r>
        <w:rPr>
          <w:rFonts w:hint="eastAsia" w:ascii="Times New Roman" w:hAnsi="Times New Roman"/>
          <w:szCs w:val="24"/>
          <w:lang w:val="en-US" w:eastAsia="zh-CN"/>
        </w:rPr>
        <w:t>0.8d</w:t>
      </w:r>
      <w:r>
        <w:rPr>
          <w:rFonts w:hint="eastAsia" w:ascii="Times New Roman" w:hAnsi="Times New Roman"/>
          <w:szCs w:val="24"/>
        </w:rPr>
        <w:t>，且不应小于600mm，连梁高度与双排桩排距的比值宜取1/6～1/3。</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 xml:space="preserve">8.1.30 </w:t>
      </w:r>
      <w:r>
        <w:rPr>
          <w:rFonts w:hint="eastAsia" w:ascii="Times New Roman" w:hAnsi="Times New Roman"/>
          <w:szCs w:val="24"/>
        </w:rPr>
        <w:t>双排桩结构的嵌固深度对一般黏性土、砂土，不宜小于0.</w:t>
      </w:r>
      <w:r>
        <w:rPr>
          <w:rFonts w:ascii="Times New Roman" w:hAnsi="Times New Roman"/>
          <w:szCs w:val="24"/>
        </w:rPr>
        <w:t>6</w:t>
      </w:r>
      <w:r>
        <w:rPr>
          <w:rFonts w:hint="eastAsia" w:ascii="Times New Roman" w:hAnsi="Times New Roman"/>
          <w:i/>
          <w:iCs/>
          <w:szCs w:val="24"/>
          <w:lang w:val="en-US" w:eastAsia="zh-CN"/>
        </w:rPr>
        <w:t>h</w:t>
      </w:r>
      <w:r>
        <w:rPr>
          <w:rFonts w:hint="eastAsia" w:ascii="Times New Roman" w:hAnsi="Times New Roman"/>
          <w:szCs w:val="24"/>
        </w:rPr>
        <w:t>(</w:t>
      </w:r>
      <w:r>
        <w:rPr>
          <w:rFonts w:hint="eastAsia" w:ascii="Times New Roman" w:hAnsi="Times New Roman"/>
          <w:i/>
          <w:iCs/>
          <w:szCs w:val="24"/>
          <w:lang w:val="en-US" w:eastAsia="zh-CN"/>
        </w:rPr>
        <w:t>h</w:t>
      </w:r>
      <w:r>
        <w:rPr>
          <w:rFonts w:hint="eastAsia" w:ascii="Times New Roman" w:hAnsi="Times New Roman"/>
          <w:szCs w:val="24"/>
        </w:rPr>
        <w:t>为基坑深度)。前排桩桩端宜处于桩端阻力高的土层，采用泥浆护壁灌注桩时，施工时的孔底沉渣厚度不应大于50mm，或应采用桩底后注浆加固沉渣。双排桩的排间土为软土、松散砂层，宜对排间土体进行加固。</w:t>
      </w:r>
    </w:p>
    <w:p>
      <w:pPr>
        <w:widowControl w:val="0"/>
        <w:tabs>
          <w:tab w:val="left" w:pos="5245"/>
          <w:tab w:val="left" w:pos="5812"/>
          <w:tab w:val="left" w:pos="6237"/>
        </w:tabs>
        <w:spacing w:line="480" w:lineRule="exact"/>
        <w:ind w:right="-58" w:rightChars="-24"/>
        <w:rPr>
          <w:rFonts w:ascii="Times New Roman" w:hAnsi="Times New Roman"/>
          <w:szCs w:val="24"/>
        </w:rPr>
      </w:pPr>
      <w:r>
        <w:rPr>
          <w:rFonts w:hint="eastAsia" w:ascii="Times New Roman" w:hAnsi="Times New Roman"/>
          <w:b/>
          <w:szCs w:val="24"/>
        </w:rPr>
        <w:t xml:space="preserve">8.1.31 </w:t>
      </w:r>
      <w:r>
        <w:rPr>
          <w:rFonts w:hint="eastAsia" w:ascii="Times New Roman" w:hAnsi="Times New Roman"/>
          <w:szCs w:val="24"/>
        </w:rPr>
        <w:t>双排桩应按偏心受压、偏心受拉构件进行截面承载力计算，连梁应根据其跨高比按普通受弯构件或深受弯构件进行截面承载力计算。双排桩结构的截面承载力和构造应符合现行国家标准《混凝土结构设计规范》GB 50010的有关规定。</w:t>
      </w:r>
    </w:p>
    <w:p>
      <w:pPr>
        <w:widowControl w:val="0"/>
        <w:spacing w:line="480" w:lineRule="exact"/>
        <w:rPr>
          <w:rFonts w:ascii="Times New Roman" w:hAnsi="Times New Roman"/>
          <w:szCs w:val="24"/>
        </w:rPr>
      </w:pPr>
      <w:r>
        <w:rPr>
          <w:rFonts w:hint="eastAsia" w:ascii="Times New Roman" w:hAnsi="Times New Roman"/>
          <w:b/>
          <w:szCs w:val="24"/>
        </w:rPr>
        <w:t xml:space="preserve">8.1.32 </w:t>
      </w:r>
      <w:r>
        <w:rPr>
          <w:rFonts w:hint="eastAsia" w:ascii="Times New Roman" w:hAnsi="Times New Roman"/>
          <w:szCs w:val="24"/>
        </w:rPr>
        <w:t>双排桩与连梁节点处，桩与连梁受拉钢筋的搭接长度不应小于</w:t>
      </w:r>
      <w:r>
        <w:rPr>
          <w:rFonts w:ascii="Times New Roman" w:hAnsi="Times New Roman"/>
          <w:position w:val="-8"/>
          <w:szCs w:val="24"/>
        </w:rPr>
        <w:drawing>
          <wp:inline distT="0" distB="0" distL="114300" distR="114300">
            <wp:extent cx="276225" cy="200025"/>
            <wp:effectExtent l="0" t="0" r="13335" b="13335"/>
            <wp:docPr id="67" name="图片 2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243"/>
                    <pic:cNvPicPr>
                      <a:picLocks noChangeAspect="true"/>
                    </pic:cNvPicPr>
                  </pic:nvPicPr>
                  <pic:blipFill>
                    <a:blip r:embed="rId410">
                      <a:clrChange>
                        <a:clrFrom>
                          <a:srgbClr val="FFFFFF"/>
                        </a:clrFrom>
                        <a:clrTo>
                          <a:srgbClr val="FFFFFF">
                            <a:alpha val="0"/>
                          </a:srgbClr>
                        </a:clrTo>
                      </a:clrChange>
                    </a:blip>
                    <a:stretch>
                      <a:fillRect/>
                    </a:stretch>
                  </pic:blipFill>
                  <pic:spPr>
                    <a:xfrm>
                      <a:off x="0" y="0"/>
                      <a:ext cx="276225" cy="200025"/>
                    </a:xfrm>
                    <a:prstGeom prst="rect">
                      <a:avLst/>
                    </a:prstGeom>
                    <a:noFill/>
                    <a:ln>
                      <a:noFill/>
                    </a:ln>
                  </pic:spPr>
                </pic:pic>
              </a:graphicData>
            </a:graphic>
          </wp:inline>
        </w:drawing>
      </w:r>
      <w:r>
        <w:rPr>
          <w:rFonts w:ascii="Times New Roman" w:hAnsi="Times New Roman"/>
          <w:szCs w:val="24"/>
        </w:rPr>
        <w:t xml:space="preserve"> (</w:t>
      </w:r>
      <w:r>
        <w:rPr>
          <w:rFonts w:ascii="Times New Roman" w:hAnsi="Times New Roman"/>
          <w:position w:val="-8"/>
          <w:szCs w:val="24"/>
        </w:rPr>
        <w:drawing>
          <wp:inline distT="0" distB="0" distL="114300" distR="114300">
            <wp:extent cx="114300" cy="200025"/>
            <wp:effectExtent l="0" t="0" r="7620" b="13970"/>
            <wp:docPr id="74" name="图片 2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244"/>
                    <pic:cNvPicPr>
                      <a:picLocks noChangeAspect="true"/>
                    </pic:cNvPicPr>
                  </pic:nvPicPr>
                  <pic:blipFill>
                    <a:blip r:embed="rId411">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hint="eastAsia" w:ascii="Times New Roman" w:hAnsi="Times New Roman"/>
          <w:szCs w:val="24"/>
        </w:rPr>
        <w:t>为受拉钢筋的锚固长度)。双排桩后排桩桩顶配筋需加强。其节点构造尚应符合现行国家标准《混凝土结构设计规范》GB50010对框架顶层端节点的有关规定。</w:t>
      </w:r>
    </w:p>
    <w:p>
      <w:pPr>
        <w:widowControl w:val="0"/>
        <w:spacing w:line="480" w:lineRule="exact"/>
        <w:rPr>
          <w:rFonts w:ascii="Times New Roman" w:hAnsi="Times New Roman"/>
          <w:szCs w:val="24"/>
        </w:rPr>
      </w:pPr>
      <w:r>
        <w:rPr>
          <w:rFonts w:hint="eastAsia" w:ascii="Times New Roman" w:hAnsi="Times New Roman"/>
          <w:b/>
          <w:szCs w:val="24"/>
        </w:rPr>
        <w:t xml:space="preserve">8.1.33 </w:t>
      </w:r>
      <w:r>
        <w:rPr>
          <w:rFonts w:hint="eastAsia" w:ascii="Times New Roman" w:hAnsi="Times New Roman"/>
          <w:szCs w:val="24"/>
        </w:rPr>
        <w:t>对需要隔水的基坑，采用钢筋混凝土排桩支护时，宜先施工隔水帷幕后施工钢筋砼排桩。</w:t>
      </w:r>
    </w:p>
    <w:p>
      <w:pPr>
        <w:keepNext w:val="0"/>
        <w:keepLines w:val="0"/>
        <w:pageBreakBefore w:val="0"/>
        <w:widowControl/>
        <w:kinsoku/>
        <w:wordWrap/>
        <w:overflowPunct/>
        <w:topLinePunct w:val="0"/>
        <w:autoSpaceDE/>
        <w:autoSpaceDN/>
        <w:bidi w:val="0"/>
        <w:adjustRightInd/>
        <w:snapToGrid/>
        <w:spacing w:line="480" w:lineRule="exact"/>
        <w:textAlignment w:val="auto"/>
      </w:pPr>
      <w:bookmarkStart w:id="485" w:name="_Toc28463"/>
      <w:bookmarkStart w:id="486" w:name="_Toc32254"/>
      <w:r>
        <w:rPr>
          <w:rFonts w:hint="eastAsia"/>
          <w:b/>
          <w:bCs/>
        </w:rPr>
        <w:t>8.1.34</w:t>
      </w:r>
      <w:r>
        <w:rPr>
          <w:rFonts w:hint="eastAsia"/>
        </w:rPr>
        <w:t xml:space="preserve"> 灌注桩排桩与帷幕围护墙尚应符合下列规定：</w:t>
      </w:r>
      <w:bookmarkEnd w:id="485"/>
      <w:bookmarkEnd w:id="486"/>
    </w:p>
    <w:p>
      <w:pPr>
        <w:widowControl w:val="0"/>
        <w:spacing w:line="480" w:lineRule="exact"/>
        <w:rPr>
          <w:rFonts w:ascii="Times New Roman" w:hAnsi="Times New Roman"/>
          <w:szCs w:val="24"/>
        </w:rPr>
      </w:pPr>
      <w:r>
        <w:rPr>
          <w:rFonts w:hint="eastAsia" w:ascii="Times New Roman" w:hAnsi="Times New Roman"/>
          <w:szCs w:val="24"/>
        </w:rPr>
        <w:t xml:space="preserve">    1 隔水帷幕与排桩之间的净距不宜小于200mm；</w:t>
      </w:r>
    </w:p>
    <w:p>
      <w:pPr>
        <w:widowControl w:val="0"/>
        <w:spacing w:line="480" w:lineRule="exact"/>
        <w:rPr>
          <w:rFonts w:ascii="Times New Roman" w:hAnsi="Times New Roman"/>
          <w:szCs w:val="24"/>
        </w:rPr>
      </w:pPr>
      <w:r>
        <w:rPr>
          <w:rFonts w:hint="eastAsia" w:ascii="Times New Roman" w:hAnsi="Times New Roman"/>
          <w:szCs w:val="24"/>
        </w:rPr>
        <w:t xml:space="preserve">    2 排桩与隔水帷幕采用套打式布置时，排桩外侧隔水帷幕的净厚度应满足隔水要求，且不宜小于500mm；</w:t>
      </w:r>
    </w:p>
    <w:p>
      <w:pPr>
        <w:widowControl w:val="0"/>
        <w:spacing w:line="480" w:lineRule="exact"/>
        <w:rPr>
          <w:rFonts w:ascii="Times New Roman" w:hAnsi="Times New Roman"/>
          <w:szCs w:val="24"/>
        </w:rPr>
      </w:pPr>
      <w:r>
        <w:rPr>
          <w:rFonts w:hint="eastAsia" w:ascii="Times New Roman" w:hAnsi="Times New Roman"/>
          <w:szCs w:val="24"/>
        </w:rPr>
        <w:t xml:space="preserve">    3在粉性土及砂土中，当环境保护要求较高时，宜在排桩与隔水帷幕之间采取注浆等措施。</w:t>
      </w:r>
    </w:p>
    <w:p>
      <w:pPr>
        <w:bidi w:val="0"/>
        <w:jc w:val="center"/>
        <w:rPr>
          <w:b/>
          <w:bCs/>
          <w:sz w:val="28"/>
          <w:szCs w:val="24"/>
        </w:rPr>
      </w:pPr>
      <w:r>
        <w:rPr>
          <w:rFonts w:hint="eastAsia"/>
          <w:b/>
          <w:bCs/>
          <w:sz w:val="28"/>
          <w:szCs w:val="24"/>
        </w:rPr>
        <w:t>Ⅳ  施工与检测</w:t>
      </w:r>
    </w:p>
    <w:p>
      <w:pPr>
        <w:widowControl w:val="0"/>
        <w:spacing w:line="480" w:lineRule="exact"/>
        <w:rPr>
          <w:rFonts w:ascii="Times New Roman" w:hAnsi="Times New Roman"/>
          <w:szCs w:val="24"/>
        </w:rPr>
      </w:pPr>
      <w:r>
        <w:rPr>
          <w:rFonts w:hint="eastAsia" w:ascii="Times New Roman" w:hAnsi="Times New Roman"/>
          <w:b/>
          <w:szCs w:val="24"/>
        </w:rPr>
        <w:t>8.1.35</w:t>
      </w:r>
      <w:r>
        <w:rPr>
          <w:rFonts w:hint="eastAsia" w:ascii="Times New Roman" w:hAnsi="Times New Roman"/>
          <w:szCs w:val="24"/>
        </w:rPr>
        <w:t xml:space="preserve"> 排桩应按现行标准《建筑桩基技术规范》JGJ94、《</w:t>
      </w:r>
      <w:r>
        <w:rPr>
          <w:rFonts w:ascii="Times New Roman" w:hAnsi="Times New Roman"/>
          <w:szCs w:val="24"/>
        </w:rPr>
        <w:t>建筑基桩检测技术规范</w:t>
      </w:r>
      <w:r>
        <w:rPr>
          <w:rFonts w:hint="eastAsia" w:ascii="Times New Roman" w:hAnsi="Times New Roman"/>
          <w:szCs w:val="24"/>
        </w:rPr>
        <w:t>》</w:t>
      </w:r>
      <w:r>
        <w:rPr>
          <w:rFonts w:ascii="Times New Roman" w:hAnsi="Times New Roman"/>
          <w:szCs w:val="24"/>
        </w:rPr>
        <w:t>JGJ106</w:t>
      </w:r>
      <w:r>
        <w:rPr>
          <w:rFonts w:hint="eastAsia" w:ascii="Times New Roman" w:hAnsi="Times New Roman"/>
          <w:szCs w:val="24"/>
        </w:rPr>
        <w:t>、</w:t>
      </w:r>
      <w:r>
        <w:rPr>
          <w:rFonts w:hint="eastAsia" w:ascii="Times New Roman" w:hAnsi="Times New Roman"/>
          <w:color w:val="auto"/>
        </w:rPr>
        <w:t>《预应力混凝土管桩技术标准》JGJ/T406、《预应力混凝土预制桩技术标准》T/SXCAS013</w:t>
      </w:r>
      <w:r>
        <w:rPr>
          <w:rFonts w:hint="eastAsia" w:ascii="Times New Roman" w:hAnsi="Times New Roman"/>
          <w:color w:val="0000FF"/>
        </w:rPr>
        <w:t>等</w:t>
      </w:r>
      <w:r>
        <w:rPr>
          <w:rFonts w:hint="eastAsia" w:ascii="Times New Roman" w:hAnsi="Times New Roman"/>
          <w:szCs w:val="24"/>
        </w:rPr>
        <w:t>有关施工规定进行施工及检测。</w:t>
      </w:r>
    </w:p>
    <w:p>
      <w:pPr>
        <w:widowControl w:val="0"/>
        <w:spacing w:line="480" w:lineRule="exact"/>
        <w:rPr>
          <w:rFonts w:ascii="Times New Roman" w:hAnsi="Times New Roman"/>
          <w:szCs w:val="24"/>
        </w:rPr>
      </w:pPr>
      <w:r>
        <w:rPr>
          <w:rFonts w:hint="eastAsia" w:ascii="Times New Roman" w:hAnsi="Times New Roman"/>
          <w:b/>
          <w:szCs w:val="24"/>
        </w:rPr>
        <w:t>8.1.36</w:t>
      </w:r>
      <w:r>
        <w:rPr>
          <w:rFonts w:hint="eastAsia" w:ascii="Times New Roman" w:hAnsi="Times New Roman"/>
          <w:szCs w:val="24"/>
        </w:rPr>
        <w:t xml:space="preserve"> 当排桩桩位附近存在既有地下管线、地下构筑物时，应根据其位置、类型、材料特性、使用状况等采取防护措施，不得对其造成损害。并按其变形控制的要求采取下列相应的防护措施：</w:t>
      </w:r>
    </w:p>
    <w:p>
      <w:pPr>
        <w:widowControl w:val="0"/>
        <w:spacing w:line="480" w:lineRule="exact"/>
        <w:rPr>
          <w:rFonts w:ascii="Times New Roman" w:hAnsi="Times New Roman"/>
          <w:szCs w:val="24"/>
        </w:rPr>
      </w:pPr>
      <w:r>
        <w:rPr>
          <w:rFonts w:hint="eastAsia" w:ascii="Times New Roman" w:hAnsi="Times New Roman"/>
          <w:szCs w:val="24"/>
        </w:rPr>
        <w:t xml:space="preserve">    1宜采取间隔成桩的施工顺序；对混凝土灌注桩，应在混凝土浇筑36</w:t>
      </w:r>
      <w:r>
        <w:rPr>
          <w:rFonts w:ascii="Times New Roman" w:hAnsi="Times New Roman"/>
          <w:szCs w:val="24"/>
        </w:rPr>
        <w:t>h</w:t>
      </w:r>
      <w:r>
        <w:rPr>
          <w:rFonts w:hint="eastAsia" w:ascii="Times New Roman" w:hAnsi="Times New Roman"/>
          <w:szCs w:val="24"/>
        </w:rPr>
        <w:t>后，方可进行相邻桩的成孔施工；相邻桩的成孔安全距离不应小于4倍桩径；</w:t>
      </w:r>
    </w:p>
    <w:p>
      <w:pPr>
        <w:widowControl w:val="0"/>
        <w:spacing w:line="480" w:lineRule="exact"/>
        <w:ind w:firstLine="420"/>
        <w:rPr>
          <w:rFonts w:ascii="Times New Roman" w:hAnsi="Times New Roman"/>
          <w:szCs w:val="24"/>
        </w:rPr>
      </w:pPr>
      <w:r>
        <w:rPr>
          <w:rFonts w:hint="eastAsia" w:ascii="Times New Roman" w:hAnsi="Times New Roman"/>
          <w:szCs w:val="24"/>
        </w:rPr>
        <w:t>2 对松散或稍密的砂土、稍密的粉土、软土等软弱土层，钻孔灌注桩应采取改善泥浆性能等措施；</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钢筋</w:t>
      </w:r>
      <w:r>
        <w:rPr>
          <w:rFonts w:hint="eastAsia" w:ascii="Times New Roman" w:hAnsi="Times New Roman"/>
          <w:color w:val="auto"/>
          <w:szCs w:val="24"/>
        </w:rPr>
        <w:t>混凝土</w:t>
      </w:r>
      <w:r>
        <w:rPr>
          <w:rFonts w:hint="eastAsia" w:ascii="Times New Roman" w:hAnsi="Times New Roman"/>
          <w:szCs w:val="24"/>
        </w:rPr>
        <w:t>排桩成孔过程出现流砂、流土等塌孔情况时，应暂停成孔施工并及时采取针对性的措施进行处理，防止继续塌孔；</w:t>
      </w:r>
    </w:p>
    <w:p>
      <w:pPr>
        <w:widowControl w:val="0"/>
        <w:spacing w:line="480" w:lineRule="exact"/>
        <w:ind w:firstLine="480"/>
        <w:rPr>
          <w:rFonts w:ascii="Times New Roman" w:hAnsi="Times New Roman"/>
          <w:szCs w:val="24"/>
        </w:rPr>
      </w:pPr>
      <w:r>
        <w:rPr>
          <w:rFonts w:hint="eastAsia" w:ascii="Times New Roman" w:hAnsi="Times New Roman"/>
          <w:szCs w:val="24"/>
        </w:rPr>
        <w:t>4当成孔过程中遇到不明障碍物时，应查明其性质，且在不会危害周边环境的情况下方可继续施工。</w:t>
      </w:r>
    </w:p>
    <w:p>
      <w:pPr>
        <w:widowControl w:val="0"/>
        <w:spacing w:line="480" w:lineRule="exact"/>
        <w:ind w:firstLine="480"/>
        <w:rPr>
          <w:rFonts w:ascii="Times New Roman" w:hAnsi="Times New Roman"/>
          <w:szCs w:val="24"/>
        </w:rPr>
      </w:pPr>
    </w:p>
    <w:p>
      <w:pPr>
        <w:pStyle w:val="3"/>
      </w:pPr>
      <w:bookmarkStart w:id="487" w:name="_Toc8830"/>
      <w:bookmarkStart w:id="488" w:name="_Toc31864"/>
      <w:bookmarkStart w:id="489" w:name="_Toc11043"/>
      <w:r>
        <w:rPr>
          <w:rFonts w:hint="eastAsia"/>
        </w:rPr>
        <w:t>8.2  钢板桩</w:t>
      </w:r>
      <w:bookmarkEnd w:id="487"/>
      <w:bookmarkEnd w:id="488"/>
    </w:p>
    <w:p>
      <w:pPr>
        <w:jc w:val="center"/>
        <w:rPr>
          <w:b/>
          <w:bCs/>
          <w:sz w:val="28"/>
          <w:szCs w:val="24"/>
        </w:rPr>
      </w:pPr>
      <w:bookmarkStart w:id="490" w:name="_Toc3607"/>
      <w:bookmarkStart w:id="491" w:name="_Toc12934"/>
      <w:r>
        <w:rPr>
          <w:rFonts w:hint="eastAsia"/>
          <w:b/>
          <w:bCs/>
          <w:sz w:val="28"/>
          <w:szCs w:val="24"/>
        </w:rPr>
        <w:t>Ⅰ  一般规定</w:t>
      </w:r>
      <w:bookmarkEnd w:id="490"/>
      <w:bookmarkEnd w:id="491"/>
    </w:p>
    <w:p>
      <w:pPr>
        <w:adjustRightInd w:val="0"/>
        <w:snapToGrid w:val="0"/>
        <w:spacing w:line="360" w:lineRule="auto"/>
        <w:jc w:val="left"/>
        <w:rPr>
          <w:rFonts w:ascii="宋体" w:hAnsi="宋体"/>
          <w:color w:val="0D0D0D"/>
          <w:kern w:val="0"/>
          <w:szCs w:val="24"/>
        </w:rPr>
      </w:pPr>
      <w:r>
        <w:rPr>
          <w:rFonts w:hint="eastAsia" w:ascii="宋体" w:hAnsi="宋体"/>
          <w:color w:val="0D0D0D"/>
          <w:kern w:val="0"/>
          <w:szCs w:val="24"/>
        </w:rPr>
        <w:t>8.2.1 钢板桩支护结构适用于以黏性土、粉土、砂土为主的一般地质土层，对湿陷性黄土或碎石土等土层，应结合工程经验或通过现场试验确定其适用性。</w:t>
      </w:r>
    </w:p>
    <w:p>
      <w:pPr>
        <w:adjustRightInd w:val="0"/>
        <w:snapToGrid w:val="0"/>
        <w:spacing w:line="360" w:lineRule="auto"/>
        <w:jc w:val="left"/>
        <w:rPr>
          <w:rFonts w:ascii="宋体" w:hAnsi="宋体"/>
          <w:color w:val="0D0D0D"/>
          <w:kern w:val="0"/>
          <w:szCs w:val="24"/>
        </w:rPr>
      </w:pPr>
      <w:r>
        <w:rPr>
          <w:rFonts w:hint="eastAsia" w:ascii="宋体" w:hAnsi="宋体"/>
          <w:color w:val="0D0D0D"/>
          <w:kern w:val="0"/>
          <w:szCs w:val="24"/>
        </w:rPr>
        <w:t>8.2.2 钢板桩支护结构</w:t>
      </w:r>
      <w:r>
        <w:rPr>
          <w:rFonts w:ascii="宋体" w:hAnsi="宋体"/>
          <w:color w:val="0D0D0D"/>
          <w:kern w:val="0"/>
          <w:szCs w:val="24"/>
        </w:rPr>
        <w:t>设计应明确支护结构的</w:t>
      </w:r>
      <w:r>
        <w:rPr>
          <w:rFonts w:hint="eastAsia" w:ascii="宋体" w:hAnsi="宋体"/>
          <w:color w:val="0D0D0D"/>
          <w:kern w:val="0"/>
          <w:szCs w:val="24"/>
        </w:rPr>
        <w:t>设计</w:t>
      </w:r>
      <w:r>
        <w:rPr>
          <w:rFonts w:hint="eastAsia" w:ascii="宋体" w:hAnsi="宋体"/>
          <w:kern w:val="0"/>
          <w:szCs w:val="24"/>
        </w:rPr>
        <w:t>工作</w:t>
      </w:r>
      <w:r>
        <w:rPr>
          <w:rFonts w:hint="eastAsia" w:ascii="宋体" w:hAnsi="宋体"/>
          <w:color w:val="0D0D0D"/>
          <w:kern w:val="0"/>
          <w:szCs w:val="24"/>
        </w:rPr>
        <w:t>年限</w:t>
      </w:r>
      <w:r>
        <w:rPr>
          <w:rFonts w:ascii="宋体" w:hAnsi="宋体"/>
          <w:color w:val="0D0D0D"/>
          <w:kern w:val="0"/>
          <w:szCs w:val="24"/>
        </w:rPr>
        <w:t>。</w:t>
      </w:r>
      <w:r>
        <w:rPr>
          <w:rFonts w:hint="eastAsia" w:ascii="宋体" w:hAnsi="宋体"/>
          <w:kern w:val="0"/>
          <w:szCs w:val="24"/>
        </w:rPr>
        <w:t>当</w:t>
      </w:r>
      <w:r>
        <w:rPr>
          <w:rFonts w:ascii="宋体" w:hAnsi="宋体"/>
          <w:kern w:val="0"/>
          <w:szCs w:val="24"/>
        </w:rPr>
        <w:t>无特殊要求</w:t>
      </w:r>
      <w:r>
        <w:rPr>
          <w:rFonts w:hint="eastAsia" w:ascii="宋体" w:hAnsi="宋体"/>
          <w:kern w:val="0"/>
          <w:szCs w:val="24"/>
        </w:rPr>
        <w:t>时</w:t>
      </w:r>
      <w:r>
        <w:rPr>
          <w:rFonts w:ascii="宋体" w:hAnsi="宋体"/>
          <w:kern w:val="0"/>
          <w:szCs w:val="24"/>
        </w:rPr>
        <w:t>，</w:t>
      </w:r>
      <w:r>
        <w:rPr>
          <w:rFonts w:ascii="宋体" w:hAnsi="宋体"/>
          <w:color w:val="0D0D0D"/>
          <w:kern w:val="0"/>
          <w:szCs w:val="24"/>
        </w:rPr>
        <w:t>钢板桩支护结构</w:t>
      </w:r>
      <w:r>
        <w:rPr>
          <w:rFonts w:hint="eastAsia" w:ascii="宋体" w:hAnsi="宋体"/>
          <w:kern w:val="0"/>
          <w:szCs w:val="24"/>
        </w:rPr>
        <w:t>应</w:t>
      </w:r>
      <w:r>
        <w:rPr>
          <w:rFonts w:ascii="宋体" w:hAnsi="宋体"/>
          <w:color w:val="0D0D0D"/>
          <w:kern w:val="0"/>
          <w:szCs w:val="24"/>
        </w:rPr>
        <w:t>按临时性支护结构设计</w:t>
      </w:r>
      <w:r>
        <w:rPr>
          <w:rFonts w:hint="eastAsia" w:ascii="宋体" w:hAnsi="宋体"/>
          <w:kern w:val="0"/>
          <w:szCs w:val="24"/>
        </w:rPr>
        <w:t>。</w:t>
      </w:r>
      <w:r>
        <w:rPr>
          <w:rFonts w:ascii="宋体" w:hAnsi="宋体"/>
          <w:color w:val="0D0D0D"/>
          <w:kern w:val="0"/>
          <w:szCs w:val="24"/>
        </w:rPr>
        <w:t>当按永久性支护结构设计时，</w:t>
      </w:r>
      <w:r>
        <w:rPr>
          <w:rFonts w:hint="eastAsia" w:ascii="宋体" w:hAnsi="宋体"/>
          <w:color w:val="0D0D0D"/>
          <w:kern w:val="0"/>
          <w:szCs w:val="24"/>
        </w:rPr>
        <w:t>其设计</w:t>
      </w:r>
      <w:r>
        <w:rPr>
          <w:rFonts w:hint="eastAsia" w:ascii="宋体" w:hAnsi="宋体"/>
          <w:color w:val="FF0000"/>
          <w:kern w:val="0"/>
          <w:szCs w:val="24"/>
        </w:rPr>
        <w:t>工作</w:t>
      </w:r>
      <w:r>
        <w:rPr>
          <w:rFonts w:ascii="宋体" w:hAnsi="宋体"/>
          <w:color w:val="FF0000"/>
          <w:kern w:val="0"/>
          <w:szCs w:val="24"/>
        </w:rPr>
        <w:t>年限</w:t>
      </w:r>
      <w:r>
        <w:rPr>
          <w:rFonts w:ascii="宋体" w:hAnsi="宋体"/>
          <w:color w:val="000000" w:themeColor="text1"/>
          <w:kern w:val="0"/>
          <w:szCs w:val="24"/>
          <w14:textFill>
            <w14:solidFill>
              <w14:schemeClr w14:val="tx1"/>
            </w14:solidFill>
          </w14:textFill>
        </w:rPr>
        <w:t>不应低于被保护的建（构）筑物设计</w:t>
      </w:r>
      <w:r>
        <w:rPr>
          <w:rFonts w:hint="eastAsia" w:ascii="宋体" w:hAnsi="宋体"/>
          <w:color w:val="FF0000"/>
          <w:kern w:val="0"/>
          <w:szCs w:val="24"/>
        </w:rPr>
        <w:t>工作</w:t>
      </w:r>
      <w:r>
        <w:rPr>
          <w:rFonts w:ascii="宋体" w:hAnsi="宋体"/>
          <w:color w:val="FF0000"/>
          <w:kern w:val="0"/>
          <w:szCs w:val="24"/>
        </w:rPr>
        <w:t>年限</w:t>
      </w:r>
      <w:r>
        <w:rPr>
          <w:rFonts w:ascii="宋体" w:hAnsi="宋体"/>
          <w:color w:val="0D0D0D"/>
          <w:kern w:val="0"/>
          <w:szCs w:val="24"/>
        </w:rPr>
        <w:t>。</w:t>
      </w:r>
    </w:p>
    <w:p>
      <w:pPr>
        <w:autoSpaceDN w:val="0"/>
        <w:adjustRightInd w:val="0"/>
        <w:snapToGrid w:val="0"/>
        <w:spacing w:line="360" w:lineRule="auto"/>
        <w:rPr>
          <w:rFonts w:ascii="宋体" w:hAnsi="宋体"/>
          <w:kern w:val="0"/>
          <w:szCs w:val="24"/>
        </w:rPr>
      </w:pPr>
      <w:r>
        <w:rPr>
          <w:rFonts w:hint="eastAsia" w:ascii="宋体" w:hAnsi="宋体"/>
          <w:kern w:val="0"/>
          <w:szCs w:val="24"/>
        </w:rPr>
        <w:t>8.2.3 钢板桩支护结构设计应根据周边环境的重要性及对变形的适应能力、支护结构的内力和变形计算结果等因素，确定其变形限值和周边环境变形限值，变形值应满足正常使用要求和环境保护要求。</w:t>
      </w:r>
    </w:p>
    <w:p>
      <w:pPr>
        <w:autoSpaceDN w:val="0"/>
        <w:adjustRightInd w:val="0"/>
        <w:snapToGrid w:val="0"/>
        <w:spacing w:line="360" w:lineRule="auto"/>
        <w:rPr>
          <w:rFonts w:ascii="宋体" w:hAnsi="宋体"/>
          <w:bCs/>
          <w:kern w:val="0"/>
          <w:szCs w:val="24"/>
        </w:rPr>
      </w:pPr>
      <w:r>
        <w:rPr>
          <w:rFonts w:hint="eastAsia" w:ascii="宋体" w:hAnsi="宋体"/>
          <w:bCs/>
          <w:kern w:val="0"/>
          <w:szCs w:val="24"/>
        </w:rPr>
        <w:t>8.2.4 钢板桩支护结构设计时，应根据实际条件选择计算模型和</w:t>
      </w:r>
      <w:r>
        <w:rPr>
          <w:rFonts w:ascii="宋体" w:hAnsi="宋体"/>
          <w:bCs/>
          <w:kern w:val="0"/>
          <w:szCs w:val="24"/>
        </w:rPr>
        <w:t>施工工况，</w:t>
      </w:r>
      <w:r>
        <w:rPr>
          <w:rFonts w:hint="eastAsia" w:ascii="宋体" w:hAnsi="宋体"/>
          <w:bCs/>
          <w:kern w:val="0"/>
          <w:szCs w:val="24"/>
        </w:rPr>
        <w:t>并应在确认模型及参数的合理性、施工</w:t>
      </w:r>
      <w:r>
        <w:rPr>
          <w:rFonts w:ascii="宋体" w:hAnsi="宋体"/>
          <w:bCs/>
          <w:kern w:val="0"/>
          <w:szCs w:val="24"/>
        </w:rPr>
        <w:t>的可行性</w:t>
      </w:r>
      <w:r>
        <w:rPr>
          <w:rFonts w:hint="eastAsia" w:ascii="宋体" w:hAnsi="宋体"/>
          <w:bCs/>
          <w:kern w:val="0"/>
          <w:szCs w:val="24"/>
        </w:rPr>
        <w:t>和计算结果的可靠性后，将计算结果用于设计。</w:t>
      </w:r>
    </w:p>
    <w:p>
      <w:pPr>
        <w:autoSpaceDN w:val="0"/>
        <w:adjustRightInd w:val="0"/>
        <w:snapToGrid w:val="0"/>
        <w:spacing w:line="360" w:lineRule="auto"/>
        <w:rPr>
          <w:rFonts w:ascii="宋体" w:hAnsi="宋体"/>
          <w:bCs/>
          <w:kern w:val="0"/>
          <w:szCs w:val="24"/>
        </w:rPr>
      </w:pPr>
      <w:r>
        <w:rPr>
          <w:rFonts w:hint="eastAsia" w:ascii="宋体" w:hAnsi="宋体"/>
          <w:bCs/>
          <w:kern w:val="0"/>
          <w:szCs w:val="24"/>
        </w:rPr>
        <w:t>8.2.5 钢板桩沉桩方法有振动法、锤击法和静压法，具体应根据地质条件、场地条件、周边环境要求、沉桩深度、噪声及振动控制要求等因素综合确定，</w:t>
      </w:r>
      <w:r>
        <w:rPr>
          <w:rFonts w:hint="eastAsia" w:ascii="宋体" w:hAnsi="宋体" w:cs="宋体"/>
          <w:kern w:val="0"/>
          <w:szCs w:val="24"/>
        </w:rPr>
        <w:t>可按本</w:t>
      </w:r>
      <w:r>
        <w:rPr>
          <w:rFonts w:hint="eastAsia" w:ascii="宋体" w:hAnsi="宋体" w:cs="宋体"/>
          <w:color w:val="000000" w:themeColor="text1"/>
          <w:kern w:val="0"/>
          <w:szCs w:val="24"/>
          <w14:textFill>
            <w14:solidFill>
              <w14:schemeClr w14:val="tx1"/>
            </w14:solidFill>
          </w14:textFill>
        </w:rPr>
        <w:t>标准</w:t>
      </w:r>
      <w:r>
        <w:rPr>
          <w:rFonts w:hint="eastAsia" w:ascii="宋体" w:hAnsi="宋体" w:cs="宋体"/>
          <w:color w:val="FF0000"/>
          <w:kern w:val="0"/>
          <w:szCs w:val="24"/>
        </w:rPr>
        <w:t>附录H</w:t>
      </w:r>
      <w:r>
        <w:rPr>
          <w:rFonts w:hint="eastAsia" w:ascii="宋体" w:hAnsi="宋体" w:cs="宋体"/>
          <w:kern w:val="0"/>
          <w:szCs w:val="24"/>
        </w:rPr>
        <w:t>选用</w:t>
      </w:r>
      <w:r>
        <w:rPr>
          <w:rFonts w:hint="eastAsia" w:ascii="宋体" w:hAnsi="宋体"/>
          <w:bCs/>
          <w:kern w:val="0"/>
          <w:szCs w:val="24"/>
        </w:rPr>
        <w:t>。</w:t>
      </w:r>
    </w:p>
    <w:p>
      <w:pPr>
        <w:autoSpaceDN w:val="0"/>
        <w:adjustRightInd w:val="0"/>
        <w:snapToGrid w:val="0"/>
        <w:spacing w:line="360" w:lineRule="auto"/>
        <w:rPr>
          <w:rFonts w:ascii="宋体" w:hAnsi="宋体"/>
          <w:szCs w:val="24"/>
        </w:rPr>
      </w:pPr>
      <w:r>
        <w:rPr>
          <w:rFonts w:hint="eastAsia" w:ascii="宋体" w:hAnsi="宋体"/>
          <w:kern w:val="0"/>
          <w:szCs w:val="24"/>
        </w:rPr>
        <w:t>8.2.6 钢板桩支护设计应分析振动沉桩对周围环境的不利影响，以及施工结束后钢板桩拔除的可行性和对周围环境的不利影响，并提出相应的措施。</w:t>
      </w:r>
    </w:p>
    <w:p>
      <w:pPr>
        <w:jc w:val="center"/>
        <w:rPr>
          <w:b/>
          <w:bCs/>
          <w:sz w:val="28"/>
          <w:szCs w:val="24"/>
        </w:rPr>
      </w:pPr>
      <w:r>
        <w:rPr>
          <w:rFonts w:hint="eastAsia"/>
          <w:b/>
          <w:bCs/>
          <w:sz w:val="28"/>
          <w:szCs w:val="24"/>
        </w:rPr>
        <w:t>Ⅱ  设计计算</w:t>
      </w:r>
    </w:p>
    <w:p>
      <w:pPr>
        <w:autoSpaceDN w:val="0"/>
        <w:adjustRightInd w:val="0"/>
        <w:snapToGrid w:val="0"/>
        <w:spacing w:line="360" w:lineRule="auto"/>
        <w:rPr>
          <w:rFonts w:ascii="宋体" w:hAnsi="宋体"/>
          <w:kern w:val="0"/>
          <w:szCs w:val="24"/>
        </w:rPr>
      </w:pPr>
      <w:bookmarkStart w:id="492" w:name="_Toc13591"/>
      <w:bookmarkStart w:id="493" w:name="_Toc25016"/>
      <w:r>
        <w:rPr>
          <w:rFonts w:hint="eastAsia" w:ascii="宋体" w:hAnsi="宋体"/>
          <w:kern w:val="0"/>
          <w:szCs w:val="24"/>
        </w:rPr>
        <w:t>8.2.7 钢板桩支护结构设计计算应包括下列内容：</w:t>
      </w:r>
      <w:bookmarkEnd w:id="492"/>
      <w:bookmarkEnd w:id="493"/>
    </w:p>
    <w:p>
      <w:pPr>
        <w:adjustRightInd w:val="0"/>
        <w:snapToGrid w:val="0"/>
        <w:spacing w:line="360" w:lineRule="auto"/>
        <w:jc w:val="left"/>
        <w:rPr>
          <w:rFonts w:ascii="宋体" w:hAnsi="宋体"/>
          <w:bCs/>
          <w:kern w:val="0"/>
          <w:szCs w:val="24"/>
        </w:rPr>
      </w:pPr>
      <w:r>
        <w:rPr>
          <w:rFonts w:hint="eastAsia" w:ascii="宋体" w:hAnsi="宋体"/>
          <w:bCs/>
          <w:kern w:val="0"/>
          <w:szCs w:val="24"/>
        </w:rPr>
        <w:t xml:space="preserve">     1  支护结构类型；</w:t>
      </w:r>
    </w:p>
    <w:p>
      <w:pPr>
        <w:adjustRightInd w:val="0"/>
        <w:snapToGrid w:val="0"/>
        <w:spacing w:line="360" w:lineRule="auto"/>
        <w:ind w:firstLine="600"/>
        <w:jc w:val="left"/>
        <w:rPr>
          <w:rFonts w:ascii="宋体" w:hAnsi="宋体"/>
          <w:bCs/>
          <w:kern w:val="0"/>
          <w:szCs w:val="24"/>
        </w:rPr>
      </w:pPr>
      <w:r>
        <w:rPr>
          <w:rFonts w:hint="eastAsia" w:ascii="宋体" w:hAnsi="宋体"/>
          <w:bCs/>
          <w:kern w:val="0"/>
          <w:szCs w:val="24"/>
        </w:rPr>
        <w:t>2  支护结构强度及变形计算；</w:t>
      </w:r>
    </w:p>
    <w:p>
      <w:pPr>
        <w:adjustRightInd w:val="0"/>
        <w:snapToGrid w:val="0"/>
        <w:spacing w:line="360" w:lineRule="auto"/>
        <w:jc w:val="left"/>
        <w:rPr>
          <w:rFonts w:ascii="宋体" w:hAnsi="宋体"/>
          <w:color w:val="000000"/>
          <w:szCs w:val="24"/>
        </w:rPr>
      </w:pPr>
      <w:r>
        <w:rPr>
          <w:rFonts w:hint="eastAsia" w:ascii="宋体" w:hAnsi="宋体"/>
          <w:bCs/>
          <w:kern w:val="0"/>
          <w:szCs w:val="24"/>
        </w:rPr>
        <w:t xml:space="preserve">     3  </w:t>
      </w:r>
      <w:r>
        <w:rPr>
          <w:rFonts w:hint="eastAsia" w:ascii="宋体" w:hAnsi="宋体"/>
          <w:color w:val="000000"/>
          <w:szCs w:val="24"/>
        </w:rPr>
        <w:t>整体稳定性验算，必要时尚应进行基坑底抗隆起稳定性和抗渗流稳定性验算；</w:t>
      </w:r>
    </w:p>
    <w:p>
      <w:pPr>
        <w:adjustRightInd w:val="0"/>
        <w:snapToGrid w:val="0"/>
        <w:spacing w:line="360" w:lineRule="auto"/>
        <w:jc w:val="left"/>
        <w:rPr>
          <w:rFonts w:ascii="宋体" w:hAnsi="宋体"/>
          <w:color w:val="000000"/>
          <w:szCs w:val="24"/>
        </w:rPr>
      </w:pPr>
      <w:r>
        <w:rPr>
          <w:rFonts w:hint="eastAsia" w:ascii="宋体" w:hAnsi="宋体"/>
          <w:color w:val="000000"/>
          <w:szCs w:val="24"/>
        </w:rPr>
        <w:t xml:space="preserve">     4  桩长及嵌固深度计算，构件截面选型及计算；</w:t>
      </w:r>
    </w:p>
    <w:p>
      <w:pPr>
        <w:adjustRightInd w:val="0"/>
        <w:snapToGrid w:val="0"/>
        <w:spacing w:line="360" w:lineRule="auto"/>
        <w:jc w:val="left"/>
        <w:rPr>
          <w:rFonts w:ascii="宋体" w:hAnsi="宋体"/>
          <w:color w:val="000000"/>
          <w:szCs w:val="24"/>
        </w:rPr>
      </w:pPr>
      <w:r>
        <w:rPr>
          <w:rFonts w:hint="eastAsia" w:ascii="宋体" w:hAnsi="宋体"/>
          <w:color w:val="000000"/>
          <w:szCs w:val="24"/>
        </w:rPr>
        <w:t xml:space="preserve">     5  钢板桩沉桩及拔除对周边环境影响的控制设计；</w:t>
      </w:r>
    </w:p>
    <w:p>
      <w:pPr>
        <w:adjustRightInd w:val="0"/>
        <w:snapToGrid w:val="0"/>
        <w:spacing w:line="360" w:lineRule="auto"/>
        <w:jc w:val="left"/>
        <w:rPr>
          <w:rFonts w:ascii="宋体" w:hAnsi="宋体"/>
          <w:color w:val="000000"/>
          <w:szCs w:val="24"/>
        </w:rPr>
      </w:pPr>
      <w:r>
        <w:rPr>
          <w:rFonts w:hint="eastAsia" w:ascii="宋体" w:hAnsi="宋体"/>
          <w:color w:val="000000"/>
          <w:szCs w:val="24"/>
        </w:rPr>
        <w:t xml:space="preserve">     6  作为止水帷幕功能的地下水控制设计；</w:t>
      </w:r>
    </w:p>
    <w:p>
      <w:pPr>
        <w:adjustRightInd w:val="0"/>
        <w:snapToGrid w:val="0"/>
        <w:spacing w:line="360" w:lineRule="auto"/>
        <w:jc w:val="left"/>
        <w:rPr>
          <w:rFonts w:ascii="宋体" w:hAnsi="宋体"/>
          <w:bCs/>
          <w:kern w:val="0"/>
          <w:szCs w:val="24"/>
        </w:rPr>
      </w:pPr>
      <w:r>
        <w:rPr>
          <w:rFonts w:hint="eastAsia" w:ascii="宋体" w:hAnsi="宋体"/>
          <w:color w:val="000000"/>
          <w:szCs w:val="24"/>
        </w:rPr>
        <w:t xml:space="preserve">     7  基坑变形监测要求。</w:t>
      </w:r>
    </w:p>
    <w:p>
      <w:pPr>
        <w:adjustRightInd w:val="0"/>
        <w:snapToGrid w:val="0"/>
        <w:spacing w:line="360" w:lineRule="auto"/>
        <w:jc w:val="left"/>
        <w:rPr>
          <w:rFonts w:ascii="宋体" w:hAnsi="宋体"/>
          <w:bCs/>
          <w:kern w:val="0"/>
          <w:szCs w:val="24"/>
        </w:rPr>
      </w:pPr>
      <w:r>
        <w:rPr>
          <w:rFonts w:hint="eastAsia" w:ascii="宋体" w:hAnsi="宋体"/>
          <w:bCs/>
          <w:kern w:val="0"/>
          <w:szCs w:val="24"/>
        </w:rPr>
        <w:t>8.2.8 钢板桩支护结构类型有悬臂式、锚拉式、支撑式，钢板桩支护结构选型应综合分析周边环境限制条件、开挖深度、工程地质与水文地质条件、施工工艺及设备条件、周边相似条件支护工程的工程经验、施工工期及施工季节等因素，可</w:t>
      </w:r>
      <w:r>
        <w:rPr>
          <w:rFonts w:ascii="宋体" w:hAnsi="宋体"/>
          <w:bCs/>
          <w:kern w:val="0"/>
          <w:szCs w:val="24"/>
        </w:rPr>
        <w:t>按</w:t>
      </w:r>
      <w:r>
        <w:rPr>
          <w:rFonts w:hint="eastAsia" w:ascii="宋体" w:hAnsi="宋体"/>
          <w:bCs/>
          <w:kern w:val="0"/>
          <w:szCs w:val="24"/>
        </w:rPr>
        <w:t>本标准</w:t>
      </w:r>
      <w:r>
        <w:rPr>
          <w:rFonts w:ascii="宋体" w:hAnsi="宋体"/>
          <w:bCs/>
          <w:kern w:val="0"/>
          <w:szCs w:val="24"/>
        </w:rPr>
        <w:t>表</w:t>
      </w:r>
      <w:r>
        <w:rPr>
          <w:rFonts w:hint="eastAsia" w:ascii="宋体" w:hAnsi="宋体"/>
          <w:bCs/>
          <w:kern w:val="0"/>
          <w:szCs w:val="24"/>
        </w:rPr>
        <w:t>7.3.1</w:t>
      </w:r>
      <w:r>
        <w:rPr>
          <w:rFonts w:ascii="宋体" w:hAnsi="宋体"/>
          <w:bCs/>
          <w:kern w:val="0"/>
          <w:szCs w:val="24"/>
        </w:rPr>
        <w:t>选择。</w:t>
      </w:r>
    </w:p>
    <w:p>
      <w:pPr>
        <w:adjustRightInd w:val="0"/>
        <w:snapToGrid w:val="0"/>
        <w:spacing w:line="360" w:lineRule="auto"/>
        <w:jc w:val="left"/>
        <w:rPr>
          <w:rFonts w:ascii="宋体" w:hAnsi="宋体"/>
          <w:kern w:val="0"/>
          <w:szCs w:val="24"/>
        </w:rPr>
      </w:pPr>
      <w:r>
        <w:rPr>
          <w:rFonts w:hint="eastAsia" w:ascii="宋体" w:hAnsi="宋体"/>
          <w:kern w:val="0"/>
          <w:szCs w:val="24"/>
        </w:rPr>
        <w:t>8.2.9 钢板桩支护结构应根据其类型与受力、变形特性等按下列方法进行计算分析：</w:t>
      </w:r>
    </w:p>
    <w:p>
      <w:pPr>
        <w:adjustRightInd w:val="0"/>
        <w:snapToGrid w:val="0"/>
        <w:spacing w:line="360" w:lineRule="auto"/>
        <w:ind w:firstLine="472" w:firstLineChars="196"/>
        <w:jc w:val="left"/>
        <w:rPr>
          <w:rFonts w:ascii="宋体" w:hAnsi="宋体"/>
          <w:kern w:val="0"/>
          <w:szCs w:val="24"/>
        </w:rPr>
      </w:pPr>
      <w:r>
        <w:rPr>
          <w:rFonts w:ascii="宋体" w:hAnsi="宋体"/>
          <w:b/>
          <w:bCs/>
          <w:kern w:val="0"/>
          <w:szCs w:val="24"/>
        </w:rPr>
        <w:t>1</w:t>
      </w:r>
      <w:r>
        <w:rPr>
          <w:rFonts w:hint="eastAsia" w:ascii="宋体" w:hAnsi="宋体"/>
          <w:b/>
          <w:bCs/>
          <w:kern w:val="0"/>
          <w:szCs w:val="24"/>
        </w:rPr>
        <w:t xml:space="preserve">  </w:t>
      </w:r>
      <w:r>
        <w:rPr>
          <w:rFonts w:hint="eastAsia" w:ascii="宋体" w:hAnsi="宋体"/>
          <w:kern w:val="0"/>
          <w:szCs w:val="24"/>
        </w:rPr>
        <w:t>对于锚拉式钢板桩支护结构，可将整个结构分解为钢板桩墙和锚拉结构分别进行分析；钢板桩墙宜采用平面杆系结构弹性支点法进行分析；作用在锚拉结构上的荷载应取钢板桩墙分析时得出的支点力；</w:t>
      </w:r>
    </w:p>
    <w:p>
      <w:pPr>
        <w:adjustRightInd w:val="0"/>
        <w:snapToGrid w:val="0"/>
        <w:spacing w:line="360" w:lineRule="auto"/>
        <w:ind w:firstLine="472" w:firstLineChars="196"/>
        <w:jc w:val="left"/>
        <w:rPr>
          <w:rFonts w:ascii="宋体" w:hAnsi="宋体"/>
          <w:kern w:val="0"/>
          <w:szCs w:val="24"/>
        </w:rPr>
      </w:pPr>
      <w:r>
        <w:rPr>
          <w:rFonts w:ascii="宋体" w:hAnsi="宋体"/>
          <w:b/>
          <w:kern w:val="0"/>
          <w:szCs w:val="24"/>
        </w:rPr>
        <w:t>2</w:t>
      </w:r>
      <w:r>
        <w:rPr>
          <w:rFonts w:hint="eastAsia" w:ascii="宋体" w:hAnsi="宋体"/>
          <w:b/>
          <w:kern w:val="0"/>
          <w:szCs w:val="24"/>
        </w:rPr>
        <w:t xml:space="preserve">  </w:t>
      </w:r>
      <w:r>
        <w:rPr>
          <w:rFonts w:hint="eastAsia" w:ascii="宋体" w:hAnsi="宋体"/>
          <w:kern w:val="0"/>
          <w:szCs w:val="24"/>
        </w:rPr>
        <w:t>对于支撑式钢板桩支护结构，可将整个结构分解为钢板桩墙、内支撑结构分别进行分析；钢板桩墙宜采用平面杆系结构弹性支点法进行分析；内支撑结构可按平面结构进行分析，钢板桩墙传至内支撑的荷载应取钢板桩墙分析时得出的支点力；对钢板桩墙和内支撑结构分别进行分析时，应考虑其相互之间的变形协调；</w:t>
      </w:r>
    </w:p>
    <w:p>
      <w:pPr>
        <w:adjustRightInd w:val="0"/>
        <w:snapToGrid w:val="0"/>
        <w:spacing w:line="360" w:lineRule="auto"/>
        <w:ind w:firstLine="472" w:firstLineChars="196"/>
        <w:jc w:val="left"/>
        <w:rPr>
          <w:rFonts w:ascii="宋体" w:hAnsi="宋体"/>
          <w:kern w:val="0"/>
          <w:szCs w:val="24"/>
        </w:rPr>
      </w:pPr>
      <w:r>
        <w:rPr>
          <w:rFonts w:ascii="宋体" w:hAnsi="宋体"/>
          <w:b/>
          <w:kern w:val="0"/>
          <w:szCs w:val="24"/>
        </w:rPr>
        <w:t>3</w:t>
      </w:r>
      <w:r>
        <w:rPr>
          <w:rFonts w:hint="eastAsia" w:ascii="宋体" w:hAnsi="宋体"/>
          <w:b/>
          <w:kern w:val="0"/>
          <w:szCs w:val="24"/>
        </w:rPr>
        <w:t xml:space="preserve">  </w:t>
      </w:r>
      <w:r>
        <w:rPr>
          <w:rFonts w:hint="eastAsia" w:ascii="宋体" w:hAnsi="宋体"/>
          <w:kern w:val="0"/>
          <w:szCs w:val="24"/>
        </w:rPr>
        <w:t>对于悬臂式钢板桩支护结构，宜采用平面杆系结构弹性支点法进行结构分析；</w:t>
      </w:r>
    </w:p>
    <w:p>
      <w:pPr>
        <w:adjustRightInd w:val="0"/>
        <w:snapToGrid w:val="0"/>
        <w:spacing w:line="360" w:lineRule="auto"/>
        <w:ind w:firstLine="472" w:firstLineChars="196"/>
        <w:jc w:val="left"/>
        <w:rPr>
          <w:rFonts w:ascii="宋体" w:hAnsi="宋体"/>
          <w:color w:val="000000"/>
          <w:kern w:val="0"/>
          <w:szCs w:val="24"/>
        </w:rPr>
      </w:pPr>
      <w:r>
        <w:rPr>
          <w:rFonts w:ascii="宋体" w:hAnsi="宋体"/>
          <w:b/>
          <w:bCs/>
          <w:color w:val="000000"/>
          <w:kern w:val="0"/>
          <w:szCs w:val="24"/>
        </w:rPr>
        <w:t>4</w:t>
      </w:r>
      <w:r>
        <w:rPr>
          <w:rFonts w:hint="eastAsia" w:ascii="宋体" w:hAnsi="宋体"/>
          <w:b/>
          <w:bCs/>
          <w:color w:val="000000"/>
          <w:kern w:val="0"/>
          <w:szCs w:val="24"/>
        </w:rPr>
        <w:t xml:space="preserve">  </w:t>
      </w:r>
      <w:r>
        <w:rPr>
          <w:rFonts w:hint="eastAsia" w:ascii="宋体" w:hAnsi="宋体"/>
          <w:color w:val="000000"/>
          <w:kern w:val="0"/>
          <w:szCs w:val="24"/>
        </w:rPr>
        <w:t>当有可靠经验时，可采用空间结构分析方法对钢板桩墙进行整体分析或采用数值分析方法对钢板桩墙与土进行整体分析。</w:t>
      </w:r>
    </w:p>
    <w:p>
      <w:pPr>
        <w:autoSpaceDN w:val="0"/>
        <w:adjustRightInd w:val="0"/>
        <w:snapToGrid w:val="0"/>
        <w:spacing w:line="360" w:lineRule="auto"/>
        <w:rPr>
          <w:rFonts w:ascii="宋体" w:hAnsi="宋体"/>
          <w:szCs w:val="24"/>
        </w:rPr>
      </w:pPr>
      <w:r>
        <w:rPr>
          <w:rFonts w:hint="eastAsia" w:ascii="宋体" w:hAnsi="宋体"/>
          <w:szCs w:val="24"/>
        </w:rPr>
        <w:t>8.2.10 对支撑式钢板桩支护结构，支撑和腰梁的设计除应符合本标准的相关规定外，还宜符合下列规定：</w:t>
      </w:r>
    </w:p>
    <w:p>
      <w:pPr>
        <w:autoSpaceDN w:val="0"/>
        <w:adjustRightInd w:val="0"/>
        <w:snapToGrid w:val="0"/>
        <w:spacing w:line="360" w:lineRule="auto"/>
        <w:ind w:firstLine="480"/>
        <w:rPr>
          <w:rFonts w:ascii="宋体" w:hAnsi="宋体"/>
          <w:szCs w:val="24"/>
        </w:rPr>
      </w:pPr>
      <w:r>
        <w:rPr>
          <w:rFonts w:hint="eastAsia" w:ascii="宋体" w:hAnsi="宋体"/>
          <w:szCs w:val="24"/>
        </w:rPr>
        <w:t>1  腰梁宜用型钢或组合型钢结构；</w:t>
      </w:r>
    </w:p>
    <w:p>
      <w:pPr>
        <w:autoSpaceDN w:val="0"/>
        <w:adjustRightInd w:val="0"/>
        <w:snapToGrid w:val="0"/>
        <w:spacing w:line="360" w:lineRule="auto"/>
        <w:ind w:firstLine="480"/>
        <w:rPr>
          <w:rFonts w:ascii="宋体" w:hAnsi="宋体"/>
          <w:szCs w:val="24"/>
        </w:rPr>
      </w:pPr>
      <w:r>
        <w:rPr>
          <w:rFonts w:hint="eastAsia" w:ascii="宋体" w:hAnsi="宋体"/>
          <w:szCs w:val="24"/>
        </w:rPr>
        <w:t>2  腰梁与钢板桩之间的空隙应采用钢楔块或混凝土填实；</w:t>
      </w:r>
    </w:p>
    <w:p>
      <w:pPr>
        <w:autoSpaceDN w:val="0"/>
        <w:adjustRightInd w:val="0"/>
        <w:snapToGrid w:val="0"/>
        <w:spacing w:line="360" w:lineRule="auto"/>
        <w:ind w:firstLine="480"/>
        <w:rPr>
          <w:rFonts w:ascii="宋体" w:hAnsi="宋体"/>
          <w:szCs w:val="24"/>
        </w:rPr>
      </w:pPr>
      <w:r>
        <w:rPr>
          <w:rFonts w:hint="eastAsia" w:ascii="宋体" w:hAnsi="宋体"/>
          <w:szCs w:val="24"/>
        </w:rPr>
        <w:t>3  转角部位与支撑斜交相连的围檩，应有避免围檩产生顺向滑移的抗剪措施。</w:t>
      </w:r>
    </w:p>
    <w:p>
      <w:pPr>
        <w:autoSpaceDN w:val="0"/>
        <w:adjustRightInd w:val="0"/>
        <w:snapToGrid w:val="0"/>
        <w:spacing w:line="360" w:lineRule="auto"/>
        <w:rPr>
          <w:rFonts w:ascii="宋体" w:hAnsi="宋体"/>
          <w:szCs w:val="24"/>
        </w:rPr>
      </w:pPr>
      <w:r>
        <w:rPr>
          <w:rFonts w:hint="eastAsia" w:ascii="宋体" w:hAnsi="宋体"/>
          <w:szCs w:val="24"/>
        </w:rPr>
        <w:t>8.2.11 对锚拉式钢板桩支护结构，锚杆（索）的设计除应符合本标准的相关规定外，还应符合下列规定：</w:t>
      </w:r>
    </w:p>
    <w:p>
      <w:pPr>
        <w:autoSpaceDN w:val="0"/>
        <w:adjustRightInd w:val="0"/>
        <w:snapToGrid w:val="0"/>
        <w:spacing w:line="360" w:lineRule="auto"/>
        <w:ind w:firstLine="480"/>
        <w:rPr>
          <w:rFonts w:ascii="宋体" w:hAnsi="宋体"/>
          <w:szCs w:val="24"/>
        </w:rPr>
      </w:pPr>
      <w:r>
        <w:rPr>
          <w:rFonts w:hint="eastAsia" w:ascii="宋体" w:hAnsi="宋体"/>
          <w:szCs w:val="24"/>
        </w:rPr>
        <w:t>1  锚杆（索）施工需要在钢板桩上开孔，宜在钢板桩沉桩结束后统一开孔，利于后期在锚杆（索）端头设置围檩。</w:t>
      </w:r>
    </w:p>
    <w:p>
      <w:pPr>
        <w:autoSpaceDN w:val="0"/>
        <w:adjustRightInd w:val="0"/>
        <w:snapToGrid w:val="0"/>
        <w:spacing w:line="360" w:lineRule="auto"/>
        <w:ind w:firstLine="480"/>
        <w:rPr>
          <w:rFonts w:ascii="宋体" w:hAnsi="宋体"/>
          <w:szCs w:val="24"/>
        </w:rPr>
      </w:pPr>
      <w:r>
        <w:rPr>
          <w:rFonts w:hint="eastAsia" w:ascii="宋体" w:hAnsi="宋体"/>
          <w:szCs w:val="24"/>
        </w:rPr>
        <w:t>2  钢板桩开孔位置在地下水位以下的，应采取合理有效的措施防止发生涌水涌砂。</w:t>
      </w:r>
    </w:p>
    <w:p>
      <w:pPr>
        <w:autoSpaceDN w:val="0"/>
        <w:adjustRightInd w:val="0"/>
        <w:snapToGrid w:val="0"/>
        <w:spacing w:line="360" w:lineRule="auto"/>
        <w:rPr>
          <w:rFonts w:ascii="宋体" w:hAnsi="宋体"/>
          <w:color w:val="000000"/>
          <w:szCs w:val="24"/>
        </w:rPr>
      </w:pPr>
      <w:r>
        <w:rPr>
          <w:rFonts w:hint="eastAsia" w:ascii="宋体" w:hAnsi="宋体"/>
          <w:color w:val="000000"/>
          <w:szCs w:val="24"/>
        </w:rPr>
        <w:t>8.2.12 钢板桩支护结构设计时整体稳定应应符合本标准第6章相关规定。钢板桩构件受弯、抗剪承载能力计算应符合现行国家标准《钢结构设计规范》GB50017的相关规定。</w:t>
      </w:r>
    </w:p>
    <w:p>
      <w:pPr>
        <w:autoSpaceDN w:val="0"/>
        <w:adjustRightInd w:val="0"/>
        <w:snapToGrid w:val="0"/>
        <w:spacing w:line="360" w:lineRule="auto"/>
        <w:rPr>
          <w:rFonts w:ascii="宋体" w:hAnsi="宋体"/>
          <w:b/>
          <w:bCs/>
          <w:color w:val="FF0000"/>
          <w:szCs w:val="24"/>
        </w:rPr>
      </w:pPr>
      <w:r>
        <w:rPr>
          <w:rFonts w:hint="eastAsia" w:ascii="宋体" w:hAnsi="宋体"/>
          <w:color w:val="000000"/>
          <w:szCs w:val="24"/>
        </w:rPr>
        <w:t xml:space="preserve">8.2.13 </w:t>
      </w:r>
      <w:r>
        <w:rPr>
          <w:rFonts w:hint="eastAsia" w:ascii="宋体" w:hAnsi="宋体"/>
          <w:color w:val="FF0000"/>
          <w:kern w:val="0"/>
          <w:szCs w:val="24"/>
        </w:rPr>
        <w:t>钢板桩支护结构设计内力和稳定性计算可参照本标准相关规定，钢板桩的承载力验算应符合国家标准《钢结构设计标准》GB50017的相关规定，钢板桩截面计算可参照现行标准</w:t>
      </w:r>
      <w:r>
        <w:rPr>
          <w:rFonts w:hint="eastAsia" w:ascii="宋体" w:hAnsi="宋体"/>
          <w:color w:val="FF0000"/>
          <w:szCs w:val="24"/>
        </w:rPr>
        <w:t>《钢板桩支护技术规程》T/CECS720的相关规定</w:t>
      </w:r>
      <w:r>
        <w:rPr>
          <w:rFonts w:hint="eastAsia" w:ascii="宋体" w:hAnsi="宋体"/>
          <w:color w:val="000000"/>
          <w:szCs w:val="24"/>
        </w:rPr>
        <w:t>。</w:t>
      </w:r>
    </w:p>
    <w:p>
      <w:pPr>
        <w:autoSpaceDN w:val="0"/>
        <w:adjustRightInd w:val="0"/>
        <w:snapToGrid w:val="0"/>
        <w:spacing w:line="360" w:lineRule="auto"/>
        <w:rPr>
          <w:rFonts w:ascii="宋体" w:hAnsi="宋体"/>
          <w:szCs w:val="24"/>
        </w:rPr>
      </w:pPr>
      <w:r>
        <w:rPr>
          <w:rFonts w:hint="eastAsia" w:ascii="宋体" w:hAnsi="宋体"/>
          <w:szCs w:val="24"/>
        </w:rPr>
        <w:t>8.2.14 钢板桩支护结构应按土方分层开挖、加撑（锚）、拆换撑（锚）等各工况进行结构分析，并应按其中最不利作用效应进行进行结构构件设计。</w:t>
      </w:r>
    </w:p>
    <w:p>
      <w:pPr>
        <w:autoSpaceDN w:val="0"/>
        <w:adjustRightInd w:val="0"/>
        <w:snapToGrid w:val="0"/>
        <w:spacing w:line="360" w:lineRule="auto"/>
        <w:rPr>
          <w:rFonts w:ascii="宋体" w:hAnsi="宋体"/>
          <w:szCs w:val="24"/>
        </w:rPr>
      </w:pPr>
      <w:r>
        <w:rPr>
          <w:rFonts w:hint="eastAsia" w:ascii="宋体" w:hAnsi="宋体"/>
          <w:szCs w:val="24"/>
        </w:rPr>
        <w:t>8.2.15 当基坑上部</w:t>
      </w:r>
      <w:r>
        <w:rPr>
          <w:rFonts w:hint="eastAsia" w:ascii="宋体" w:hAnsi="宋体"/>
          <w:color w:val="000000"/>
          <w:szCs w:val="24"/>
        </w:rPr>
        <w:t>采用自然放坡或土钉墙护坡、下部采用钢板桩支护结构类型时，钢板桩支护结构计算应考虑上部放坡或土钉墙的作用，并按本标准的相关规定验算上部边坡的滑动稳定性。</w:t>
      </w:r>
    </w:p>
    <w:p>
      <w:pPr>
        <w:autoSpaceDN w:val="0"/>
        <w:adjustRightInd w:val="0"/>
        <w:snapToGrid w:val="0"/>
        <w:spacing w:line="360" w:lineRule="auto"/>
        <w:rPr>
          <w:rFonts w:ascii="宋体" w:hAnsi="宋体"/>
          <w:color w:val="000000"/>
          <w:szCs w:val="24"/>
        </w:rPr>
      </w:pPr>
      <w:r>
        <w:rPr>
          <w:rFonts w:hint="eastAsia" w:ascii="宋体" w:hAnsi="宋体"/>
          <w:color w:val="000000"/>
          <w:szCs w:val="24"/>
        </w:rPr>
        <w:t>8.2.16 采用钢板桩墙作为截水帷幕时应符合本标准第9章和</w:t>
      </w:r>
      <w:r>
        <w:rPr>
          <w:rFonts w:hint="eastAsia" w:ascii="宋体" w:hAnsi="宋体"/>
          <w:color w:val="000000"/>
          <w:kern w:val="0"/>
          <w:szCs w:val="24"/>
        </w:rPr>
        <w:t>现行行业标准</w:t>
      </w:r>
      <w:r>
        <w:rPr>
          <w:rFonts w:hint="eastAsia" w:ascii="宋体" w:hAnsi="宋体"/>
          <w:color w:val="000000"/>
          <w:szCs w:val="24"/>
        </w:rPr>
        <w:t>《钢板桩支护技术规程》T/CECS720-2020第6章的相关规定。</w:t>
      </w:r>
    </w:p>
    <w:p>
      <w:pPr>
        <w:autoSpaceDN w:val="0"/>
        <w:adjustRightInd w:val="0"/>
        <w:snapToGrid w:val="0"/>
        <w:spacing w:line="360" w:lineRule="auto"/>
        <w:jc w:val="center"/>
        <w:rPr>
          <w:rFonts w:ascii="宋体" w:hAnsi="宋体"/>
          <w:b/>
          <w:bCs/>
          <w:kern w:val="0"/>
          <w:sz w:val="28"/>
          <w:szCs w:val="28"/>
        </w:rPr>
      </w:pPr>
      <w:bookmarkStart w:id="494" w:name="_Toc21413"/>
      <w:bookmarkStart w:id="495" w:name="_Toc16500"/>
      <w:r>
        <w:rPr>
          <w:rFonts w:hint="eastAsia" w:ascii="宋体" w:hAnsi="宋体"/>
          <w:b/>
          <w:bCs/>
          <w:kern w:val="0"/>
          <w:sz w:val="28"/>
          <w:szCs w:val="28"/>
        </w:rPr>
        <w:t>Ⅲ  布置与构造</w:t>
      </w:r>
      <w:bookmarkEnd w:id="494"/>
      <w:bookmarkEnd w:id="495"/>
    </w:p>
    <w:p>
      <w:pPr>
        <w:autoSpaceDN w:val="0"/>
        <w:adjustRightInd w:val="0"/>
        <w:snapToGrid w:val="0"/>
        <w:spacing w:line="360" w:lineRule="auto"/>
        <w:jc w:val="left"/>
        <w:rPr>
          <w:rFonts w:ascii="宋体" w:hAnsi="宋体"/>
          <w:color w:val="0D0D0D"/>
          <w:kern w:val="0"/>
          <w:szCs w:val="24"/>
        </w:rPr>
      </w:pPr>
      <w:r>
        <w:rPr>
          <w:rFonts w:hint="eastAsia" w:ascii="宋体" w:hAnsi="宋体"/>
          <w:color w:val="0D0D0D"/>
          <w:kern w:val="0"/>
          <w:szCs w:val="24"/>
        </w:rPr>
        <w:t xml:space="preserve">8.2.17 </w:t>
      </w:r>
      <w:r>
        <w:rPr>
          <w:rFonts w:hint="eastAsia" w:ascii="宋体" w:hAnsi="宋体"/>
          <w:szCs w:val="24"/>
        </w:rPr>
        <w:t>钢板桩是由生产厂家根据客户需求进行加工制作的成品构件，</w:t>
      </w:r>
      <w:r>
        <w:rPr>
          <w:rFonts w:hint="eastAsia" w:ascii="宋体" w:hAnsi="宋体"/>
          <w:color w:val="0D0D0D"/>
          <w:kern w:val="0"/>
          <w:szCs w:val="24"/>
        </w:rPr>
        <w:t>钢板桩规格有热轧钢板桩和冷弯钢板桩，</w:t>
      </w:r>
      <w:r>
        <w:rPr>
          <w:rFonts w:hint="eastAsia" w:ascii="宋体" w:hAnsi="宋体"/>
          <w:bCs/>
          <w:color w:val="0D0D0D"/>
          <w:kern w:val="0"/>
          <w:szCs w:val="24"/>
        </w:rPr>
        <w:t>其性能和相关参数可参照国家现行行业产品标准《热轧钢板桩》GB/T20933和</w:t>
      </w:r>
      <w:r>
        <w:rPr>
          <w:rFonts w:hint="eastAsia" w:ascii="宋体" w:hAnsi="宋体"/>
          <w:kern w:val="0"/>
          <w:szCs w:val="24"/>
        </w:rPr>
        <w:t>《钢板桩》</w:t>
      </w:r>
      <w:r>
        <w:rPr>
          <w:rFonts w:ascii="宋体" w:hAnsi="宋体"/>
          <w:kern w:val="0"/>
          <w:szCs w:val="24"/>
        </w:rPr>
        <w:t>JG/T196</w:t>
      </w:r>
      <w:r>
        <w:rPr>
          <w:rFonts w:hint="eastAsia" w:ascii="宋体" w:hAnsi="宋体"/>
          <w:kern w:val="0"/>
          <w:szCs w:val="24"/>
        </w:rPr>
        <w:t>。钢板桩</w:t>
      </w:r>
      <w:r>
        <w:rPr>
          <w:rFonts w:hint="eastAsia" w:ascii="宋体" w:hAnsi="宋体"/>
          <w:color w:val="0D0D0D"/>
          <w:kern w:val="0"/>
          <w:szCs w:val="24"/>
        </w:rPr>
        <w:t>截面形式宜采用</w:t>
      </w:r>
      <w:r>
        <w:rPr>
          <w:rFonts w:ascii="宋体" w:hAnsi="宋体"/>
          <w:color w:val="0D0D0D"/>
          <w:kern w:val="0"/>
          <w:szCs w:val="24"/>
        </w:rPr>
        <w:t>U</w:t>
      </w:r>
      <w:r>
        <w:rPr>
          <w:rFonts w:hint="eastAsia" w:ascii="宋体" w:hAnsi="宋体"/>
          <w:color w:val="0D0D0D"/>
          <w:kern w:val="0"/>
          <w:szCs w:val="24"/>
        </w:rPr>
        <w:t>型（拉森式），也可采用</w:t>
      </w:r>
      <w:r>
        <w:rPr>
          <w:rFonts w:ascii="宋体" w:hAnsi="宋体"/>
          <w:color w:val="0D0D0D"/>
          <w:kern w:val="0"/>
          <w:szCs w:val="24"/>
        </w:rPr>
        <w:t>Z</w:t>
      </w:r>
      <w:r>
        <w:rPr>
          <w:rFonts w:hint="eastAsia" w:ascii="宋体" w:hAnsi="宋体"/>
          <w:color w:val="0D0D0D"/>
          <w:kern w:val="0"/>
          <w:szCs w:val="24"/>
        </w:rPr>
        <w:t>型、直线型和帽型（图8.2.17），</w:t>
      </w:r>
      <w:r>
        <w:rPr>
          <w:rFonts w:hint="eastAsia" w:ascii="宋体" w:hAnsi="宋体"/>
          <w:kern w:val="0"/>
          <w:szCs w:val="24"/>
        </w:rPr>
        <w:t>常用的钢板桩截面型号及参数见本标</w:t>
      </w:r>
      <w:r>
        <w:rPr>
          <w:rFonts w:hint="eastAsia" w:ascii="宋体" w:hAnsi="宋体"/>
          <w:color w:val="000000" w:themeColor="text1"/>
          <w:kern w:val="0"/>
          <w:szCs w:val="24"/>
          <w14:textFill>
            <w14:solidFill>
              <w14:schemeClr w14:val="tx1"/>
            </w14:solidFill>
          </w14:textFill>
        </w:rPr>
        <w:t>准</w:t>
      </w:r>
      <w:r>
        <w:rPr>
          <w:rFonts w:hint="eastAsia" w:ascii="宋体" w:hAnsi="宋体"/>
          <w:color w:val="FF0000"/>
          <w:kern w:val="0"/>
          <w:szCs w:val="24"/>
        </w:rPr>
        <w:t>附录G</w:t>
      </w:r>
      <w:r>
        <w:rPr>
          <w:rFonts w:hint="eastAsia" w:ascii="宋体" w:hAnsi="宋体"/>
          <w:kern w:val="0"/>
          <w:szCs w:val="24"/>
        </w:rPr>
        <w:t>。</w:t>
      </w:r>
    </w:p>
    <w:p>
      <w:pPr>
        <w:autoSpaceDN w:val="0"/>
        <w:adjustRightInd w:val="0"/>
        <w:snapToGrid w:val="0"/>
        <w:spacing w:after="200"/>
        <w:jc w:val="center"/>
        <w:rPr>
          <w:rFonts w:ascii="Tahoma" w:hAnsi="宋体" w:eastAsia="微软雅黑"/>
          <w:color w:val="FF0000"/>
          <w:kern w:val="0"/>
          <w:sz w:val="22"/>
          <w:szCs w:val="21"/>
        </w:rPr>
      </w:pPr>
      <w:r>
        <w:rPr>
          <w:rFonts w:ascii="Tahoma" w:hAnsi="宋体" w:eastAsia="微软雅黑"/>
          <w:color w:val="FF0000"/>
          <w:kern w:val="0"/>
          <w:sz w:val="22"/>
          <w:szCs w:val="21"/>
        </w:rPr>
        <w:drawing>
          <wp:inline distT="0" distB="0" distL="0" distR="0">
            <wp:extent cx="1380490" cy="551815"/>
            <wp:effectExtent l="0" t="0" r="6350" b="12065"/>
            <wp:docPr id="355" name="图片 3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true" noChangeArrowheads="true"/>
                    </pic:cNvPicPr>
                  </pic:nvPicPr>
                  <pic:blipFill>
                    <a:blip r:embed="rId412">
                      <a:extLst>
                        <a:ext uri="{28A0092B-C50C-407E-A947-70E740481C1C}">
                          <a14:useLocalDpi xmlns:a14="http://schemas.microsoft.com/office/drawing/2010/main" val="false"/>
                        </a:ext>
                      </a:extLst>
                    </a:blip>
                    <a:srcRect/>
                    <a:stretch>
                      <a:fillRect/>
                    </a:stretch>
                  </pic:blipFill>
                  <pic:spPr>
                    <a:xfrm>
                      <a:off x="0" y="0"/>
                      <a:ext cx="1380490" cy="551815"/>
                    </a:xfrm>
                    <a:prstGeom prst="rect">
                      <a:avLst/>
                    </a:prstGeom>
                    <a:noFill/>
                    <a:ln>
                      <a:noFill/>
                    </a:ln>
                  </pic:spPr>
                </pic:pic>
              </a:graphicData>
            </a:graphic>
          </wp:inline>
        </w:drawing>
      </w:r>
      <w:r>
        <w:rPr>
          <w:rFonts w:hint="eastAsia" w:ascii="Tahoma" w:hAnsi="宋体" w:eastAsia="微软雅黑"/>
          <w:color w:val="FF0000"/>
          <w:kern w:val="0"/>
          <w:sz w:val="22"/>
          <w:szCs w:val="21"/>
        </w:rPr>
        <w:t xml:space="preserve">                  </w:t>
      </w:r>
      <w:r>
        <w:rPr>
          <w:rFonts w:ascii="Tahoma" w:hAnsi="宋体" w:eastAsia="微软雅黑"/>
          <w:color w:val="FF0000"/>
          <w:kern w:val="0"/>
          <w:sz w:val="22"/>
          <w:szCs w:val="21"/>
        </w:rPr>
        <w:drawing>
          <wp:inline distT="0" distB="0" distL="0" distR="0">
            <wp:extent cx="1035050" cy="716280"/>
            <wp:effectExtent l="0" t="0" r="1270" b="0"/>
            <wp:docPr id="354" name="图片 3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true" noChangeArrowheads="true"/>
                    </pic:cNvPicPr>
                  </pic:nvPicPr>
                  <pic:blipFill>
                    <a:blip r:embed="rId413">
                      <a:extLst>
                        <a:ext uri="{28A0092B-C50C-407E-A947-70E740481C1C}">
                          <a14:useLocalDpi xmlns:a14="http://schemas.microsoft.com/office/drawing/2010/main" val="false"/>
                        </a:ext>
                      </a:extLst>
                    </a:blip>
                    <a:srcRect/>
                    <a:stretch>
                      <a:fillRect/>
                    </a:stretch>
                  </pic:blipFill>
                  <pic:spPr>
                    <a:xfrm>
                      <a:off x="0" y="0"/>
                      <a:ext cx="1035050" cy="716280"/>
                    </a:xfrm>
                    <a:prstGeom prst="rect">
                      <a:avLst/>
                    </a:prstGeom>
                    <a:noFill/>
                    <a:ln>
                      <a:noFill/>
                    </a:ln>
                  </pic:spPr>
                </pic:pic>
              </a:graphicData>
            </a:graphic>
          </wp:inline>
        </w:drawing>
      </w:r>
    </w:p>
    <w:p>
      <w:pPr>
        <w:autoSpaceDN w:val="0"/>
        <w:adjustRightInd w:val="0"/>
        <w:snapToGrid w:val="0"/>
        <w:spacing w:after="200" w:line="360" w:lineRule="auto"/>
        <w:ind w:firstLine="2400"/>
        <w:rPr>
          <w:rFonts w:ascii="Tahoma" w:hAnsi="Tahoma" w:eastAsia="微软雅黑"/>
          <w:kern w:val="0"/>
          <w:sz w:val="15"/>
          <w:szCs w:val="15"/>
        </w:rPr>
      </w:pPr>
      <w:r>
        <w:rPr>
          <w:rFonts w:hint="eastAsia" w:ascii="Tahoma" w:hAnsi="Tahoma" w:eastAsia="微软雅黑"/>
          <w:kern w:val="0"/>
          <w:sz w:val="15"/>
          <w:szCs w:val="15"/>
        </w:rPr>
        <w:t xml:space="preserve"> （a）U型</w:t>
      </w:r>
      <w:r>
        <w:rPr>
          <w:rFonts w:hint="eastAsia" w:ascii="Tahoma" w:hAnsi="Tahoma" w:eastAsia="微软雅黑"/>
          <w:kern w:val="0"/>
          <w:sz w:val="15"/>
          <w:szCs w:val="15"/>
        </w:rPr>
        <w:tab/>
      </w:r>
      <w:r>
        <w:rPr>
          <w:rFonts w:hint="eastAsia" w:ascii="Tahoma" w:hAnsi="Tahoma" w:eastAsia="微软雅黑"/>
          <w:kern w:val="0"/>
          <w:sz w:val="15"/>
          <w:szCs w:val="15"/>
        </w:rPr>
        <w:t xml:space="preserve">                                       （b）Z型</w:t>
      </w:r>
    </w:p>
    <w:p>
      <w:pPr>
        <w:autoSpaceDN w:val="0"/>
        <w:adjustRightInd w:val="0"/>
        <w:snapToGrid w:val="0"/>
        <w:spacing w:after="200"/>
        <w:ind w:firstLine="1980"/>
        <w:jc w:val="left"/>
        <w:rPr>
          <w:rFonts w:ascii="Tahoma" w:hAnsi="宋体" w:eastAsia="微软雅黑"/>
          <w:color w:val="FF0000"/>
          <w:kern w:val="0"/>
          <w:sz w:val="22"/>
          <w:szCs w:val="21"/>
        </w:rPr>
      </w:pPr>
      <w:r>
        <w:rPr>
          <w:rFonts w:ascii="Tahoma" w:hAnsi="宋体" w:eastAsia="微软雅黑"/>
          <w:color w:val="FF0000"/>
          <w:kern w:val="0"/>
          <w:sz w:val="22"/>
          <w:szCs w:val="21"/>
        </w:rPr>
        <w:drawing>
          <wp:inline distT="0" distB="0" distL="0" distR="0">
            <wp:extent cx="1147445" cy="163830"/>
            <wp:effectExtent l="0" t="0" r="10795" b="3810"/>
            <wp:docPr id="353" name="图片 3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true" noChangeArrowheads="true"/>
                    </pic:cNvPicPr>
                  </pic:nvPicPr>
                  <pic:blipFill>
                    <a:blip r:embed="rId414" cstate="print">
                      <a:extLst>
                        <a:ext uri="{28A0092B-C50C-407E-A947-70E740481C1C}">
                          <a14:useLocalDpi xmlns:a14="http://schemas.microsoft.com/office/drawing/2010/main" val="false"/>
                        </a:ext>
                      </a:extLst>
                    </a:blip>
                    <a:srcRect/>
                    <a:stretch>
                      <a:fillRect/>
                    </a:stretch>
                  </pic:blipFill>
                  <pic:spPr>
                    <a:xfrm>
                      <a:off x="0" y="0"/>
                      <a:ext cx="1147445" cy="163830"/>
                    </a:xfrm>
                    <a:prstGeom prst="rect">
                      <a:avLst/>
                    </a:prstGeom>
                    <a:noFill/>
                    <a:ln>
                      <a:noFill/>
                    </a:ln>
                  </pic:spPr>
                </pic:pic>
              </a:graphicData>
            </a:graphic>
          </wp:inline>
        </w:drawing>
      </w:r>
      <w:r>
        <w:rPr>
          <w:rFonts w:hint="eastAsia" w:ascii="Tahoma" w:hAnsi="宋体" w:eastAsia="微软雅黑"/>
          <w:color w:val="FF0000"/>
          <w:kern w:val="0"/>
          <w:sz w:val="22"/>
          <w:szCs w:val="21"/>
        </w:rPr>
        <w:t xml:space="preserve">                    </w:t>
      </w:r>
      <w:r>
        <w:rPr>
          <w:rFonts w:ascii="Tahoma" w:hAnsi="宋体" w:eastAsia="微软雅黑"/>
          <w:color w:val="FF0000"/>
          <w:kern w:val="0"/>
          <w:sz w:val="22"/>
          <w:szCs w:val="21"/>
        </w:rPr>
        <w:drawing>
          <wp:inline distT="0" distB="0" distL="0" distR="0">
            <wp:extent cx="1388745" cy="491490"/>
            <wp:effectExtent l="0" t="0" r="13335" b="11430"/>
            <wp:docPr id="352" name="图片 3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true" noChangeArrowheads="true"/>
                    </pic:cNvPicPr>
                  </pic:nvPicPr>
                  <pic:blipFill>
                    <a:blip r:embed="rId415" cstate="print">
                      <a:extLst>
                        <a:ext uri="{28A0092B-C50C-407E-A947-70E740481C1C}">
                          <a14:useLocalDpi xmlns:a14="http://schemas.microsoft.com/office/drawing/2010/main" val="false"/>
                        </a:ext>
                      </a:extLst>
                    </a:blip>
                    <a:srcRect/>
                    <a:stretch>
                      <a:fillRect/>
                    </a:stretch>
                  </pic:blipFill>
                  <pic:spPr>
                    <a:xfrm>
                      <a:off x="0" y="0"/>
                      <a:ext cx="1388745" cy="491490"/>
                    </a:xfrm>
                    <a:prstGeom prst="rect">
                      <a:avLst/>
                    </a:prstGeom>
                    <a:noFill/>
                    <a:ln>
                      <a:noFill/>
                    </a:ln>
                  </pic:spPr>
                </pic:pic>
              </a:graphicData>
            </a:graphic>
          </wp:inline>
        </w:drawing>
      </w:r>
    </w:p>
    <w:p>
      <w:pPr>
        <w:autoSpaceDN w:val="0"/>
        <w:adjustRightInd w:val="0"/>
        <w:snapToGrid w:val="0"/>
        <w:spacing w:after="200" w:line="360" w:lineRule="auto"/>
        <w:jc w:val="center"/>
        <w:rPr>
          <w:rFonts w:ascii="Tahoma" w:hAnsi="Tahoma" w:eastAsia="微软雅黑"/>
          <w:kern w:val="0"/>
          <w:sz w:val="15"/>
          <w:szCs w:val="15"/>
        </w:rPr>
      </w:pPr>
      <w:r>
        <w:rPr>
          <w:rFonts w:hint="eastAsia" w:ascii="Tahoma" w:hAnsi="Tahoma" w:eastAsia="微软雅黑"/>
          <w:kern w:val="0"/>
          <w:sz w:val="15"/>
          <w:szCs w:val="15"/>
        </w:rPr>
        <w:t>（c）直线型                                              (d) 帽型</w:t>
      </w:r>
    </w:p>
    <w:p>
      <w:pPr>
        <w:adjustRightInd w:val="0"/>
        <w:snapToGrid w:val="0"/>
        <w:spacing w:after="200"/>
        <w:jc w:val="center"/>
        <w:rPr>
          <w:rFonts w:ascii="宋体" w:hAnsi="宋体"/>
          <w:kern w:val="0"/>
          <w:szCs w:val="21"/>
        </w:rPr>
      </w:pPr>
      <w:r>
        <w:rPr>
          <w:rFonts w:hint="eastAsia" w:ascii="宋体" w:hAnsi="宋体"/>
          <w:kern w:val="0"/>
          <w:szCs w:val="21"/>
        </w:rPr>
        <w:t>图8</w:t>
      </w:r>
      <w:r>
        <w:rPr>
          <w:rFonts w:ascii="宋体" w:hAnsi="宋体"/>
          <w:kern w:val="0"/>
          <w:szCs w:val="21"/>
        </w:rPr>
        <w:t>.</w:t>
      </w:r>
      <w:r>
        <w:rPr>
          <w:rFonts w:hint="eastAsia" w:ascii="宋体" w:hAnsi="宋体"/>
          <w:kern w:val="0"/>
          <w:szCs w:val="21"/>
        </w:rPr>
        <w:t>2</w:t>
      </w:r>
      <w:r>
        <w:rPr>
          <w:rFonts w:ascii="宋体" w:hAnsi="宋体"/>
          <w:kern w:val="0"/>
          <w:szCs w:val="21"/>
        </w:rPr>
        <w:t>.</w:t>
      </w:r>
      <w:r>
        <w:rPr>
          <w:rFonts w:hint="eastAsia" w:ascii="宋体" w:hAnsi="宋体"/>
          <w:kern w:val="0"/>
          <w:szCs w:val="21"/>
        </w:rPr>
        <w:t>17钢板桩常用截面形式</w:t>
      </w:r>
    </w:p>
    <w:p>
      <w:pPr>
        <w:autoSpaceDN w:val="0"/>
        <w:spacing w:line="360" w:lineRule="auto"/>
        <w:rPr>
          <w:rFonts w:ascii="宋体" w:hAnsi="宋体"/>
          <w:szCs w:val="24"/>
        </w:rPr>
      </w:pPr>
      <w:r>
        <w:rPr>
          <w:rFonts w:hint="eastAsia" w:ascii="宋体" w:hAnsi="宋体"/>
          <w:szCs w:val="24"/>
        </w:rPr>
        <w:t>8.2.18 钢板桩宜采用整材，通用长度一般为6m、9m、12m、15m、18m，最大长度不宜超过24m。钢板桩也可以采用焊接接长，接头不应超过2个，接头位置不宜设置在支撑或受力较大部位。</w:t>
      </w:r>
    </w:p>
    <w:p>
      <w:pPr>
        <w:spacing w:line="360" w:lineRule="auto"/>
        <w:rPr>
          <w:rFonts w:ascii="宋体" w:hAnsi="宋体" w:cs="Arial"/>
          <w:color w:val="333333"/>
          <w:szCs w:val="24"/>
        </w:rPr>
      </w:pPr>
      <w:r>
        <w:rPr>
          <w:rFonts w:hint="eastAsia" w:ascii="宋体" w:hAnsi="宋体" w:cs="Arial"/>
          <w:color w:val="333333"/>
          <w:szCs w:val="24"/>
        </w:rPr>
        <w:t>8.2.19 钢板</w:t>
      </w:r>
      <w:r>
        <w:rPr>
          <w:rFonts w:ascii="宋体" w:hAnsi="宋体"/>
          <w:szCs w:val="24"/>
        </w:rPr>
        <w:t>桩的平面布置形状应尽量平直</w:t>
      </w:r>
      <w:r>
        <w:rPr>
          <w:rFonts w:hint="eastAsia" w:ascii="宋体" w:hAnsi="宋体"/>
          <w:szCs w:val="24"/>
        </w:rPr>
        <w:t>整齐</w:t>
      </w:r>
      <w:r>
        <w:rPr>
          <w:rFonts w:ascii="宋体" w:hAnsi="宋体"/>
          <w:szCs w:val="24"/>
        </w:rPr>
        <w:t>，避免不规则的转角，</w:t>
      </w:r>
      <w:r>
        <w:rPr>
          <w:rFonts w:ascii="宋体" w:hAnsi="宋体" w:cs="Arial"/>
          <w:color w:val="333333"/>
          <w:szCs w:val="24"/>
        </w:rPr>
        <w:t>应便于</w:t>
      </w:r>
      <w:r>
        <w:rPr>
          <w:rFonts w:hint="eastAsia" w:ascii="宋体" w:hAnsi="宋体" w:cs="Arial"/>
          <w:color w:val="333333"/>
          <w:szCs w:val="24"/>
        </w:rPr>
        <w:t>地下结构</w:t>
      </w:r>
      <w:r>
        <w:rPr>
          <w:rFonts w:ascii="宋体" w:hAnsi="宋体" w:cs="Arial"/>
          <w:color w:val="333333"/>
          <w:szCs w:val="24"/>
        </w:rPr>
        <w:t>施工，</w:t>
      </w:r>
      <w:r>
        <w:rPr>
          <w:rFonts w:hint="eastAsia" w:ascii="宋体" w:hAnsi="宋体" w:cs="Arial"/>
          <w:color w:val="333333"/>
          <w:szCs w:val="24"/>
        </w:rPr>
        <w:t>如因场地空间有限或其它特殊情况须用</w:t>
      </w:r>
      <w:r>
        <w:rPr>
          <w:rFonts w:ascii="宋体" w:hAnsi="宋体" w:cs="Arial"/>
          <w:color w:val="333333"/>
          <w:szCs w:val="24"/>
        </w:rPr>
        <w:t>钢板桩作为</w:t>
      </w:r>
      <w:r>
        <w:rPr>
          <w:rFonts w:hint="eastAsia" w:ascii="宋体" w:hAnsi="宋体" w:cs="Arial"/>
          <w:color w:val="333333"/>
          <w:szCs w:val="24"/>
        </w:rPr>
        <w:t>地下结构</w:t>
      </w:r>
      <w:r>
        <w:rPr>
          <w:rFonts w:ascii="宋体" w:hAnsi="宋体" w:cs="Arial"/>
          <w:color w:val="333333"/>
          <w:szCs w:val="24"/>
        </w:rPr>
        <w:t>的</w:t>
      </w:r>
      <w:r>
        <w:rPr>
          <w:rFonts w:hint="eastAsia" w:ascii="宋体" w:hAnsi="宋体" w:cs="Arial"/>
          <w:color w:val="333333"/>
          <w:szCs w:val="24"/>
        </w:rPr>
        <w:t>外模时，钢板桩与地下结构之间应设置木板或油毡等不可压缩的隔离材料</w:t>
      </w:r>
      <w:r>
        <w:rPr>
          <w:rFonts w:ascii="宋体" w:hAnsi="宋体" w:cs="Arial"/>
          <w:color w:val="333333"/>
          <w:szCs w:val="24"/>
        </w:rPr>
        <w:t>，以利</w:t>
      </w:r>
      <w:r>
        <w:rPr>
          <w:rFonts w:hint="eastAsia" w:ascii="宋体" w:hAnsi="宋体" w:cs="Arial"/>
          <w:color w:val="333333"/>
          <w:szCs w:val="24"/>
        </w:rPr>
        <w:t>后期</w:t>
      </w:r>
      <w:r>
        <w:rPr>
          <w:rFonts w:ascii="宋体" w:hAnsi="宋体" w:cs="Arial"/>
          <w:color w:val="333333"/>
          <w:szCs w:val="24"/>
        </w:rPr>
        <w:t>钢板桩的</w:t>
      </w:r>
      <w:r>
        <w:rPr>
          <w:rFonts w:hint="eastAsia" w:ascii="宋体" w:hAnsi="宋体" w:cs="Arial"/>
          <w:color w:val="333333"/>
          <w:szCs w:val="24"/>
        </w:rPr>
        <w:t>拔除。</w:t>
      </w:r>
    </w:p>
    <w:p>
      <w:pPr>
        <w:adjustRightInd w:val="0"/>
        <w:snapToGrid w:val="0"/>
        <w:spacing w:line="360" w:lineRule="auto"/>
        <w:rPr>
          <w:rFonts w:ascii="宋体" w:hAnsi="宋体"/>
          <w:szCs w:val="24"/>
        </w:rPr>
      </w:pPr>
      <w:r>
        <w:rPr>
          <w:rFonts w:hint="eastAsia" w:ascii="宋体" w:hAnsi="宋体"/>
          <w:szCs w:val="24"/>
        </w:rPr>
        <w:t>8.2.20 钢板桩平面布置应考虑周围既有建（构）筑物、管线、高空电缆等障碍物到钢板桩水平和垂直方向最小距离，应满足打桩设备最小作业空间要求。</w:t>
      </w:r>
    </w:p>
    <w:p>
      <w:pPr>
        <w:autoSpaceDN w:val="0"/>
        <w:adjustRightInd w:val="0"/>
        <w:snapToGrid w:val="0"/>
        <w:spacing w:line="360" w:lineRule="auto"/>
        <w:rPr>
          <w:rFonts w:ascii="宋体" w:hAnsi="宋体"/>
          <w:color w:val="000000"/>
          <w:szCs w:val="24"/>
        </w:rPr>
      </w:pPr>
      <w:r>
        <w:rPr>
          <w:rFonts w:hint="eastAsia" w:ascii="宋体" w:hAnsi="宋体"/>
          <w:color w:val="000000"/>
          <w:szCs w:val="24"/>
        </w:rPr>
        <w:t xml:space="preserve">8.2.21 </w:t>
      </w:r>
      <w:r>
        <w:rPr>
          <w:rFonts w:hint="eastAsia" w:ascii="宋体" w:hAnsi="宋体"/>
          <w:color w:val="000000"/>
        </w:rPr>
        <w:t>钢板桩为多次周转重复使用的材料，在使用过程中会发生板桩的变形、损伤，应定期进行矫正与修补。重复使用的钢板桩在支护结构设计计算时应按现行有关规定对强度性能和截面参数进行适当折减。</w:t>
      </w:r>
    </w:p>
    <w:p>
      <w:pPr>
        <w:autoSpaceDN w:val="0"/>
        <w:adjustRightInd w:val="0"/>
        <w:snapToGrid w:val="0"/>
        <w:spacing w:line="360" w:lineRule="auto"/>
        <w:jc w:val="center"/>
        <w:rPr>
          <w:rFonts w:ascii="宋体" w:hAnsi="宋体"/>
          <w:b/>
          <w:bCs/>
          <w:kern w:val="0"/>
          <w:sz w:val="28"/>
          <w:szCs w:val="28"/>
        </w:rPr>
      </w:pPr>
      <w:r>
        <w:rPr>
          <w:rFonts w:hint="eastAsia" w:ascii="宋体" w:hAnsi="宋体"/>
          <w:b/>
          <w:bCs/>
          <w:kern w:val="0"/>
          <w:sz w:val="28"/>
          <w:szCs w:val="28"/>
        </w:rPr>
        <w:t>Ⅳ  施工与检测</w:t>
      </w:r>
    </w:p>
    <w:p>
      <w:pPr>
        <w:autoSpaceDN w:val="0"/>
        <w:adjustRightInd w:val="0"/>
        <w:snapToGrid w:val="0"/>
        <w:spacing w:line="360" w:lineRule="auto"/>
        <w:rPr>
          <w:rFonts w:ascii="宋体" w:hAnsi="宋体"/>
          <w:color w:val="000000"/>
          <w:szCs w:val="24"/>
        </w:rPr>
      </w:pPr>
      <w:r>
        <w:rPr>
          <w:rFonts w:hint="eastAsia" w:ascii="宋体" w:hAnsi="宋体"/>
          <w:szCs w:val="24"/>
        </w:rPr>
        <w:t>8.2.22 钢板桩沉桩施工常采用振动法，</w:t>
      </w:r>
      <w:r>
        <w:rPr>
          <w:rFonts w:hint="eastAsia" w:ascii="宋体" w:hAnsi="宋体"/>
          <w:color w:val="000000"/>
          <w:szCs w:val="24"/>
        </w:rPr>
        <w:t>振动法可以采用吊车悬吊振动锤，也可以由挖掘机直接改装成机械手进行一体化施工。对振动、噪音比较敏感或保护要求较高的场所宜选用高频免共振振动锤，也可以采用静压法。</w:t>
      </w:r>
    </w:p>
    <w:p>
      <w:pPr>
        <w:autoSpaceDN w:val="0"/>
        <w:adjustRightInd w:val="0"/>
        <w:snapToGrid w:val="0"/>
        <w:spacing w:line="360" w:lineRule="auto"/>
        <w:rPr>
          <w:rFonts w:ascii="宋体" w:hAnsi="宋体"/>
          <w:kern w:val="0"/>
          <w:szCs w:val="24"/>
        </w:rPr>
      </w:pPr>
      <w:r>
        <w:rPr>
          <w:rFonts w:hint="eastAsia" w:ascii="宋体" w:hAnsi="宋体"/>
          <w:szCs w:val="24"/>
        </w:rPr>
        <w:t xml:space="preserve">8.2.23 </w:t>
      </w:r>
      <w:r>
        <w:rPr>
          <w:rFonts w:hint="eastAsia" w:ascii="宋体" w:hAnsi="宋体" w:cs="宋体"/>
          <w:kern w:val="0"/>
          <w:szCs w:val="24"/>
        </w:rPr>
        <w:t>振动法沉桩应根据地质条件、钢板桩型号、入土深度、施工场地条件、周边环境要求等因素选择合适的振动锤或机械手，可</w:t>
      </w:r>
      <w:r>
        <w:rPr>
          <w:rFonts w:hint="eastAsia" w:ascii="宋体" w:hAnsi="宋体"/>
          <w:kern w:val="0"/>
          <w:szCs w:val="24"/>
        </w:rPr>
        <w:t>按本标准</w:t>
      </w:r>
      <w:r>
        <w:rPr>
          <w:rFonts w:hint="eastAsia" w:ascii="宋体" w:hAnsi="宋体"/>
          <w:color w:val="FF0000"/>
          <w:kern w:val="0"/>
          <w:szCs w:val="24"/>
        </w:rPr>
        <w:t>附录H</w:t>
      </w:r>
      <w:r>
        <w:rPr>
          <w:rFonts w:hint="eastAsia" w:ascii="宋体" w:hAnsi="宋体"/>
          <w:kern w:val="0"/>
          <w:szCs w:val="24"/>
        </w:rPr>
        <w:t>选择。</w:t>
      </w:r>
    </w:p>
    <w:p>
      <w:pPr>
        <w:autoSpaceDN w:val="0"/>
        <w:adjustRightInd w:val="0"/>
        <w:snapToGrid w:val="0"/>
        <w:spacing w:line="360" w:lineRule="auto"/>
        <w:rPr>
          <w:rFonts w:ascii="宋体" w:hAnsi="宋体"/>
          <w:szCs w:val="24"/>
        </w:rPr>
      </w:pPr>
      <w:r>
        <w:rPr>
          <w:rFonts w:hint="eastAsia" w:ascii="宋体" w:hAnsi="宋体"/>
          <w:szCs w:val="24"/>
        </w:rPr>
        <w:t>8.2.24 钢板桩沉桩插打方式包括逐根式和屏风式，一般常采用逐根式，逐根式</w:t>
      </w:r>
      <w:r>
        <w:rPr>
          <w:rFonts w:hint="eastAsia" w:ascii="宋体" w:hAnsi="宋体"/>
          <w:color w:val="000000"/>
          <w:szCs w:val="24"/>
        </w:rPr>
        <w:t>施工前</w:t>
      </w:r>
      <w:r>
        <w:rPr>
          <w:rFonts w:hint="eastAsia" w:ascii="宋体" w:hAnsi="宋体" w:cs="宋体"/>
          <w:color w:val="000000"/>
          <w:kern w:val="0"/>
          <w:szCs w:val="24"/>
        </w:rPr>
        <w:t>应根据现场条件确定沉桩顺序，刚开始宜沿板桩墙轴线方向对称向两侧推进施工，待形成一段整体桩墙后再向一侧连续沉桩。</w:t>
      </w:r>
      <w:r>
        <w:rPr>
          <w:rFonts w:hint="eastAsia" w:ascii="宋体" w:hAnsi="宋体"/>
          <w:szCs w:val="24"/>
        </w:rPr>
        <w:t>对于成桩精度要求较高或插打较长钢板桩，宜采用屏风式，还应设置导向架，导向架应有一定的强度和刚度，不得随沉桩而下沉或变形。</w:t>
      </w:r>
    </w:p>
    <w:p>
      <w:pPr>
        <w:autoSpaceDN w:val="0"/>
        <w:adjustRightInd w:val="0"/>
        <w:snapToGrid w:val="0"/>
        <w:spacing w:line="360" w:lineRule="auto"/>
        <w:rPr>
          <w:rFonts w:ascii="宋体" w:hAnsi="宋体"/>
          <w:color w:val="000000"/>
          <w:szCs w:val="24"/>
        </w:rPr>
      </w:pPr>
      <w:r>
        <w:rPr>
          <w:rFonts w:hint="eastAsia" w:ascii="宋体" w:hAnsi="宋体"/>
          <w:color w:val="000000"/>
          <w:szCs w:val="24"/>
        </w:rPr>
        <w:t>8.2.25 静压沉桩法一般适用于软土地层，应采用逐根式，每根桩应一次连续压到底，中间不得无故停歇。</w:t>
      </w:r>
    </w:p>
    <w:p>
      <w:pPr>
        <w:autoSpaceDN w:val="0"/>
        <w:adjustRightInd w:val="0"/>
        <w:snapToGrid w:val="0"/>
        <w:spacing w:line="360" w:lineRule="auto"/>
        <w:rPr>
          <w:rFonts w:ascii="宋体" w:hAnsi="宋体"/>
          <w:color w:val="000000"/>
          <w:kern w:val="0"/>
          <w:szCs w:val="24"/>
        </w:rPr>
      </w:pPr>
      <w:r>
        <w:rPr>
          <w:rFonts w:hint="eastAsia" w:ascii="宋体" w:hAnsi="宋体"/>
          <w:color w:val="000000"/>
          <w:szCs w:val="24"/>
        </w:rPr>
        <w:t>8.2.26 锤击法沉桩穿透力比较强，可适用于坚硬土层，</w:t>
      </w:r>
      <w:r>
        <w:rPr>
          <w:rFonts w:hint="eastAsia" w:ascii="宋体" w:hAnsi="宋体"/>
          <w:color w:val="000000"/>
          <w:kern w:val="0"/>
          <w:szCs w:val="24"/>
        </w:rPr>
        <w:t>在硬黏土中沉桩时，宜采用重锤低击方式；在密实的砂性土中沉桩时，宜采用小锤快打方式。</w:t>
      </w:r>
    </w:p>
    <w:p>
      <w:pPr>
        <w:autoSpaceDN w:val="0"/>
        <w:adjustRightInd w:val="0"/>
        <w:snapToGrid w:val="0"/>
        <w:spacing w:line="360" w:lineRule="auto"/>
        <w:rPr>
          <w:rFonts w:ascii="宋体" w:hAnsi="宋体" w:cs="宋体"/>
          <w:color w:val="000000"/>
          <w:kern w:val="0"/>
          <w:szCs w:val="24"/>
        </w:rPr>
      </w:pPr>
      <w:r>
        <w:rPr>
          <w:rFonts w:hint="eastAsia" w:ascii="宋体" w:hAnsi="宋体" w:cs="宋体"/>
          <w:color w:val="000000"/>
          <w:kern w:val="0"/>
          <w:szCs w:val="24"/>
        </w:rPr>
        <w:t>8.2.27 钢板桩在坚硬的黏性土、砂土和碎石土等土层沉桩困难时，可采用预钻孔或高压射水等辅助措施。</w:t>
      </w:r>
      <w:r>
        <w:rPr>
          <w:rFonts w:hint="eastAsia" w:ascii="宋体" w:hAnsi="宋体"/>
          <w:bCs/>
          <w:color w:val="000000"/>
          <w:kern w:val="0"/>
          <w:szCs w:val="24"/>
        </w:rPr>
        <w:t>对于特别坚硬土层或较长钢板桩</w:t>
      </w:r>
      <w:r>
        <w:rPr>
          <w:rFonts w:hint="eastAsia" w:ascii="宋体" w:hAnsi="宋体" w:cs="宋体"/>
          <w:color w:val="000000"/>
          <w:kern w:val="0"/>
          <w:szCs w:val="24"/>
        </w:rPr>
        <w:t>，施工前应结合工程经验或进行沉桩试验确定其适用性。</w:t>
      </w:r>
    </w:p>
    <w:p>
      <w:pPr>
        <w:adjustRightInd w:val="0"/>
        <w:snapToGrid w:val="0"/>
        <w:spacing w:line="360" w:lineRule="auto"/>
        <w:jc w:val="left"/>
        <w:rPr>
          <w:rFonts w:ascii="宋体" w:hAnsi="宋体"/>
          <w:kern w:val="0"/>
          <w:szCs w:val="24"/>
        </w:rPr>
      </w:pPr>
      <w:r>
        <w:rPr>
          <w:rFonts w:hint="eastAsia" w:ascii="宋体" w:hAnsi="宋体"/>
          <w:kern w:val="0"/>
          <w:szCs w:val="24"/>
        </w:rPr>
        <w:t>8.2.28 作为止水帷幕功能使用时，应在平面上形成连续封闭的钢板桩墙，施工中可采取下列措施：</w:t>
      </w:r>
      <w:r>
        <w:rPr>
          <w:rFonts w:ascii="宋体" w:hAnsi="宋体"/>
          <w:kern w:val="0"/>
          <w:szCs w:val="24"/>
        </w:rPr>
        <w:t xml:space="preserve"> </w:t>
      </w:r>
    </w:p>
    <w:p>
      <w:pPr>
        <w:adjustRightInd w:val="0"/>
        <w:snapToGrid w:val="0"/>
        <w:spacing w:line="360" w:lineRule="auto"/>
        <w:ind w:firstLine="482"/>
        <w:jc w:val="left"/>
        <w:rPr>
          <w:rFonts w:ascii="宋体" w:hAnsi="宋体"/>
          <w:kern w:val="0"/>
          <w:szCs w:val="24"/>
        </w:rPr>
      </w:pPr>
      <w:r>
        <w:rPr>
          <w:rFonts w:ascii="宋体" w:hAnsi="宋体"/>
          <w:b/>
          <w:kern w:val="0"/>
          <w:szCs w:val="24"/>
        </w:rPr>
        <w:t>1</w:t>
      </w:r>
      <w:r>
        <w:rPr>
          <w:rFonts w:hint="eastAsia" w:ascii="宋体" w:hAnsi="宋体"/>
          <w:b/>
          <w:kern w:val="0"/>
          <w:szCs w:val="24"/>
        </w:rPr>
        <w:t xml:space="preserve">  </w:t>
      </w:r>
      <w:r>
        <w:rPr>
          <w:rFonts w:hint="eastAsia" w:ascii="宋体" w:hAnsi="宋体"/>
          <w:kern w:val="0"/>
          <w:szCs w:val="24"/>
        </w:rPr>
        <w:t>当遇地下大块孤石等障碍物不能正常沉桩时，可采用弧线绕过，避开障碍物，保持钢板桩墙的连续性。</w:t>
      </w:r>
    </w:p>
    <w:p>
      <w:pPr>
        <w:adjustRightInd w:val="0"/>
        <w:snapToGrid w:val="0"/>
        <w:spacing w:line="360" w:lineRule="auto"/>
        <w:ind w:firstLine="482"/>
        <w:jc w:val="left"/>
        <w:rPr>
          <w:rFonts w:ascii="宋体" w:hAnsi="宋体"/>
          <w:kern w:val="0"/>
          <w:szCs w:val="24"/>
        </w:rPr>
      </w:pPr>
      <w:r>
        <w:rPr>
          <w:rFonts w:hint="eastAsia" w:ascii="宋体" w:hAnsi="宋体"/>
          <w:b/>
          <w:kern w:val="0"/>
          <w:szCs w:val="24"/>
        </w:rPr>
        <w:t xml:space="preserve">2  </w:t>
      </w:r>
      <w:r>
        <w:rPr>
          <w:rFonts w:hint="eastAsia" w:ascii="宋体" w:hAnsi="宋体"/>
          <w:kern w:val="0"/>
          <w:szCs w:val="24"/>
        </w:rPr>
        <w:t>桩墙一侧发生倾斜过大，无法纠偏时，不能采用标准宽度的钢板桩进行封闭合拢时，可采用异型钢板桩、连接件等方法进行调整，或采用骑缝搭接的方式保证合拢。</w:t>
      </w:r>
    </w:p>
    <w:p>
      <w:pPr>
        <w:adjustRightInd w:val="0"/>
        <w:snapToGrid w:val="0"/>
        <w:spacing w:line="360" w:lineRule="auto"/>
        <w:ind w:firstLine="482"/>
        <w:jc w:val="left"/>
        <w:rPr>
          <w:rFonts w:ascii="宋体" w:hAnsi="宋体"/>
          <w:kern w:val="0"/>
          <w:szCs w:val="24"/>
        </w:rPr>
      </w:pPr>
      <w:r>
        <w:rPr>
          <w:rFonts w:hint="eastAsia" w:ascii="宋体" w:hAnsi="宋体"/>
          <w:b/>
          <w:kern w:val="0"/>
          <w:szCs w:val="24"/>
        </w:rPr>
        <w:t xml:space="preserve">3  </w:t>
      </w:r>
      <w:r>
        <w:rPr>
          <w:rFonts w:hint="eastAsia" w:ascii="宋体" w:hAnsi="宋体"/>
          <w:kern w:val="0"/>
          <w:szCs w:val="24"/>
        </w:rPr>
        <w:t>在平面</w:t>
      </w:r>
      <w:r>
        <w:rPr>
          <w:rFonts w:ascii="宋体" w:hAnsi="宋体"/>
          <w:kern w:val="0"/>
          <w:szCs w:val="24"/>
        </w:rPr>
        <w:t>转角处</w:t>
      </w:r>
      <w:r>
        <w:rPr>
          <w:rFonts w:hint="eastAsia" w:ascii="宋体" w:hAnsi="宋体"/>
          <w:kern w:val="0"/>
          <w:szCs w:val="24"/>
        </w:rPr>
        <w:t>宜根据平面布置</w:t>
      </w:r>
      <w:r>
        <w:rPr>
          <w:rFonts w:ascii="宋体" w:hAnsi="宋体"/>
          <w:kern w:val="0"/>
          <w:szCs w:val="24"/>
        </w:rPr>
        <w:t>采用特制的转角钢板桩或</w:t>
      </w:r>
      <w:r>
        <w:rPr>
          <w:rFonts w:hint="eastAsia" w:ascii="宋体" w:hAnsi="宋体"/>
          <w:kern w:val="0"/>
          <w:szCs w:val="24"/>
        </w:rPr>
        <w:t>连接件。</w:t>
      </w:r>
    </w:p>
    <w:p>
      <w:pPr>
        <w:autoSpaceDN w:val="0"/>
        <w:adjustRightInd w:val="0"/>
        <w:snapToGrid w:val="0"/>
        <w:spacing w:line="360" w:lineRule="auto"/>
        <w:rPr>
          <w:rFonts w:ascii="宋体" w:hAnsi="宋体"/>
          <w:szCs w:val="24"/>
        </w:rPr>
      </w:pPr>
      <w:r>
        <w:rPr>
          <w:rFonts w:hint="eastAsia" w:ascii="宋体" w:hAnsi="宋体"/>
          <w:szCs w:val="24"/>
        </w:rPr>
        <w:t>8.2.29 钢板桩支护结构一般情况对打入的钢板桩应拔除回收，钢板桩拔除可采用振动法或静力法，钢板桩拔除前应具备下列条件：</w:t>
      </w:r>
    </w:p>
    <w:p>
      <w:pPr>
        <w:autoSpaceDN w:val="0"/>
        <w:adjustRightInd w:val="0"/>
        <w:snapToGrid w:val="0"/>
        <w:spacing w:line="360" w:lineRule="auto"/>
        <w:rPr>
          <w:rFonts w:ascii="宋体" w:hAnsi="宋体"/>
          <w:szCs w:val="24"/>
        </w:rPr>
      </w:pPr>
      <w:r>
        <w:rPr>
          <w:rFonts w:hint="eastAsia" w:ascii="宋体" w:hAnsi="宋体"/>
          <w:szCs w:val="24"/>
        </w:rPr>
        <w:t xml:space="preserve">    1  已拆除支撑、围檩、锚杆（索）端头与钢板桩相连的辅助构件；</w:t>
      </w:r>
    </w:p>
    <w:p>
      <w:pPr>
        <w:autoSpaceDN w:val="0"/>
        <w:adjustRightInd w:val="0"/>
        <w:snapToGrid w:val="0"/>
        <w:spacing w:line="360" w:lineRule="auto"/>
        <w:rPr>
          <w:rFonts w:ascii="宋体" w:hAnsi="宋体"/>
          <w:szCs w:val="24"/>
        </w:rPr>
      </w:pPr>
      <w:r>
        <w:rPr>
          <w:rFonts w:hint="eastAsia" w:ascii="宋体" w:hAnsi="宋体"/>
          <w:szCs w:val="24"/>
        </w:rPr>
        <w:t xml:space="preserve">    </w:t>
      </w:r>
      <w:bookmarkStart w:id="496" w:name="_Toc5970"/>
      <w:bookmarkStart w:id="497" w:name="_Toc2024"/>
      <w:r>
        <w:rPr>
          <w:rFonts w:hint="eastAsia" w:ascii="宋体" w:hAnsi="宋体"/>
          <w:szCs w:val="24"/>
        </w:rPr>
        <w:t>2  基坑肥槽按设计要求回填完成；</w:t>
      </w:r>
      <w:bookmarkEnd w:id="496"/>
      <w:bookmarkEnd w:id="497"/>
    </w:p>
    <w:p>
      <w:pPr>
        <w:autoSpaceDN w:val="0"/>
        <w:adjustRightInd w:val="0"/>
        <w:snapToGrid w:val="0"/>
        <w:spacing w:line="360" w:lineRule="auto"/>
        <w:rPr>
          <w:rFonts w:ascii="宋体" w:hAnsi="宋体"/>
          <w:szCs w:val="24"/>
        </w:rPr>
      </w:pPr>
      <w:r>
        <w:rPr>
          <w:rFonts w:hint="eastAsia" w:ascii="宋体" w:hAnsi="宋体"/>
          <w:szCs w:val="24"/>
        </w:rPr>
        <w:t xml:space="preserve">    3  对周边环境产生的不利影响进行了分析并采取了有效措施。</w:t>
      </w:r>
    </w:p>
    <w:p>
      <w:pPr>
        <w:autoSpaceDN w:val="0"/>
        <w:adjustRightInd w:val="0"/>
        <w:snapToGrid w:val="0"/>
        <w:spacing w:line="360" w:lineRule="auto"/>
        <w:rPr>
          <w:rFonts w:ascii="宋体" w:hAnsi="宋体"/>
          <w:szCs w:val="24"/>
        </w:rPr>
      </w:pPr>
      <w:r>
        <w:rPr>
          <w:rFonts w:hint="eastAsia" w:ascii="宋体" w:hAnsi="宋体"/>
          <w:szCs w:val="24"/>
        </w:rPr>
        <w:t>8.2.30 拔桩顺序宜与沉桩顺序相反，对于封闭式钢板桩墙，拔桩的起点宜离开转角部位不少于5根桩，当周边环境保护要求较高时，应采取分次、分段、间隔拔桩。</w:t>
      </w:r>
    </w:p>
    <w:p>
      <w:pPr>
        <w:autoSpaceDN w:val="0"/>
        <w:adjustRightInd w:val="0"/>
        <w:snapToGrid w:val="0"/>
        <w:spacing w:line="360" w:lineRule="auto"/>
        <w:rPr>
          <w:rFonts w:ascii="宋体" w:hAnsi="宋体"/>
          <w:szCs w:val="24"/>
        </w:rPr>
      </w:pPr>
      <w:r>
        <w:rPr>
          <w:rFonts w:hint="eastAsia" w:ascii="宋体" w:hAnsi="宋体" w:cs="宋体"/>
          <w:kern w:val="0"/>
          <w:position w:val="-12"/>
          <w:szCs w:val="24"/>
        </w:rPr>
        <w:t>8.2.31 钢板桩拔除后留下的孔洞应及时填充处理，填充材料可采用砂土、水泥浆或水泥砂浆，应填充密实。</w:t>
      </w:r>
    </w:p>
    <w:p>
      <w:pPr>
        <w:autoSpaceDN w:val="0"/>
        <w:adjustRightInd w:val="0"/>
        <w:snapToGrid w:val="0"/>
        <w:spacing w:line="360" w:lineRule="auto"/>
        <w:rPr>
          <w:rFonts w:ascii="宋体" w:hAnsi="宋体"/>
          <w:szCs w:val="24"/>
        </w:rPr>
      </w:pPr>
      <w:r>
        <w:rPr>
          <w:rFonts w:hint="eastAsia" w:ascii="宋体" w:hAnsi="宋体"/>
          <w:kern w:val="0"/>
          <w:szCs w:val="24"/>
        </w:rPr>
        <w:t>8.2.32 钢</w:t>
      </w:r>
      <w:r>
        <w:rPr>
          <w:rFonts w:ascii="宋体" w:hAnsi="宋体"/>
          <w:kern w:val="0"/>
          <w:szCs w:val="24"/>
        </w:rPr>
        <w:t>板桩</w:t>
      </w:r>
      <w:r>
        <w:rPr>
          <w:rFonts w:hint="eastAsia" w:ascii="宋体" w:hAnsi="宋体"/>
          <w:kern w:val="0"/>
          <w:szCs w:val="24"/>
        </w:rPr>
        <w:t>支护结构</w:t>
      </w:r>
      <w:r>
        <w:rPr>
          <w:rFonts w:ascii="宋体" w:hAnsi="宋体"/>
          <w:kern w:val="0"/>
          <w:szCs w:val="24"/>
        </w:rPr>
        <w:t>施工完毕</w:t>
      </w:r>
      <w:r>
        <w:rPr>
          <w:rFonts w:hint="eastAsia" w:ascii="宋体" w:hAnsi="宋体"/>
          <w:kern w:val="0"/>
          <w:szCs w:val="24"/>
        </w:rPr>
        <w:t>、</w:t>
      </w:r>
      <w:r>
        <w:rPr>
          <w:rFonts w:ascii="宋体" w:hAnsi="宋体"/>
          <w:kern w:val="0"/>
          <w:szCs w:val="24"/>
        </w:rPr>
        <w:t>土方开挖</w:t>
      </w:r>
      <w:r>
        <w:rPr>
          <w:rFonts w:hint="eastAsia" w:ascii="宋体" w:hAnsi="宋体"/>
          <w:kern w:val="0"/>
          <w:szCs w:val="24"/>
        </w:rPr>
        <w:t>至</w:t>
      </w:r>
      <w:r>
        <w:rPr>
          <w:rFonts w:ascii="宋体" w:hAnsi="宋体"/>
          <w:kern w:val="0"/>
          <w:szCs w:val="24"/>
        </w:rPr>
        <w:t>设计标高后</w:t>
      </w:r>
      <w:r>
        <w:rPr>
          <w:rFonts w:hint="eastAsia" w:ascii="宋体" w:hAnsi="宋体"/>
          <w:kern w:val="0"/>
          <w:szCs w:val="24"/>
        </w:rPr>
        <w:t>，</w:t>
      </w:r>
      <w:r>
        <w:rPr>
          <w:rFonts w:hint="eastAsia" w:ascii="宋体" w:hAnsi="宋体"/>
          <w:bCs/>
          <w:color w:val="0D0D0D"/>
          <w:kern w:val="0"/>
          <w:szCs w:val="24"/>
        </w:rPr>
        <w:t>应对钢板桩墙桩身弯曲度、桩身垂直度、锁口咬合程度、板桩墙</w:t>
      </w:r>
      <w:r>
        <w:rPr>
          <w:rFonts w:ascii="宋体" w:hAnsi="宋体"/>
          <w:bCs/>
          <w:color w:val="0D0D0D"/>
          <w:kern w:val="0"/>
          <w:szCs w:val="24"/>
        </w:rPr>
        <w:t>平直度</w:t>
      </w:r>
      <w:r>
        <w:rPr>
          <w:rFonts w:hint="eastAsia" w:ascii="宋体" w:hAnsi="宋体"/>
          <w:bCs/>
          <w:color w:val="0D0D0D"/>
          <w:kern w:val="0"/>
          <w:szCs w:val="24"/>
        </w:rPr>
        <w:t>、支护结构变形、板桩墙渗漏等项目进行检验，检验标准应符合表8.2.32的规定。</w:t>
      </w:r>
    </w:p>
    <w:p>
      <w:pPr>
        <w:adjustRightInd w:val="0"/>
        <w:snapToGrid w:val="0"/>
        <w:spacing w:after="200"/>
        <w:jc w:val="center"/>
        <w:rPr>
          <w:rFonts w:ascii="宋体" w:hAnsi="宋体"/>
          <w:color w:val="0D0D0D"/>
          <w:kern w:val="0"/>
          <w:szCs w:val="21"/>
        </w:rPr>
      </w:pPr>
      <w:r>
        <w:rPr>
          <w:rFonts w:hint="eastAsia" w:ascii="宋体" w:hAnsi="宋体"/>
          <w:color w:val="0D0D0D"/>
          <w:kern w:val="0"/>
          <w:szCs w:val="21"/>
        </w:rPr>
        <w:t>表 8.2.32钢板桩墙质量检验标准</w:t>
      </w:r>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420"/>
        <w:gridCol w:w="2695"/>
        <w:gridCol w:w="850"/>
        <w:gridCol w:w="30"/>
        <w:gridCol w:w="1813"/>
        <w:gridCol w:w="23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restart"/>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项</w:t>
            </w:r>
          </w:p>
        </w:tc>
        <w:tc>
          <w:tcPr>
            <w:tcW w:w="420" w:type="dxa"/>
            <w:vMerge w:val="restart"/>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序</w:t>
            </w:r>
          </w:p>
        </w:tc>
        <w:tc>
          <w:tcPr>
            <w:tcW w:w="2695" w:type="dxa"/>
            <w:vMerge w:val="restart"/>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检测项目</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允许值或允许偏差</w:t>
            </w:r>
          </w:p>
        </w:tc>
        <w:tc>
          <w:tcPr>
            <w:tcW w:w="2318" w:type="dxa"/>
            <w:vMerge w:val="restart"/>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检测方法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2695"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85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单位</w:t>
            </w:r>
          </w:p>
        </w:tc>
        <w:tc>
          <w:tcPr>
            <w:tcW w:w="1843" w:type="dxa"/>
            <w:gridSpan w:val="2"/>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数值</w:t>
            </w:r>
          </w:p>
        </w:tc>
        <w:tc>
          <w:tcPr>
            <w:tcW w:w="2318" w:type="dxa"/>
            <w:vMerge w:val="continue"/>
            <w:shd w:val="clear" w:color="auto" w:fill="auto"/>
            <w:vAlign w:val="center"/>
          </w:tcPr>
          <w:p>
            <w:pPr>
              <w:adjustRightInd w:val="0"/>
              <w:snapToGrid w:val="0"/>
              <w:jc w:val="center"/>
              <w:rPr>
                <w:rFonts w:ascii="Tahoma" w:hAnsi="Tahoma"/>
                <w:color w:val="0D0D0D"/>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restart"/>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主控项目</w:t>
            </w: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1</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桩长</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不小于设计值</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2</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桩身弯曲度</w:t>
            </w:r>
          </w:p>
        </w:tc>
        <w:tc>
          <w:tcPr>
            <w:tcW w:w="85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mm</w:t>
            </w:r>
          </w:p>
        </w:tc>
        <w:tc>
          <w:tcPr>
            <w:tcW w:w="1843" w:type="dxa"/>
            <w:gridSpan w:val="2"/>
            <w:shd w:val="clear" w:color="auto" w:fill="auto"/>
            <w:vAlign w:val="center"/>
          </w:tcPr>
          <w:p>
            <w:pPr>
              <w:adjustRightInd w:val="0"/>
              <w:snapToGrid w:val="0"/>
              <w:jc w:val="center"/>
              <w:rPr>
                <w:rFonts w:ascii="Tahoma" w:hAnsi="Tahoma"/>
                <w:color w:val="0D0D0D"/>
                <w:kern w:val="0"/>
                <w:sz w:val="18"/>
                <w:szCs w:val="18"/>
              </w:rPr>
            </w:pPr>
            <w:r>
              <w:rPr>
                <w:rFonts w:ascii="宋体" w:hAnsi="宋体"/>
                <w:color w:val="0D0D0D"/>
                <w:kern w:val="0"/>
                <w:sz w:val="18"/>
                <w:szCs w:val="18"/>
              </w:rPr>
              <w:t>≤</w:t>
            </w:r>
            <w:r>
              <w:rPr>
                <w:rFonts w:ascii="Tahoma" w:hAnsi="Tahoma"/>
                <w:color w:val="0D0D0D"/>
                <w:kern w:val="0"/>
                <w:sz w:val="18"/>
                <w:szCs w:val="18"/>
              </w:rPr>
              <w:t>2%</w:t>
            </w:r>
            <w:r>
              <w:rPr>
                <w:rFonts w:hint="eastAsia" w:ascii="Tahoma" w:hAnsi="Tahoma"/>
                <w:kern w:val="0"/>
                <w:sz w:val="18"/>
                <w:szCs w:val="18"/>
              </w:rPr>
              <w:t>桩长</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3</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桩顶标高</w:t>
            </w:r>
          </w:p>
        </w:tc>
        <w:tc>
          <w:tcPr>
            <w:tcW w:w="85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mm</w:t>
            </w:r>
          </w:p>
        </w:tc>
        <w:tc>
          <w:tcPr>
            <w:tcW w:w="1843" w:type="dxa"/>
            <w:gridSpan w:val="2"/>
            <w:shd w:val="clear" w:color="auto" w:fill="auto"/>
            <w:vAlign w:val="center"/>
          </w:tcPr>
          <w:p>
            <w:pPr>
              <w:adjustRightInd w:val="0"/>
              <w:snapToGrid w:val="0"/>
              <w:jc w:val="center"/>
              <w:rPr>
                <w:rFonts w:ascii="Tahoma" w:hAnsi="Tahoma"/>
                <w:color w:val="0D0D0D"/>
                <w:kern w:val="0"/>
                <w:sz w:val="18"/>
                <w:szCs w:val="18"/>
              </w:rPr>
            </w:pPr>
            <w:r>
              <w:rPr>
                <w:rFonts w:ascii="宋体" w:hAnsi="宋体"/>
                <w:color w:val="0D0D0D"/>
                <w:kern w:val="0"/>
                <w:sz w:val="18"/>
                <w:szCs w:val="18"/>
              </w:rPr>
              <w:t>±</w:t>
            </w:r>
            <w:r>
              <w:rPr>
                <w:rFonts w:ascii="Tahoma" w:hAnsi="Tahoma"/>
                <w:color w:val="0D0D0D"/>
                <w:kern w:val="0"/>
                <w:sz w:val="18"/>
                <w:szCs w:val="18"/>
              </w:rPr>
              <w:t>100</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水准仪量测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restart"/>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一般项目</w:t>
            </w: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1</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锁口平直度及光滑度</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无电焊渣或毛刺</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用</w:t>
            </w:r>
            <w:r>
              <w:rPr>
                <w:rFonts w:ascii="Tahoma" w:hAnsi="Tahoma"/>
                <w:color w:val="0D0D0D"/>
                <w:kern w:val="0"/>
                <w:sz w:val="18"/>
                <w:szCs w:val="18"/>
              </w:rPr>
              <w:t>1</w:t>
            </w:r>
            <w:r>
              <w:rPr>
                <w:rFonts w:hint="eastAsia" w:ascii="Tahoma" w:hAnsi="Tahoma"/>
                <w:color w:val="0D0D0D"/>
                <w:kern w:val="0"/>
                <w:sz w:val="18"/>
                <w:szCs w:val="18"/>
              </w:rPr>
              <w:t>m长的桩段做通过试验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2</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轴线位置</w:t>
            </w:r>
          </w:p>
        </w:tc>
        <w:tc>
          <w:tcPr>
            <w:tcW w:w="880" w:type="dxa"/>
            <w:gridSpan w:val="2"/>
            <w:tcBorders>
              <w:right w:val="single" w:color="auto" w:sz="4" w:space="0"/>
            </w:tcBorders>
            <w:shd w:val="clear" w:color="auto" w:fill="auto"/>
            <w:vAlign w:val="center"/>
          </w:tcPr>
          <w:p>
            <w:pPr>
              <w:adjustRightInd w:val="0"/>
              <w:snapToGrid w:val="0"/>
              <w:jc w:val="center"/>
              <w:rPr>
                <w:rFonts w:ascii="Tahoma" w:hAnsi="Tahoma"/>
                <w:color w:val="0D0D0D"/>
                <w:kern w:val="0"/>
                <w:sz w:val="18"/>
                <w:szCs w:val="18"/>
              </w:rPr>
            </w:pPr>
            <w:r>
              <w:rPr>
                <w:rFonts w:ascii="Tahoma" w:hAnsi="Tahoma"/>
                <w:color w:val="0D0D0D"/>
                <w:kern w:val="0"/>
                <w:sz w:val="18"/>
                <w:szCs w:val="18"/>
              </w:rPr>
              <w:t>mm</w:t>
            </w:r>
          </w:p>
        </w:tc>
        <w:tc>
          <w:tcPr>
            <w:tcW w:w="1813" w:type="dxa"/>
            <w:tcBorders>
              <w:left w:val="single" w:color="auto" w:sz="4" w:space="0"/>
            </w:tcBorders>
            <w:shd w:val="clear" w:color="auto" w:fill="auto"/>
            <w:vAlign w:val="center"/>
          </w:tcPr>
          <w:p>
            <w:pPr>
              <w:adjustRightInd w:val="0"/>
              <w:snapToGrid w:val="0"/>
              <w:jc w:val="center"/>
              <w:rPr>
                <w:rFonts w:ascii="Tahoma" w:hAnsi="Tahoma"/>
                <w:color w:val="0D0D0D"/>
                <w:kern w:val="0"/>
                <w:sz w:val="18"/>
                <w:szCs w:val="18"/>
              </w:rPr>
            </w:pPr>
            <w:r>
              <w:rPr>
                <w:rFonts w:ascii="宋体" w:hAnsi="宋体"/>
                <w:color w:val="0D0D0D"/>
                <w:kern w:val="0"/>
                <w:sz w:val="18"/>
                <w:szCs w:val="18"/>
              </w:rPr>
              <w:t>±</w:t>
            </w:r>
            <w:r>
              <w:rPr>
                <w:rFonts w:ascii="Tahoma" w:hAnsi="Tahoma"/>
                <w:color w:val="0D0D0D"/>
                <w:kern w:val="0"/>
                <w:sz w:val="18"/>
                <w:szCs w:val="18"/>
              </w:rPr>
              <w:t>100</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经纬仪或钢尺量测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7" w:hRule="atLeast"/>
        </w:trPr>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3</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垂直度</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ascii="宋体" w:hAnsi="宋体"/>
                <w:color w:val="0D0D0D"/>
                <w:kern w:val="0"/>
                <w:sz w:val="18"/>
                <w:szCs w:val="18"/>
              </w:rPr>
              <w:t>≤</w:t>
            </w:r>
            <w:r>
              <w:rPr>
                <w:rFonts w:ascii="Tahoma" w:hAnsi="Tahoma"/>
                <w:color w:val="0D0D0D"/>
                <w:kern w:val="0"/>
                <w:sz w:val="18"/>
                <w:szCs w:val="18"/>
              </w:rPr>
              <w:t xml:space="preserve"> 1</w:t>
            </w:r>
            <w:r>
              <w:rPr>
                <w:rFonts w:hint="eastAsia" w:ascii="Tahoma" w:hAnsi="Tahoma"/>
                <w:color w:val="0D0D0D"/>
                <w:kern w:val="0"/>
                <w:sz w:val="18"/>
                <w:szCs w:val="18"/>
              </w:rPr>
              <w:t>%桩长</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经纬仪或水平靠尺量测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tcBorders>
              <w:top w:val="single" w:color="auto" w:sz="4" w:space="0"/>
            </w:tcBorders>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4</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锁口咬合程度</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紧密</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目测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5</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板桩墙</w:t>
            </w:r>
            <w:r>
              <w:rPr>
                <w:rFonts w:ascii="Tahoma" w:hAnsi="Tahoma"/>
                <w:color w:val="0D0D0D"/>
                <w:kern w:val="0"/>
                <w:sz w:val="18"/>
                <w:szCs w:val="18"/>
              </w:rPr>
              <w:t>平直度</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ascii="Tahoma" w:hAnsi="Tahoma"/>
                <w:color w:val="0D0D0D"/>
                <w:kern w:val="0"/>
                <w:sz w:val="18"/>
                <w:szCs w:val="18"/>
              </w:rPr>
              <w:t>每10延米不</w:t>
            </w:r>
            <w:r>
              <w:rPr>
                <w:rFonts w:hint="eastAsia" w:ascii="Tahoma" w:hAnsi="Tahoma"/>
                <w:color w:val="0D0D0D"/>
                <w:kern w:val="0"/>
                <w:sz w:val="18"/>
                <w:szCs w:val="18"/>
              </w:rPr>
              <w:t>大于</w:t>
            </w:r>
            <w:r>
              <w:rPr>
                <w:rFonts w:ascii="Tahoma" w:hAnsi="Tahoma"/>
                <w:color w:val="0D0D0D"/>
                <w:kern w:val="0"/>
                <w:sz w:val="18"/>
                <w:szCs w:val="18"/>
              </w:rPr>
              <w:t>100mm</w:t>
            </w:r>
            <w:r>
              <w:rPr>
                <w:rFonts w:hint="eastAsia" w:ascii="Tahoma" w:hAnsi="Tahoma"/>
                <w:color w:val="0D0D0D"/>
                <w:kern w:val="0"/>
                <w:sz w:val="18"/>
                <w:szCs w:val="18"/>
              </w:rPr>
              <w:t>，</w:t>
            </w:r>
            <w:r>
              <w:rPr>
                <w:rFonts w:ascii="Tahoma" w:hAnsi="Tahoma"/>
                <w:color w:val="0D0D0D"/>
                <w:kern w:val="0"/>
                <w:sz w:val="18"/>
                <w:szCs w:val="18"/>
              </w:rPr>
              <w:t>且累计不超过200mm</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经纬仪或钢尺量测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396" w:type="dxa"/>
            <w:vMerge w:val="continue"/>
            <w:shd w:val="clear" w:color="auto" w:fill="auto"/>
            <w:vAlign w:val="center"/>
          </w:tcPr>
          <w:p>
            <w:pPr>
              <w:adjustRightInd w:val="0"/>
              <w:snapToGrid w:val="0"/>
              <w:jc w:val="center"/>
              <w:rPr>
                <w:rFonts w:ascii="Tahoma" w:hAnsi="Tahoma"/>
                <w:color w:val="0D0D0D"/>
                <w:kern w:val="0"/>
                <w:sz w:val="18"/>
                <w:szCs w:val="18"/>
              </w:rPr>
            </w:pPr>
          </w:p>
        </w:tc>
        <w:tc>
          <w:tcPr>
            <w:tcW w:w="420"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6</w:t>
            </w:r>
          </w:p>
        </w:tc>
        <w:tc>
          <w:tcPr>
            <w:tcW w:w="2695"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板桩墙</w:t>
            </w:r>
            <w:r>
              <w:rPr>
                <w:rFonts w:ascii="Tahoma" w:hAnsi="Tahoma"/>
                <w:color w:val="0D0D0D"/>
                <w:kern w:val="0"/>
                <w:sz w:val="18"/>
                <w:szCs w:val="18"/>
              </w:rPr>
              <w:t>渗漏</w:t>
            </w:r>
          </w:p>
        </w:tc>
        <w:tc>
          <w:tcPr>
            <w:tcW w:w="2693" w:type="dxa"/>
            <w:gridSpan w:val="3"/>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局部渗漏</w:t>
            </w:r>
          </w:p>
        </w:tc>
        <w:tc>
          <w:tcPr>
            <w:tcW w:w="2318" w:type="dxa"/>
            <w:shd w:val="clear" w:color="auto" w:fill="auto"/>
            <w:vAlign w:val="center"/>
          </w:tcPr>
          <w:p>
            <w:pPr>
              <w:adjustRightInd w:val="0"/>
              <w:snapToGrid w:val="0"/>
              <w:jc w:val="center"/>
              <w:rPr>
                <w:rFonts w:ascii="Tahoma" w:hAnsi="Tahoma"/>
                <w:color w:val="0D0D0D"/>
                <w:kern w:val="0"/>
                <w:sz w:val="18"/>
                <w:szCs w:val="18"/>
              </w:rPr>
            </w:pPr>
            <w:r>
              <w:rPr>
                <w:rFonts w:hint="eastAsia" w:ascii="Tahoma" w:hAnsi="Tahoma"/>
                <w:color w:val="0D0D0D"/>
                <w:kern w:val="0"/>
                <w:sz w:val="18"/>
                <w:szCs w:val="18"/>
              </w:rPr>
              <w:t>目测</w:t>
            </w:r>
          </w:p>
        </w:tc>
      </w:tr>
    </w:tbl>
    <w:p>
      <w:pPr>
        <w:jc w:val="left"/>
        <w:rPr>
          <w:rFonts w:ascii="Times New Roman" w:hAnsi="Times New Roman"/>
          <w:szCs w:val="24"/>
        </w:rPr>
      </w:pPr>
    </w:p>
    <w:bookmarkEnd w:id="489"/>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szCs w:val="24"/>
        </w:rPr>
      </w:pPr>
    </w:p>
    <w:p>
      <w:pPr>
        <w:rPr>
          <w:rFonts w:ascii="Times New Roman" w:hAnsi="Times New Roman"/>
          <w:color w:val="0070C0"/>
          <w:szCs w:val="24"/>
        </w:rPr>
      </w:pPr>
      <w:r>
        <w:rPr>
          <w:rFonts w:hint="eastAsia" w:ascii="Times New Roman" w:hAnsi="Times New Roman"/>
          <w:color w:val="0070C0"/>
          <w:szCs w:val="24"/>
        </w:rPr>
        <w:br w:type="page"/>
      </w:r>
    </w:p>
    <w:p>
      <w:pPr>
        <w:jc w:val="left"/>
        <w:rPr>
          <w:rFonts w:ascii="Times New Roman" w:hAnsi="Times New Roman"/>
          <w:szCs w:val="24"/>
        </w:rPr>
      </w:pPr>
    </w:p>
    <w:p>
      <w:pPr>
        <w:pStyle w:val="3"/>
        <w:bidi w:val="0"/>
      </w:pPr>
      <w:bookmarkStart w:id="498" w:name="_Toc6240"/>
      <w:bookmarkStart w:id="499" w:name="_Toc9315"/>
      <w:bookmarkStart w:id="500" w:name="_Toc5224"/>
      <w:bookmarkStart w:id="501" w:name="_Toc16406"/>
      <w:bookmarkStart w:id="502" w:name="_Toc388643441"/>
      <w:bookmarkStart w:id="503" w:name="_Toc388643558"/>
      <w:bookmarkStart w:id="504" w:name="_Toc29513"/>
      <w:r>
        <w:rPr>
          <w:rFonts w:hint="eastAsia"/>
        </w:rPr>
        <w:t>8.</w:t>
      </w:r>
      <w:r>
        <w:rPr>
          <w:rFonts w:hint="eastAsia"/>
          <w:lang w:val="en-US" w:eastAsia="zh-CN"/>
        </w:rPr>
        <w:t>3</w:t>
      </w:r>
      <w:r>
        <w:rPr>
          <w:rFonts w:hint="eastAsia"/>
        </w:rPr>
        <w:t xml:space="preserve">  型钢水泥土搅拌墙</w:t>
      </w:r>
      <w:bookmarkEnd w:id="498"/>
      <w:bookmarkEnd w:id="499"/>
      <w:bookmarkEnd w:id="500"/>
      <w:bookmarkEnd w:id="501"/>
    </w:p>
    <w:p>
      <w:pPr>
        <w:bidi w:val="0"/>
        <w:jc w:val="center"/>
        <w:rPr>
          <w:rFonts w:hint="eastAsia"/>
          <w:b/>
          <w:bCs/>
          <w:sz w:val="28"/>
          <w:szCs w:val="24"/>
          <w:lang w:val="en-US" w:eastAsia="zh-CN"/>
        </w:rPr>
      </w:pPr>
      <w:bookmarkStart w:id="505" w:name="_Toc19928"/>
      <w:bookmarkStart w:id="506" w:name="_Toc657"/>
      <w:r>
        <w:rPr>
          <w:rFonts w:hint="eastAsia" w:ascii="Calibri" w:eastAsia="宋体"/>
          <w:b/>
          <w:bCs/>
          <w:sz w:val="28"/>
          <w:szCs w:val="24"/>
          <w:lang w:val="en-US" w:eastAsia="zh-CN"/>
        </w:rPr>
        <w:t>Ⅰ 一般规定</w:t>
      </w:r>
      <w:bookmarkEnd w:id="505"/>
      <w:bookmarkEnd w:id="506"/>
    </w:p>
    <w:p>
      <w:pPr>
        <w:widowControl w:val="0"/>
        <w:spacing w:line="480" w:lineRule="exact"/>
        <w:rPr>
          <w:rFonts w:hint="eastAsia" w:ascii="Times New Roman" w:hAnsi="Times New Roman"/>
          <w:color w:val="auto"/>
          <w:szCs w:val="24"/>
        </w:rPr>
      </w:pPr>
      <w:r>
        <w:rPr>
          <w:rFonts w:hint="eastAsia" w:ascii="Times New Roman" w:hAnsi="Times New Roman"/>
          <w:b/>
          <w:color w:val="auto"/>
        </w:rPr>
        <w:t>8.</w:t>
      </w:r>
      <w:r>
        <w:rPr>
          <w:rFonts w:hint="eastAsia" w:ascii="Times New Roman" w:hAnsi="Times New Roman"/>
          <w:b/>
          <w:color w:val="auto"/>
          <w:lang w:val="en-US" w:eastAsia="zh-CN"/>
        </w:rPr>
        <w:t>3</w:t>
      </w:r>
      <w:r>
        <w:rPr>
          <w:rFonts w:hint="eastAsia" w:ascii="Times New Roman" w:hAnsi="Times New Roman"/>
          <w:b/>
          <w:color w:val="auto"/>
        </w:rPr>
        <w:t xml:space="preserve">.1 </w:t>
      </w:r>
      <w:r>
        <w:rPr>
          <w:rFonts w:hint="eastAsia" w:ascii="Times New Roman" w:hAnsi="Times New Roman"/>
          <w:color w:val="auto"/>
          <w:szCs w:val="24"/>
        </w:rPr>
        <w:t>型钢水泥土搅拌墙适用于填土、淤泥质土、黏性土、粉土、砂性土、 饱和黄土等地层建筑和市政工程基坑支护。对淤泥、泥炭土、有机质土以及地下水具有腐蚀性和无工程经验的地区，必须通过现场试验确定其适用性。</w:t>
      </w:r>
    </w:p>
    <w:p>
      <w:pPr>
        <w:widowControl w:val="0"/>
        <w:spacing w:line="480" w:lineRule="exact"/>
        <w:rPr>
          <w:rFonts w:ascii="Times New Roman" w:hAnsi="Times New Roman"/>
          <w:color w:val="auto"/>
          <w:szCs w:val="24"/>
        </w:rPr>
      </w:pPr>
      <w:r>
        <w:rPr>
          <w:rFonts w:hint="eastAsia" w:ascii="Times New Roman" w:hAnsi="Times New Roman"/>
          <w:b/>
          <w:color w:val="auto"/>
        </w:rPr>
        <w:t>8.</w:t>
      </w:r>
      <w:r>
        <w:rPr>
          <w:rFonts w:hint="eastAsia" w:ascii="Times New Roman" w:hAnsi="Times New Roman"/>
          <w:b/>
          <w:color w:val="auto"/>
          <w:lang w:val="en-US" w:eastAsia="zh-CN"/>
        </w:rPr>
        <w:t>3</w:t>
      </w:r>
      <w:r>
        <w:rPr>
          <w:rFonts w:hint="eastAsia" w:ascii="Times New Roman" w:hAnsi="Times New Roman"/>
          <w:b/>
          <w:color w:val="auto"/>
        </w:rPr>
        <w:t>.2</w:t>
      </w:r>
      <w:r>
        <w:rPr>
          <w:rFonts w:hint="eastAsia" w:ascii="Times New Roman" w:hAnsi="Times New Roman"/>
          <w:color w:val="auto"/>
          <w:szCs w:val="24"/>
        </w:rPr>
        <w:t xml:space="preserve"> </w:t>
      </w:r>
      <w:r>
        <w:rPr>
          <w:color w:val="auto"/>
        </w:rPr>
        <w:t>型钢水泥土搅拌墙的设计与施工应综合考虑工程地质与水文地质、周边环境条件与要求；重视地方经验，因地制宜，并与地基加固、基坑降水和土方开挖等相结合，合理选择型钢水泥土搅拌墙的工艺参数；强化施工质量控制与管理，确保基坑和主体结构施工的安全，并满足周边环境保护的要求。</w:t>
      </w:r>
    </w:p>
    <w:p>
      <w:pPr>
        <w:spacing w:before="68" w:line="360" w:lineRule="auto"/>
        <w:rPr>
          <w:rFonts w:ascii="Times New Roman" w:hAnsi="Times New Roman"/>
          <w:color w:val="auto"/>
          <w:szCs w:val="24"/>
        </w:rPr>
      </w:pPr>
      <w:r>
        <w:rPr>
          <w:rFonts w:hint="eastAsia" w:ascii="Times New Roman" w:hAnsi="Times New Roman"/>
          <w:b/>
          <w:color w:val="auto"/>
        </w:rPr>
        <w:t>8</w:t>
      </w:r>
      <w:r>
        <w:rPr>
          <w:rFonts w:hint="eastAsia" w:ascii="Times New Roman" w:hAnsi="Times New Roman"/>
          <w:b/>
          <w:color w:val="auto"/>
          <w:lang w:val="en-US" w:eastAsia="zh-CN"/>
        </w:rPr>
        <w:t>.3</w:t>
      </w:r>
      <w:r>
        <w:rPr>
          <w:rFonts w:hint="eastAsia" w:ascii="Times New Roman" w:hAnsi="Times New Roman"/>
          <w:b/>
          <w:color w:val="auto"/>
        </w:rPr>
        <w:t xml:space="preserve">.3 </w:t>
      </w:r>
      <w:r>
        <w:rPr>
          <w:color w:val="auto"/>
        </w:rPr>
        <w:t>型钢水泥土搅拌墙作为基坑支护结构，其设计原则、勘察要求、荷载作用、承载力与变形计算和稳定性验算等应符合现行行业标准《建筑基坑支护技术规程》JGJ 120的有关规定。采用在三轴水泥土搅拌桩内插型钢时应符合现行行业标准《型钢水泥土搅拌墙技术规程》JGJ/T199 的相关规定。</w:t>
      </w:r>
    </w:p>
    <w:p>
      <w:pPr>
        <w:bidi w:val="0"/>
        <w:jc w:val="center"/>
        <w:rPr>
          <w:rFonts w:hint="eastAsia"/>
          <w:b/>
          <w:bCs/>
          <w:color w:val="auto"/>
          <w:sz w:val="28"/>
          <w:szCs w:val="24"/>
          <w:lang w:val="en-US" w:eastAsia="zh-CN"/>
        </w:rPr>
      </w:pPr>
      <w:r>
        <w:rPr>
          <w:rFonts w:hint="eastAsia" w:ascii="Calibri" w:eastAsia="宋体"/>
          <w:b/>
          <w:bCs/>
          <w:color w:val="auto"/>
          <w:sz w:val="28"/>
          <w:szCs w:val="24"/>
          <w:lang w:val="en-US" w:eastAsia="zh-CN"/>
        </w:rPr>
        <w:t>Ⅱ 设 计</w:t>
      </w:r>
    </w:p>
    <w:p>
      <w:pPr>
        <w:pStyle w:val="46"/>
        <w:spacing w:after="0" w:line="360" w:lineRule="auto"/>
        <w:ind w:left="0" w:firstLine="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 </w:t>
      </w:r>
      <w:r>
        <w:rPr>
          <w:rFonts w:ascii="Calibri" w:hAnsi="Calibri" w:cs="Times New Roman"/>
          <w:color w:val="auto"/>
          <w:sz w:val="24"/>
          <w:szCs w:val="22"/>
          <w:lang w:val="en-US" w:eastAsia="zh-CN" w:bidi="ar-SA"/>
        </w:rPr>
        <w:t>型钢水泥土搅拌墙中水泥土搅拌桩的直径宜采用 650mm、850mm、1000mm；所用水泥宜采用普通硅酸盐水泥</w:t>
      </w:r>
      <w:r>
        <w:rPr>
          <w:rFonts w:hint="eastAsia" w:ascii="Calibri" w:hAnsi="Calibri" w:cs="Times New Roman"/>
          <w:color w:val="auto"/>
          <w:sz w:val="24"/>
          <w:szCs w:val="22"/>
          <w:lang w:val="en-US" w:eastAsia="zh-CN" w:bidi="ar-SA"/>
        </w:rPr>
        <w:t>，</w:t>
      </w:r>
      <w:r>
        <w:rPr>
          <w:rFonts w:ascii="Calibri" w:hAnsi="Calibri" w:cs="Times New Roman"/>
          <w:color w:val="auto"/>
          <w:sz w:val="24"/>
          <w:szCs w:val="22"/>
          <w:lang w:val="en-US" w:eastAsia="zh-CN" w:bidi="ar-SA"/>
        </w:rPr>
        <w:t>内插型钢宜釆用Q235B</w:t>
      </w:r>
      <w:r>
        <w:rPr>
          <w:rFonts w:hint="eastAsia" w:ascii="Calibri" w:hAnsi="Calibri" w:cs="Times New Roman"/>
          <w:color w:val="auto"/>
          <w:sz w:val="24"/>
          <w:szCs w:val="22"/>
          <w:lang w:val="en-US" w:eastAsia="zh-CN" w:bidi="ar-SA"/>
        </w:rPr>
        <w:t>、</w:t>
      </w:r>
      <w:r>
        <w:rPr>
          <w:rFonts w:ascii="Calibri" w:hAnsi="Calibri" w:cs="Times New Roman"/>
          <w:color w:val="auto"/>
          <w:sz w:val="24"/>
          <w:szCs w:val="22"/>
          <w:lang w:val="en-US" w:eastAsia="zh-CN" w:bidi="ar-SA"/>
        </w:rPr>
        <w:t>Q3</w:t>
      </w:r>
      <w:r>
        <w:rPr>
          <w:rFonts w:hint="eastAsia" w:ascii="Calibri" w:hAnsi="Calibri" w:cs="Times New Roman"/>
          <w:color w:val="auto"/>
          <w:sz w:val="24"/>
          <w:szCs w:val="22"/>
          <w:lang w:val="en-US" w:eastAsia="zh-CN" w:bidi="ar-SA"/>
        </w:rPr>
        <w:t>5</w:t>
      </w:r>
      <w:r>
        <w:rPr>
          <w:rFonts w:ascii="Calibri" w:hAnsi="Calibri" w:cs="Times New Roman"/>
          <w:color w:val="auto"/>
          <w:sz w:val="24"/>
          <w:szCs w:val="22"/>
          <w:lang w:val="en-US" w:eastAsia="zh-CN" w:bidi="ar-SA"/>
        </w:rPr>
        <w:t>5B，规格、型号及有关要求宜按国家现行标准《热轧H型钢和部分T型钢》 GB/T 11263和《焊接H型钢》YB 3301选用。</w:t>
      </w:r>
      <w:r>
        <w:rPr>
          <w:rFonts w:hint="eastAsia" w:ascii="Calibri" w:hAnsi="Calibri" w:cs="Times New Roman"/>
          <w:color w:val="auto"/>
          <w:sz w:val="24"/>
          <w:szCs w:val="22"/>
          <w:lang w:val="en-US" w:eastAsia="zh-CN" w:bidi="ar-SA"/>
        </w:rPr>
        <w:t>（常用型钢选型详见附录J）</w:t>
      </w:r>
      <w:r>
        <w:rPr>
          <w:rFonts w:ascii="Calibri" w:hAnsi="Calibri" w:cs="Times New Roman"/>
          <w:color w:val="auto"/>
          <w:sz w:val="24"/>
          <w:szCs w:val="22"/>
          <w:lang w:val="en-US" w:eastAsia="zh-CN" w:bidi="ar-SA"/>
        </w:rPr>
        <w:t>。</w:t>
      </w:r>
    </w:p>
    <w:p>
      <w:pPr>
        <w:pStyle w:val="46"/>
        <w:spacing w:after="0" w:line="360" w:lineRule="auto"/>
        <w:ind w:left="0" w:firstLine="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8.3.5  </w:t>
      </w:r>
      <w:r>
        <w:rPr>
          <w:rFonts w:ascii="Calibri" w:hAnsi="Calibri" w:cs="Times New Roman"/>
          <w:color w:val="auto"/>
          <w:sz w:val="24"/>
          <w:szCs w:val="22"/>
          <w:lang w:val="en-US" w:eastAsia="zh-CN" w:bidi="ar-SA"/>
        </w:rPr>
        <w:t>型钢水泥土搅拌墙中的三轴水泥土搅拌桩和型钢应符合下列要求：</w:t>
      </w:r>
    </w:p>
    <w:p>
      <w:pPr>
        <w:pStyle w:val="46"/>
        <w:spacing w:after="0" w:line="360" w:lineRule="auto"/>
        <w:ind w:left="0" w:firstLine="240" w:firstLineChars="1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1</w:t>
      </w:r>
      <w:r>
        <w:rPr>
          <w:rFonts w:hint="eastAsia" w:ascii="Calibri" w:hAnsi="Calibri" w:cs="Times New Roman"/>
          <w:color w:val="auto"/>
          <w:sz w:val="24"/>
          <w:szCs w:val="22"/>
          <w:lang w:val="en-US" w:eastAsia="zh-CN" w:bidi="ar-SA"/>
        </w:rPr>
        <w:t xml:space="preserve"> </w:t>
      </w:r>
      <w:r>
        <w:rPr>
          <w:rFonts w:ascii="Calibri" w:hAnsi="Calibri" w:cs="Times New Roman"/>
          <w:color w:val="auto"/>
          <w:sz w:val="24"/>
          <w:szCs w:val="22"/>
          <w:lang w:val="en-US" w:eastAsia="zh-CN" w:bidi="ar-SA"/>
        </w:rPr>
        <w:t>搅拌桩28d龄期无侧限抗压强度不应小于设计要求且不宜小于0. 5MPa</w:t>
      </w:r>
      <w:r>
        <w:rPr>
          <w:rFonts w:hint="eastAsia" w:ascii="Calibri" w:hAnsi="Calibri" w:cs="Times New Roman"/>
          <w:color w:val="auto"/>
          <w:sz w:val="24"/>
          <w:szCs w:val="22"/>
          <w:lang w:val="en-US" w:eastAsia="zh-CN" w:bidi="ar-SA"/>
        </w:rPr>
        <w:t>；</w:t>
      </w:r>
    </w:p>
    <w:p>
      <w:pPr>
        <w:pStyle w:val="46"/>
        <w:spacing w:after="0" w:line="360" w:lineRule="auto"/>
        <w:ind w:left="0" w:firstLine="240" w:firstLineChars="1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w:t>
      </w:r>
      <w:r>
        <w:rPr>
          <w:rFonts w:hint="eastAsia" w:ascii="Calibri" w:hAnsi="Calibri" w:cs="Times New Roman"/>
          <w:color w:val="auto"/>
          <w:sz w:val="24"/>
          <w:szCs w:val="22"/>
          <w:lang w:val="en-US" w:eastAsia="zh-CN" w:bidi="ar-SA"/>
        </w:rPr>
        <w:t xml:space="preserve"> </w:t>
      </w:r>
      <w:r>
        <w:rPr>
          <w:rFonts w:ascii="Calibri" w:hAnsi="Calibri" w:cs="Times New Roman"/>
          <w:color w:val="auto"/>
          <w:sz w:val="24"/>
          <w:szCs w:val="22"/>
          <w:lang w:val="en-US" w:eastAsia="zh-CN" w:bidi="ar-SA"/>
        </w:rPr>
        <w:t>水泥宜釆用强度等级不低于P • O 42. 5级的普通硅酸盐水泥，材料用量和水灰比应结合土质条件和机械性能等指标通过现场试验确定，并宜符合表</w:t>
      </w:r>
      <w:r>
        <w:rPr>
          <w:rFonts w:hint="eastAsia" w:ascii="Calibri" w:hAnsi="Calibri" w:cs="Times New Roman"/>
          <w:color w:val="auto"/>
          <w:sz w:val="24"/>
          <w:szCs w:val="22"/>
          <w:lang w:val="en-US" w:eastAsia="zh-CN" w:bidi="ar-SA"/>
        </w:rPr>
        <w:t>8.3.5</w:t>
      </w:r>
      <w:r>
        <w:rPr>
          <w:rFonts w:ascii="Calibri" w:hAnsi="Calibri" w:cs="Times New Roman"/>
          <w:color w:val="auto"/>
          <w:sz w:val="24"/>
          <w:szCs w:val="22"/>
          <w:lang w:val="en-US" w:eastAsia="zh-CN" w:bidi="ar-SA"/>
        </w:rPr>
        <w:t>的规定。计算水泥用量时，被搅拌土体的体积可按搅拌桩单桩圆形截面面积与深度的乘积计算。在型钢依靠自重和必要的辅助设备可插入到位的前提下水灰比宜取小值</w:t>
      </w:r>
      <w:r>
        <w:rPr>
          <w:rFonts w:hint="eastAsia" w:ascii="Calibri" w:hAnsi="Calibri" w:cs="Times New Roman"/>
          <w:color w:val="auto"/>
          <w:sz w:val="24"/>
          <w:szCs w:val="22"/>
          <w:lang w:val="en-US" w:eastAsia="zh-CN" w:bidi="ar-SA"/>
        </w:rPr>
        <w:t>；</w:t>
      </w:r>
    </w:p>
    <w:p>
      <w:pPr>
        <w:widowControl w:val="0"/>
        <w:spacing w:line="360" w:lineRule="auto"/>
        <w:ind w:firstLine="240" w:firstLineChars="100"/>
        <w:rPr>
          <w:rFonts w:hint="eastAsia" w:eastAsia="宋体"/>
          <w:color w:val="auto"/>
          <w:lang w:eastAsia="zh-CN"/>
        </w:rPr>
      </w:pPr>
      <w:r>
        <w:rPr>
          <w:color w:val="auto"/>
        </w:rPr>
        <w:t>3</w:t>
      </w:r>
      <w:r>
        <w:rPr>
          <w:rFonts w:hint="eastAsia"/>
          <w:color w:val="auto"/>
        </w:rPr>
        <w:t xml:space="preserve"> </w:t>
      </w:r>
      <w:r>
        <w:rPr>
          <w:color w:val="auto"/>
        </w:rPr>
        <w:t>在填土、淤泥质土等特别软弱的土中以及在较硬的砂性土、砂砾土中，钻进速度较慢时，水泥用量宜适当提高</w:t>
      </w:r>
      <w:r>
        <w:rPr>
          <w:rFonts w:hint="eastAsia"/>
          <w:color w:val="auto"/>
          <w:lang w:eastAsia="zh-CN"/>
        </w:rPr>
        <w:t>。</w:t>
      </w:r>
    </w:p>
    <w:p>
      <w:pPr>
        <w:widowControl w:val="0"/>
        <w:spacing w:line="360" w:lineRule="auto"/>
        <w:ind w:firstLine="1680" w:firstLineChars="700"/>
        <w:rPr>
          <w:color w:val="auto"/>
        </w:rPr>
      </w:pPr>
      <w:r>
        <w:rPr>
          <w:color w:val="auto"/>
        </w:rPr>
        <w:t>表</w:t>
      </w:r>
      <w:r>
        <w:rPr>
          <w:rFonts w:hint="eastAsia"/>
          <w:color w:val="auto"/>
        </w:rPr>
        <w:t>8</w:t>
      </w:r>
      <w:r>
        <w:rPr>
          <w:color w:val="auto"/>
        </w:rPr>
        <w:t>.</w:t>
      </w:r>
      <w:r>
        <w:rPr>
          <w:rFonts w:hint="eastAsia"/>
          <w:color w:val="auto"/>
          <w:lang w:val="en-US" w:eastAsia="zh-CN"/>
        </w:rPr>
        <w:t>3</w:t>
      </w:r>
      <w:r>
        <w:rPr>
          <w:color w:val="auto"/>
        </w:rPr>
        <w:t>.5三轴水泥土搅拌桩材料用量和水灰比</w:t>
      </w:r>
    </w:p>
    <w:tbl>
      <w:tblPr>
        <w:tblStyle w:val="32"/>
        <w:tblW w:w="0" w:type="auto"/>
        <w:jc w:val="center"/>
        <w:tblLayout w:type="fixed"/>
        <w:tblCellMar>
          <w:top w:w="0" w:type="dxa"/>
          <w:left w:w="10" w:type="dxa"/>
          <w:bottom w:w="0" w:type="dxa"/>
          <w:right w:w="10" w:type="dxa"/>
        </w:tblCellMar>
      </w:tblPr>
      <w:tblGrid>
        <w:gridCol w:w="1451"/>
        <w:gridCol w:w="1431"/>
        <w:gridCol w:w="1441"/>
        <w:gridCol w:w="1595"/>
      </w:tblGrid>
      <w:tr>
        <w:tblPrEx>
          <w:tblCellMar>
            <w:top w:w="0" w:type="dxa"/>
            <w:left w:w="10" w:type="dxa"/>
            <w:bottom w:w="0" w:type="dxa"/>
            <w:right w:w="10" w:type="dxa"/>
          </w:tblCellMar>
        </w:tblPrEx>
        <w:trPr>
          <w:trHeight w:val="324" w:hRule="exact"/>
          <w:jc w:val="center"/>
        </w:trPr>
        <w:tc>
          <w:tcPr>
            <w:tcW w:w="1451" w:type="dxa"/>
            <w:vMerge w:val="restart"/>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宋体" w:hAnsi="宋体" w:cs="宋体"/>
                <w:color w:val="auto"/>
                <w:sz w:val="16"/>
                <w:szCs w:val="16"/>
              </w:rPr>
              <w:t>土质条件</w:t>
            </w:r>
          </w:p>
        </w:tc>
        <w:tc>
          <w:tcPr>
            <w:tcW w:w="2872" w:type="dxa"/>
            <w:gridSpan w:val="2"/>
            <w:tcBorders>
              <w:top w:val="single" w:color="auto" w:sz="4" w:space="0"/>
              <w:left w:val="single" w:color="auto" w:sz="4" w:space="0"/>
            </w:tcBorders>
            <w:shd w:val="clear" w:color="auto" w:fill="FFFFFF"/>
            <w:vAlign w:val="bottom"/>
          </w:tcPr>
          <w:p>
            <w:pPr>
              <w:pStyle w:val="47"/>
              <w:spacing w:line="240" w:lineRule="auto"/>
              <w:rPr>
                <w:color w:val="auto"/>
                <w:sz w:val="16"/>
                <w:szCs w:val="16"/>
              </w:rPr>
            </w:pPr>
            <w:r>
              <w:rPr>
                <w:rFonts w:ascii="宋体" w:hAnsi="宋体" w:cs="宋体"/>
                <w:color w:val="auto"/>
                <w:sz w:val="16"/>
                <w:szCs w:val="16"/>
              </w:rPr>
              <w:t>单位被搅拌土体中的材料用量</w:t>
            </w:r>
          </w:p>
        </w:tc>
        <w:tc>
          <w:tcPr>
            <w:tcW w:w="1595" w:type="dxa"/>
            <w:vMerge w:val="restart"/>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6"/>
                <w:szCs w:val="16"/>
              </w:rPr>
            </w:pPr>
            <w:r>
              <w:rPr>
                <w:rFonts w:ascii="宋体" w:hAnsi="宋体" w:cs="宋体"/>
                <w:color w:val="auto"/>
                <w:sz w:val="16"/>
                <w:szCs w:val="16"/>
              </w:rPr>
              <w:t>水灰比</w:t>
            </w:r>
          </w:p>
        </w:tc>
      </w:tr>
      <w:tr>
        <w:tblPrEx>
          <w:tblCellMar>
            <w:top w:w="0" w:type="dxa"/>
            <w:left w:w="10" w:type="dxa"/>
            <w:bottom w:w="0" w:type="dxa"/>
            <w:right w:w="10" w:type="dxa"/>
          </w:tblCellMar>
        </w:tblPrEx>
        <w:trPr>
          <w:trHeight w:val="315" w:hRule="exact"/>
          <w:jc w:val="center"/>
        </w:trPr>
        <w:tc>
          <w:tcPr>
            <w:tcW w:w="1451" w:type="dxa"/>
            <w:vMerge w:val="continue"/>
            <w:tcBorders>
              <w:left w:val="single" w:color="auto" w:sz="4" w:space="0"/>
            </w:tcBorders>
            <w:shd w:val="clear" w:color="auto" w:fill="FFFFFF"/>
            <w:vAlign w:val="center"/>
          </w:tcPr>
          <w:p>
            <w:pPr>
              <w:rPr>
                <w:color w:val="auto"/>
              </w:rPr>
            </w:pPr>
          </w:p>
        </w:tc>
        <w:tc>
          <w:tcPr>
            <w:tcW w:w="1431"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rFonts w:ascii="宋体" w:hAnsi="宋体" w:cs="宋体"/>
                <w:color w:val="auto"/>
                <w:sz w:val="16"/>
                <w:szCs w:val="16"/>
              </w:rPr>
              <w:t>水泥</w:t>
            </w:r>
            <w:r>
              <w:rPr>
                <w:rFonts w:ascii="Times New Roman" w:hAnsi="Times New Roman" w:eastAsia="Times New Roman"/>
                <w:color w:val="auto"/>
                <w:sz w:val="15"/>
                <w:szCs w:val="15"/>
                <w:lang w:val="en-US" w:eastAsia="en-US" w:bidi="en-US"/>
              </w:rPr>
              <w:t>(kg/m</w:t>
            </w:r>
            <w:r>
              <w:rPr>
                <w:rFonts w:ascii="Times New Roman" w:hAnsi="Times New Roman" w:eastAsia="Times New Roman"/>
                <w:color w:val="auto"/>
                <w:sz w:val="15"/>
                <w:szCs w:val="15"/>
                <w:vertAlign w:val="superscript"/>
                <w:lang w:val="en-US" w:eastAsia="en-US" w:bidi="en-US"/>
              </w:rPr>
              <w:t>3</w:t>
            </w:r>
            <w:r>
              <w:rPr>
                <w:rFonts w:ascii="Times New Roman" w:hAnsi="Times New Roman" w:eastAsia="Times New Roman"/>
                <w:color w:val="auto"/>
                <w:sz w:val="15"/>
                <w:szCs w:val="15"/>
                <w:lang w:val="en-US" w:eastAsia="en-US" w:bidi="en-US"/>
              </w:rPr>
              <w:t>)</w:t>
            </w:r>
          </w:p>
        </w:tc>
        <w:tc>
          <w:tcPr>
            <w:tcW w:w="1441"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rFonts w:ascii="宋体" w:hAnsi="宋体" w:cs="宋体"/>
                <w:color w:val="auto"/>
                <w:sz w:val="16"/>
                <w:szCs w:val="16"/>
              </w:rPr>
              <w:t>膨润土</w:t>
            </w:r>
            <w:r>
              <w:rPr>
                <w:rFonts w:ascii="宋体" w:hAnsi="宋体" w:cs="宋体"/>
                <w:color w:val="auto"/>
                <w:sz w:val="15"/>
                <w:szCs w:val="15"/>
                <w:lang w:val="en-US" w:eastAsia="en-US" w:bidi="en-US"/>
              </w:rPr>
              <w:t>(</w:t>
            </w:r>
            <w:r>
              <w:rPr>
                <w:rFonts w:ascii="Times New Roman" w:hAnsi="Times New Roman" w:eastAsia="Times New Roman"/>
                <w:color w:val="auto"/>
                <w:sz w:val="15"/>
                <w:szCs w:val="15"/>
                <w:lang w:val="en-US" w:eastAsia="en-US" w:bidi="en-US"/>
              </w:rPr>
              <w:t>kg/n?)</w:t>
            </w:r>
          </w:p>
        </w:tc>
        <w:tc>
          <w:tcPr>
            <w:tcW w:w="1595" w:type="dxa"/>
            <w:vMerge w:val="continue"/>
            <w:tcBorders>
              <w:left w:val="single" w:color="auto" w:sz="4" w:space="0"/>
              <w:right w:val="single" w:color="auto" w:sz="4" w:space="0"/>
            </w:tcBorders>
            <w:shd w:val="clear" w:color="auto" w:fill="FFFFFF"/>
            <w:vAlign w:val="center"/>
          </w:tcPr>
          <w:p>
            <w:pPr>
              <w:rPr>
                <w:color w:val="auto"/>
              </w:rPr>
            </w:pPr>
          </w:p>
        </w:tc>
      </w:tr>
      <w:tr>
        <w:tblPrEx>
          <w:tblCellMar>
            <w:top w:w="0" w:type="dxa"/>
            <w:left w:w="10" w:type="dxa"/>
            <w:bottom w:w="0" w:type="dxa"/>
            <w:right w:w="10" w:type="dxa"/>
          </w:tblCellMar>
        </w:tblPrEx>
        <w:trPr>
          <w:trHeight w:val="320" w:hRule="exact"/>
          <w:jc w:val="center"/>
        </w:trPr>
        <w:tc>
          <w:tcPr>
            <w:tcW w:w="1451"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宋体" w:hAnsi="宋体" w:cs="宋体"/>
                <w:color w:val="auto"/>
                <w:sz w:val="16"/>
                <w:szCs w:val="16"/>
              </w:rPr>
              <w:t>黏性土</w:t>
            </w:r>
          </w:p>
        </w:tc>
        <w:tc>
          <w:tcPr>
            <w:tcW w:w="1431"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rFonts w:hint="eastAsia" w:ascii="微软雅黑" w:hAnsi="微软雅黑" w:eastAsia="微软雅黑" w:cs="微软雅黑"/>
                <w:color w:val="auto"/>
                <w:sz w:val="15"/>
                <w:szCs w:val="15"/>
              </w:rPr>
              <w:t>≽</w:t>
            </w:r>
            <w:r>
              <w:rPr>
                <w:rFonts w:ascii="Times New Roman" w:hAnsi="Times New Roman" w:eastAsia="Times New Roman"/>
                <w:color w:val="auto"/>
                <w:sz w:val="15"/>
                <w:szCs w:val="15"/>
              </w:rPr>
              <w:t>360</w:t>
            </w:r>
          </w:p>
        </w:tc>
        <w:tc>
          <w:tcPr>
            <w:tcW w:w="1441"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5"/>
                <w:szCs w:val="15"/>
              </w:rPr>
              <w:t>0</w:t>
            </w:r>
            <w:r>
              <w:rPr>
                <w:rFonts w:ascii="宋体" w:hAnsi="宋体" w:cs="宋体"/>
                <w:color w:val="auto"/>
                <w:sz w:val="15"/>
                <w:szCs w:val="15"/>
              </w:rPr>
              <w:t>〜</w:t>
            </w:r>
            <w:r>
              <w:rPr>
                <w:rFonts w:ascii="Times New Roman" w:hAnsi="Times New Roman" w:eastAsia="Times New Roman"/>
                <w:color w:val="auto"/>
                <w:sz w:val="15"/>
                <w:szCs w:val="15"/>
              </w:rPr>
              <w:t>5</w:t>
            </w:r>
          </w:p>
        </w:tc>
        <w:tc>
          <w:tcPr>
            <w:tcW w:w="1595"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5"/>
                <w:szCs w:val="15"/>
                <w:lang w:val="en-US" w:eastAsia="en-US" w:bidi="en-US"/>
              </w:rPr>
              <w:t xml:space="preserve">1.5 </w:t>
            </w:r>
            <w:r>
              <w:rPr>
                <w:rFonts w:ascii="宋体" w:hAnsi="宋体" w:cs="宋体"/>
                <w:color w:val="auto"/>
                <w:sz w:val="15"/>
                <w:szCs w:val="15"/>
              </w:rPr>
              <w:t>〜</w:t>
            </w:r>
            <w:r>
              <w:rPr>
                <w:rFonts w:ascii="Times New Roman" w:hAnsi="Times New Roman" w:eastAsia="Times New Roman"/>
                <w:color w:val="auto"/>
                <w:sz w:val="15"/>
                <w:szCs w:val="15"/>
                <w:lang w:val="en-US" w:eastAsia="en-US" w:bidi="en-US"/>
              </w:rPr>
              <w:t>2.0</w:t>
            </w:r>
          </w:p>
        </w:tc>
      </w:tr>
      <w:tr>
        <w:tblPrEx>
          <w:tblCellMar>
            <w:top w:w="0" w:type="dxa"/>
            <w:left w:w="10" w:type="dxa"/>
            <w:bottom w:w="0" w:type="dxa"/>
            <w:right w:w="10" w:type="dxa"/>
          </w:tblCellMar>
        </w:tblPrEx>
        <w:trPr>
          <w:trHeight w:val="315" w:hRule="exact"/>
          <w:jc w:val="center"/>
        </w:trPr>
        <w:tc>
          <w:tcPr>
            <w:tcW w:w="1451"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宋体" w:hAnsi="宋体" w:cs="宋体"/>
                <w:color w:val="auto"/>
                <w:sz w:val="16"/>
                <w:szCs w:val="16"/>
              </w:rPr>
              <w:t>砂性土</w:t>
            </w:r>
          </w:p>
        </w:tc>
        <w:tc>
          <w:tcPr>
            <w:tcW w:w="1431"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rFonts w:hint="eastAsia" w:ascii="微软雅黑" w:hAnsi="微软雅黑" w:eastAsia="微软雅黑" w:cs="微软雅黑"/>
                <w:color w:val="auto"/>
                <w:sz w:val="15"/>
                <w:szCs w:val="15"/>
              </w:rPr>
              <w:t>≽</w:t>
            </w:r>
            <w:r>
              <w:rPr>
                <w:rFonts w:ascii="Times New Roman" w:hAnsi="Times New Roman" w:eastAsia="Times New Roman"/>
                <w:color w:val="auto"/>
                <w:sz w:val="15"/>
                <w:szCs w:val="15"/>
              </w:rPr>
              <w:t>325</w:t>
            </w:r>
          </w:p>
        </w:tc>
        <w:tc>
          <w:tcPr>
            <w:tcW w:w="1441"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5"/>
                <w:szCs w:val="15"/>
              </w:rPr>
              <w:t>5~10</w:t>
            </w:r>
          </w:p>
        </w:tc>
        <w:tc>
          <w:tcPr>
            <w:tcW w:w="1595"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5"/>
                <w:szCs w:val="15"/>
                <w:lang w:val="en-US" w:eastAsia="en-US" w:bidi="en-US"/>
              </w:rPr>
              <w:t>1.</w:t>
            </w:r>
            <w:r>
              <w:rPr>
                <w:rFonts w:ascii="Times New Roman" w:hAnsi="Times New Roman" w:eastAsia="Times New Roman"/>
                <w:color w:val="auto"/>
                <w:sz w:val="15"/>
                <w:szCs w:val="15"/>
              </w:rPr>
              <w:t xml:space="preserve">5 </w:t>
            </w:r>
            <w:r>
              <w:rPr>
                <w:rFonts w:ascii="宋体" w:hAnsi="宋体" w:cs="宋体"/>
                <w:color w:val="auto"/>
                <w:sz w:val="15"/>
                <w:szCs w:val="15"/>
              </w:rPr>
              <w:t>〜</w:t>
            </w:r>
            <w:r>
              <w:rPr>
                <w:rFonts w:ascii="Times New Roman" w:hAnsi="Times New Roman" w:eastAsia="Times New Roman"/>
                <w:color w:val="auto"/>
                <w:sz w:val="15"/>
                <w:szCs w:val="15"/>
                <w:lang w:val="en-US" w:eastAsia="en-US" w:bidi="en-US"/>
              </w:rPr>
              <w:t xml:space="preserve">2. </w:t>
            </w:r>
            <w:r>
              <w:rPr>
                <w:rFonts w:ascii="Times New Roman" w:hAnsi="Times New Roman" w:eastAsia="Times New Roman"/>
                <w:color w:val="auto"/>
                <w:sz w:val="15"/>
                <w:szCs w:val="15"/>
              </w:rPr>
              <w:t>0</w:t>
            </w:r>
          </w:p>
        </w:tc>
      </w:tr>
      <w:tr>
        <w:tblPrEx>
          <w:tblCellMar>
            <w:top w:w="0" w:type="dxa"/>
            <w:left w:w="10" w:type="dxa"/>
            <w:bottom w:w="0" w:type="dxa"/>
            <w:right w:w="10" w:type="dxa"/>
          </w:tblCellMar>
        </w:tblPrEx>
        <w:trPr>
          <w:trHeight w:val="339" w:hRule="exact"/>
          <w:jc w:val="center"/>
        </w:trPr>
        <w:tc>
          <w:tcPr>
            <w:tcW w:w="1451"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宋体" w:hAnsi="宋体" w:cs="宋体"/>
                <w:color w:val="auto"/>
                <w:sz w:val="16"/>
                <w:szCs w:val="16"/>
              </w:rPr>
              <w:t>砂砾土</w:t>
            </w:r>
          </w:p>
        </w:tc>
        <w:tc>
          <w:tcPr>
            <w:tcW w:w="1431"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5"/>
                <w:szCs w:val="15"/>
              </w:rPr>
            </w:pPr>
            <w:r>
              <w:rPr>
                <w:rFonts w:hint="eastAsia" w:ascii="微软雅黑" w:hAnsi="微软雅黑" w:eastAsia="微软雅黑" w:cs="微软雅黑"/>
                <w:color w:val="auto"/>
                <w:sz w:val="15"/>
                <w:szCs w:val="15"/>
              </w:rPr>
              <w:t>≽</w:t>
            </w:r>
            <w:r>
              <w:rPr>
                <w:rFonts w:ascii="Times New Roman" w:hAnsi="Times New Roman" w:eastAsia="Times New Roman"/>
                <w:color w:val="auto"/>
                <w:sz w:val="15"/>
                <w:szCs w:val="15"/>
              </w:rPr>
              <w:t>290</w:t>
            </w:r>
          </w:p>
        </w:tc>
        <w:tc>
          <w:tcPr>
            <w:tcW w:w="1441"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5"/>
                <w:szCs w:val="15"/>
              </w:rPr>
              <w:t>5</w:t>
            </w:r>
            <w:r>
              <w:rPr>
                <w:rFonts w:ascii="宋体" w:hAnsi="宋体" w:cs="宋体"/>
                <w:color w:val="auto"/>
                <w:sz w:val="15"/>
                <w:szCs w:val="15"/>
              </w:rPr>
              <w:t>〜</w:t>
            </w:r>
            <w:r>
              <w:rPr>
                <w:rFonts w:ascii="Times New Roman" w:hAnsi="Times New Roman" w:eastAsia="Times New Roman"/>
                <w:color w:val="auto"/>
                <w:sz w:val="15"/>
                <w:szCs w:val="15"/>
              </w:rPr>
              <w:t>15</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5"/>
                <w:szCs w:val="15"/>
                <w:lang w:val="en-US" w:eastAsia="en-US" w:bidi="en-US"/>
              </w:rPr>
              <w:t xml:space="preserve">1.2 </w:t>
            </w:r>
            <w:r>
              <w:rPr>
                <w:rFonts w:ascii="宋体" w:hAnsi="宋体" w:cs="宋体"/>
                <w:color w:val="auto"/>
                <w:sz w:val="15"/>
                <w:szCs w:val="15"/>
              </w:rPr>
              <w:t>〜</w:t>
            </w:r>
            <w:r>
              <w:rPr>
                <w:rFonts w:ascii="Times New Roman" w:hAnsi="Times New Roman" w:eastAsia="Times New Roman"/>
                <w:color w:val="auto"/>
                <w:sz w:val="15"/>
                <w:szCs w:val="15"/>
                <w:lang w:val="en-US" w:eastAsia="en-US" w:bidi="en-US"/>
              </w:rPr>
              <w:t>2.0</w:t>
            </w:r>
          </w:p>
        </w:tc>
      </w:tr>
    </w:tbl>
    <w:p>
      <w:pPr>
        <w:pStyle w:val="46"/>
        <w:spacing w:after="0" w:line="360" w:lineRule="auto"/>
        <w:ind w:left="0" w:leftChars="0" w:firstLine="0" w:firstLineChars="0"/>
        <w:rPr>
          <w:rFonts w:ascii="Times New Roman" w:hAnsi="Times New Roman" w:cs="Times New Roman"/>
          <w:color w:val="auto"/>
          <w:sz w:val="24"/>
          <w:szCs w:val="24"/>
          <w:lang w:val="en-US" w:eastAsia="zh-CN" w:bidi="ar-SA"/>
        </w:rPr>
      </w:pPr>
      <w:r>
        <w:rPr>
          <w:rFonts w:hint="eastAsia" w:ascii="Times New Roman" w:hAnsi="Times New Roman" w:cs="Times New Roman"/>
          <w:b/>
          <w:color w:val="auto"/>
          <w:sz w:val="24"/>
          <w:szCs w:val="22"/>
          <w:lang w:val="en-US" w:eastAsia="zh-CN" w:bidi="ar-SA"/>
        </w:rPr>
        <w:t xml:space="preserve">8.3.6   </w:t>
      </w:r>
      <w:r>
        <w:rPr>
          <w:rFonts w:ascii="Calibri" w:hAnsi="Calibri" w:cs="Times New Roman"/>
          <w:color w:val="auto"/>
          <w:sz w:val="24"/>
          <w:szCs w:val="22"/>
          <w:lang w:val="en-US" w:eastAsia="zh-CN" w:bidi="ar-SA"/>
        </w:rPr>
        <w:t>型钢水泥土搅拌墙中的三轴水泥土搅拌桩可</w:t>
      </w:r>
      <w:r>
        <w:rPr>
          <w:rFonts w:hint="eastAsia" w:ascii="Calibri" w:hAnsi="Calibri" w:cs="Times New Roman"/>
          <w:color w:val="auto"/>
          <w:sz w:val="24"/>
          <w:szCs w:val="22"/>
          <w:lang w:val="en-US" w:eastAsia="zh-CN" w:bidi="ar-SA"/>
        </w:rPr>
        <w:t>兼</w:t>
      </w:r>
      <w:r>
        <w:rPr>
          <w:rFonts w:ascii="Calibri" w:hAnsi="Calibri" w:cs="Times New Roman"/>
          <w:color w:val="auto"/>
          <w:sz w:val="24"/>
          <w:szCs w:val="22"/>
          <w:lang w:val="en-US" w:eastAsia="zh-CN" w:bidi="ar-SA"/>
        </w:rPr>
        <w:t>作为截水帷幕，搅拌桩应采用套接一孔法施工。其抗渗性能应满足墙体自防渗要求，在砂性土中搅拌桩施工宜外加膨润土。</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8.3.7  </w:t>
      </w:r>
      <w:r>
        <w:rPr>
          <w:rFonts w:ascii="Calibri" w:hAnsi="Calibri" w:cs="Times New Roman"/>
          <w:color w:val="auto"/>
          <w:sz w:val="24"/>
          <w:szCs w:val="22"/>
          <w:lang w:val="en-US" w:eastAsia="zh-CN" w:bidi="ar-SA"/>
        </w:rPr>
        <w:t>型钢水泥土搅拌墙中型钢的间距和平面布置形式应根据计算确定，常用的内插型钢布置形式可采用密插型、插二跳一型和插一跳一型(图</w:t>
      </w:r>
      <w:r>
        <w:rPr>
          <w:rFonts w:hint="eastAsia" w:ascii="Calibri" w:hAnsi="Calibri" w:cs="Times New Roman"/>
          <w:color w:val="auto"/>
          <w:sz w:val="24"/>
          <w:szCs w:val="22"/>
          <w:lang w:val="en-US" w:eastAsia="zh-CN" w:bidi="ar-SA"/>
        </w:rPr>
        <w:t>8</w:t>
      </w:r>
      <w:r>
        <w:rPr>
          <w:rFonts w:ascii="Calibri" w:hAnsi="Calibri" w:cs="Times New Roman"/>
          <w:color w:val="auto"/>
          <w:sz w:val="24"/>
          <w:szCs w:val="22"/>
          <w:lang w:val="en-US" w:eastAsia="zh-CN" w:bidi="ar-SA"/>
        </w:rPr>
        <w:t>.</w:t>
      </w:r>
      <w:r>
        <w:rPr>
          <w:rFonts w:hint="eastAsia" w:ascii="Calibri" w:hAnsi="Calibri" w:cs="Times New Roman"/>
          <w:color w:val="auto"/>
          <w:sz w:val="24"/>
          <w:szCs w:val="22"/>
          <w:lang w:val="en-US" w:eastAsia="zh-CN" w:bidi="ar-SA"/>
        </w:rPr>
        <w:t>3</w:t>
      </w:r>
      <w:r>
        <w:rPr>
          <w:rFonts w:ascii="Calibri" w:hAnsi="Calibri" w:cs="Times New Roman"/>
          <w:color w:val="auto"/>
          <w:sz w:val="24"/>
          <w:szCs w:val="22"/>
          <w:lang w:val="en-US" w:eastAsia="zh-CN" w:bidi="ar-SA"/>
        </w:rPr>
        <w:t>.7)三种。</w:t>
      </w:r>
    </w:p>
    <w:p>
      <w:pPr>
        <w:pStyle w:val="46"/>
        <w:spacing w:after="0" w:line="360" w:lineRule="auto"/>
        <w:ind w:left="0" w:firstLine="0"/>
        <w:rPr>
          <w:rFonts w:ascii="Times New Roman" w:hAnsi="Times New Roman" w:cs="Times New Roman"/>
          <w:color w:val="auto"/>
          <w:sz w:val="24"/>
          <w:szCs w:val="24"/>
          <w:lang w:val="en-US" w:eastAsia="zh-CN" w:bidi="ar-SA"/>
        </w:rPr>
      </w:pPr>
      <w:r>
        <w:rPr>
          <w:rFonts w:hint="eastAsia" w:ascii="Times New Roman" w:hAnsi="Times New Roman" w:cs="Times New Roman"/>
          <w:color w:val="auto"/>
          <w:sz w:val="24"/>
          <w:szCs w:val="24"/>
          <w:lang w:val="en-US" w:eastAsia="zh-CN" w:bidi="ar-SA"/>
        </w:rPr>
        <w:t xml:space="preserve">         </w:t>
      </w:r>
      <w:r>
        <w:rPr>
          <w:rFonts w:ascii="Times New Roman" w:hAnsi="Times New Roman" w:cs="Times New Roman"/>
          <w:color w:val="auto"/>
          <w:sz w:val="24"/>
          <w:szCs w:val="24"/>
          <w:lang w:val="en-US" w:eastAsia="zh-CN" w:bidi="ar-SA"/>
        </w:rPr>
        <w:drawing>
          <wp:inline distT="0" distB="0" distL="114300" distR="114300">
            <wp:extent cx="3924300" cy="876300"/>
            <wp:effectExtent l="0" t="0" r="7620" b="7620"/>
            <wp:docPr id="328" name="图片 328" descr="1682772164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8" name="图片 328" descr="1682772164130"/>
                    <pic:cNvPicPr>
                      <a:picLocks noChangeAspect="true"/>
                    </pic:cNvPicPr>
                  </pic:nvPicPr>
                  <pic:blipFill>
                    <a:blip r:embed="rId416"/>
                    <a:stretch>
                      <a:fillRect/>
                    </a:stretch>
                  </pic:blipFill>
                  <pic:spPr>
                    <a:xfrm>
                      <a:off x="0" y="0"/>
                      <a:ext cx="3924300" cy="876300"/>
                    </a:xfrm>
                    <a:prstGeom prst="rect">
                      <a:avLst/>
                    </a:prstGeom>
                  </pic:spPr>
                </pic:pic>
              </a:graphicData>
            </a:graphic>
          </wp:inline>
        </w:drawing>
      </w:r>
    </w:p>
    <w:p>
      <w:pPr>
        <w:pStyle w:val="49"/>
        <w:numPr>
          <w:ilvl w:val="0"/>
          <w:numId w:val="3"/>
        </w:numPr>
        <w:ind w:left="3672" w:firstLine="0"/>
        <w:jc w:val="left"/>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密插型</w:t>
      </w:r>
    </w:p>
    <w:p>
      <w:pPr>
        <w:pStyle w:val="49"/>
        <w:jc w:val="left"/>
        <w:rPr>
          <w:rFonts w:ascii="Calibri" w:hAnsi="Calibri" w:cs="Times New Roman"/>
          <w:color w:val="auto"/>
          <w:sz w:val="24"/>
          <w:szCs w:val="22"/>
          <w:lang w:val="en-US" w:eastAsia="zh-CN" w:bidi="ar-SA"/>
        </w:rPr>
      </w:pPr>
    </w:p>
    <w:p>
      <w:pPr>
        <w:pStyle w:val="49"/>
        <w:ind w:left="1512"/>
        <w:jc w:val="left"/>
        <w:rPr>
          <w:color w:val="auto"/>
        </w:rPr>
      </w:pPr>
      <w:r>
        <w:rPr>
          <w:color w:val="auto"/>
          <w:lang w:val="en-US" w:eastAsia="zh-CN" w:bidi="ar-SA"/>
        </w:rPr>
        <w:drawing>
          <wp:inline distT="0" distB="0" distL="114300" distR="114300">
            <wp:extent cx="3543300" cy="928370"/>
            <wp:effectExtent l="0" t="0" r="7620" b="1270"/>
            <wp:docPr id="329" name="Picutre 21"/>
            <wp:cNvGraphicFramePr/>
            <a:graphic xmlns:a="http://schemas.openxmlformats.org/drawingml/2006/main">
              <a:graphicData uri="http://schemas.openxmlformats.org/drawingml/2006/picture">
                <pic:pic xmlns:pic="http://schemas.openxmlformats.org/drawingml/2006/picture">
                  <pic:nvPicPr>
                    <pic:cNvPr id="329" name="Picutre 21"/>
                    <pic:cNvPicPr/>
                  </pic:nvPicPr>
                  <pic:blipFill>
                    <a:blip r:embed="rId417"/>
                    <a:stretch>
                      <a:fillRect/>
                    </a:stretch>
                  </pic:blipFill>
                  <pic:spPr>
                    <a:xfrm>
                      <a:off x="0" y="0"/>
                      <a:ext cx="3543300" cy="928370"/>
                    </a:xfrm>
                    <a:prstGeom prst="rect">
                      <a:avLst/>
                    </a:prstGeom>
                  </pic:spPr>
                </pic:pic>
              </a:graphicData>
            </a:graphic>
          </wp:inline>
        </w:drawing>
      </w:r>
    </w:p>
    <w:p>
      <w:pPr>
        <w:pStyle w:val="49"/>
        <w:numPr>
          <w:ilvl w:val="0"/>
          <w:numId w:val="3"/>
        </w:numPr>
        <w:ind w:left="3672" w:firstLine="0"/>
        <w:jc w:val="left"/>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插二跳一型</w:t>
      </w:r>
    </w:p>
    <w:p>
      <w:pPr>
        <w:pStyle w:val="49"/>
        <w:ind w:left="3672"/>
        <w:jc w:val="left"/>
        <w:rPr>
          <w:rFonts w:ascii="Calibri" w:hAnsi="Calibri" w:cs="Times New Roman"/>
          <w:color w:val="auto"/>
          <w:sz w:val="24"/>
          <w:szCs w:val="22"/>
          <w:lang w:val="en-US" w:eastAsia="zh-CN" w:bidi="ar-SA"/>
        </w:rPr>
      </w:pPr>
    </w:p>
    <w:p>
      <w:pPr>
        <w:pStyle w:val="49"/>
        <w:ind w:left="3672"/>
        <w:jc w:val="left"/>
        <w:rPr>
          <w:rFonts w:ascii="Calibri" w:hAnsi="Calibri" w:cs="Times New Roman"/>
          <w:color w:val="auto"/>
          <w:sz w:val="24"/>
          <w:szCs w:val="22"/>
          <w:lang w:val="en-US" w:eastAsia="zh-CN" w:bidi="ar-SA"/>
        </w:rPr>
      </w:pPr>
    </w:p>
    <w:p>
      <w:pPr>
        <w:pStyle w:val="49"/>
        <w:jc w:val="left"/>
        <w:rPr>
          <w:color w:val="auto"/>
        </w:rPr>
      </w:pPr>
      <w:r>
        <w:rPr>
          <w:rFonts w:hint="eastAsia"/>
          <w:color w:val="auto"/>
          <w:lang w:val="en-US" w:eastAsia="zh-CN"/>
        </w:rPr>
        <w:t xml:space="preserve">                  </w:t>
      </w:r>
      <w:r>
        <w:rPr>
          <w:color w:val="auto"/>
          <w:lang w:val="en-US" w:eastAsia="zh-CN" w:bidi="ar-SA"/>
        </w:rPr>
        <w:drawing>
          <wp:inline distT="0" distB="0" distL="114300" distR="114300">
            <wp:extent cx="3475990" cy="1012190"/>
            <wp:effectExtent l="0" t="0" r="13970" b="8890"/>
            <wp:docPr id="331" name="Picutre 22"/>
            <wp:cNvGraphicFramePr/>
            <a:graphic xmlns:a="http://schemas.openxmlformats.org/drawingml/2006/main">
              <a:graphicData uri="http://schemas.openxmlformats.org/drawingml/2006/picture">
                <pic:pic xmlns:pic="http://schemas.openxmlformats.org/drawingml/2006/picture">
                  <pic:nvPicPr>
                    <pic:cNvPr id="331" name="Picutre 22"/>
                    <pic:cNvPicPr/>
                  </pic:nvPicPr>
                  <pic:blipFill>
                    <a:blip r:embed="rId418"/>
                    <a:stretch>
                      <a:fillRect/>
                    </a:stretch>
                  </pic:blipFill>
                  <pic:spPr>
                    <a:xfrm>
                      <a:off x="0" y="0"/>
                      <a:ext cx="3475990" cy="1012190"/>
                    </a:xfrm>
                    <a:prstGeom prst="rect">
                      <a:avLst/>
                    </a:prstGeom>
                  </pic:spPr>
                </pic:pic>
              </a:graphicData>
            </a:graphic>
          </wp:inline>
        </w:drawing>
      </w:r>
    </w:p>
    <w:p>
      <w:pPr>
        <w:pStyle w:val="49"/>
        <w:numPr>
          <w:ilvl w:val="0"/>
          <w:numId w:val="3"/>
        </w:numPr>
        <w:ind w:left="3672" w:firstLine="0"/>
        <w:jc w:val="left"/>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插一跳一型</w:t>
      </w:r>
    </w:p>
    <w:p>
      <w:pPr>
        <w:pStyle w:val="49"/>
        <w:ind w:firstLine="2880" w:firstLineChars="1200"/>
        <w:jc w:val="left"/>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图 8.3.7 内插型钢布置形式</w:t>
      </w:r>
    </w:p>
    <w:p>
      <w:pPr>
        <w:pStyle w:val="46"/>
        <w:spacing w:after="0" w:line="360" w:lineRule="auto"/>
        <w:ind w:left="0" w:leftChars="0" w:firstLine="0" w:firstLineChars="0"/>
        <w:rPr>
          <w:color w:val="auto"/>
        </w:rPr>
      </w:pPr>
      <w:r>
        <w:rPr>
          <w:rFonts w:hint="eastAsia" w:ascii="Times New Roman" w:hAnsi="Times New Roman" w:cs="Times New Roman"/>
          <w:b/>
          <w:color w:val="auto"/>
          <w:sz w:val="24"/>
          <w:szCs w:val="22"/>
          <w:lang w:val="en-US" w:eastAsia="zh-CN" w:bidi="ar-SA"/>
        </w:rPr>
        <w:t xml:space="preserve">8.3.8  </w:t>
      </w:r>
      <w:r>
        <w:rPr>
          <w:rFonts w:ascii="Calibri" w:hAnsi="Calibri" w:cs="Times New Roman"/>
          <w:color w:val="auto"/>
          <w:sz w:val="24"/>
          <w:szCs w:val="22"/>
          <w:lang w:val="en-US" w:eastAsia="zh-CN" w:bidi="ar-SA"/>
        </w:rPr>
        <w:t>型钢水泥型钢水泥土搅拌墙支护结构的计算与验算应包括下列内容：</w:t>
      </w:r>
    </w:p>
    <w:p>
      <w:pPr>
        <w:pStyle w:val="46"/>
        <w:spacing w:after="0" w:line="360" w:lineRule="auto"/>
        <w:ind w:left="60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1内力和变形计算；</w:t>
      </w:r>
    </w:p>
    <w:p>
      <w:pPr>
        <w:pStyle w:val="46"/>
        <w:spacing w:after="0" w:line="360" w:lineRule="auto"/>
        <w:ind w:left="60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2整体稳定性验算；</w:t>
      </w:r>
    </w:p>
    <w:p>
      <w:pPr>
        <w:pStyle w:val="46"/>
        <w:spacing w:after="0" w:line="360" w:lineRule="auto"/>
        <w:ind w:left="60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3抗倾覆稳定性验算；</w:t>
      </w:r>
    </w:p>
    <w:p>
      <w:pPr>
        <w:pStyle w:val="46"/>
        <w:spacing w:after="0" w:line="360" w:lineRule="auto"/>
        <w:ind w:left="60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4坑底抗隆起稳定性验算；</w:t>
      </w:r>
    </w:p>
    <w:p>
      <w:pPr>
        <w:pStyle w:val="46"/>
        <w:spacing w:after="0" w:line="360" w:lineRule="auto"/>
        <w:ind w:left="60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5抗渗流稳定性验算；</w:t>
      </w:r>
    </w:p>
    <w:p>
      <w:pPr>
        <w:pStyle w:val="46"/>
        <w:spacing w:after="0" w:line="360" w:lineRule="auto"/>
        <w:ind w:left="60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6基坑外土体变形估算。</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8.3.9  </w:t>
      </w:r>
      <w:r>
        <w:rPr>
          <w:rFonts w:ascii="Calibri" w:hAnsi="Calibri" w:cs="Times New Roman"/>
          <w:color w:val="auto"/>
          <w:sz w:val="24"/>
          <w:szCs w:val="22"/>
          <w:lang w:val="en-US" w:eastAsia="zh-CN" w:bidi="ar-SA"/>
        </w:rPr>
        <w:t>型钢水泥土搅拌墙的墙体计算抗弯刚度，只应计算内插型钢的截面刚度。在进行支护结构内力和变形计算以及基坑抗隆起、抗倾覆、整体稳定性等各项稳定性分析时，支护结构的深度应取型钢的插入深度，不应计入型钢端部以下水泥土搅拌桩的作用。</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8.3.10  </w:t>
      </w:r>
      <w:r>
        <w:rPr>
          <w:rFonts w:ascii="Calibri" w:hAnsi="Calibri" w:cs="Times New Roman"/>
          <w:color w:val="auto"/>
          <w:sz w:val="24"/>
          <w:szCs w:val="22"/>
          <w:lang w:val="en-US" w:eastAsia="zh-CN" w:bidi="ar-SA"/>
        </w:rPr>
        <w:t>水泥土搅拌桩的入土深度，除应满足型钢的插入要求之外，尚应满足基坑抗渗流稳定性的要求。</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8.3.11  </w:t>
      </w:r>
      <w:r>
        <w:rPr>
          <w:rFonts w:ascii="Calibri" w:hAnsi="Calibri" w:cs="Times New Roman"/>
          <w:color w:val="auto"/>
          <w:sz w:val="24"/>
          <w:szCs w:val="22"/>
          <w:lang w:val="en-US" w:eastAsia="zh-CN" w:bidi="ar-SA"/>
        </w:rPr>
        <w:t>型钢水泥土搅拌墙内插型钢的截面承载力应按下列规定验算：</w:t>
      </w:r>
    </w:p>
    <w:p>
      <w:pPr>
        <w:pStyle w:val="46"/>
        <w:spacing w:after="0" w:line="360" w:lineRule="auto"/>
        <w:ind w:left="0" w:firstLine="960" w:firstLineChars="4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1</w:t>
      </w:r>
      <w:r>
        <w:rPr>
          <w:rFonts w:hint="eastAsia" w:ascii="Calibri" w:hAnsi="Calibri" w:cs="Times New Roman"/>
          <w:color w:val="auto"/>
          <w:sz w:val="24"/>
          <w:szCs w:val="22"/>
          <w:lang w:val="en-US" w:eastAsia="zh-CN" w:bidi="ar-SA"/>
        </w:rPr>
        <w:t xml:space="preserve"> </w:t>
      </w:r>
      <w:r>
        <w:rPr>
          <w:rFonts w:ascii="Calibri" w:hAnsi="Calibri" w:cs="Times New Roman"/>
          <w:color w:val="auto"/>
          <w:sz w:val="24"/>
          <w:szCs w:val="22"/>
          <w:lang w:val="en-US" w:eastAsia="zh-CN" w:bidi="ar-SA"/>
        </w:rPr>
        <w:t>作用于型钢水泥土搅拌墙的弯矩全部由型钢承担，并应符合下式规定：</w:t>
      </w:r>
    </w:p>
    <w:p>
      <w:pPr>
        <w:pStyle w:val="46"/>
        <w:spacing w:after="0" w:line="360" w:lineRule="auto"/>
        <w:ind w:left="0" w:firstLine="960" w:firstLineChars="40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m:oMath>
        <m:f>
          <m:fPr>
            <m:ctrlPr>
              <w:rPr>
                <w:rFonts w:ascii="Cambria Math" w:hAnsi="Cambria Math" w:cs="Times New Roman"/>
                <w:i/>
                <w:color w:val="auto"/>
                <w:sz w:val="32"/>
                <w:szCs w:val="32"/>
                <w:lang w:val="en-US" w:bidi="ar-SA"/>
              </w:rPr>
            </m:ctrlPr>
          </m:fPr>
          <m:num>
            <m:r>
              <m:rPr/>
              <w:rPr>
                <w:rFonts w:ascii="Cambria Math" w:hAnsi="Cambria Math" w:cs="Times New Roman"/>
                <w:color w:val="auto"/>
                <w:sz w:val="32"/>
                <w:szCs w:val="32"/>
                <w:lang w:val="en-US" w:eastAsia="zh-CN" w:bidi="ar-SA"/>
              </w:rPr>
              <m:t>1.25</m:t>
            </m:r>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bidi="ar-SA"/>
                  </w:rPr>
                  <m:t>γ</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0</m:t>
                </m:r>
                <m:ctrlPr>
                  <w:rPr>
                    <w:rFonts w:ascii="Cambria Math" w:hAnsi="Cambria Math" w:cs="Times New Roman"/>
                    <w:i/>
                    <w:color w:val="auto"/>
                    <w:sz w:val="32"/>
                    <w:szCs w:val="32"/>
                    <w:lang w:val="en-US" w:bidi="ar-SA"/>
                  </w:rPr>
                </m:ctrlPr>
              </m:sub>
            </m:sSub>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eastAsia="zh-CN" w:bidi="ar-SA"/>
                  </w:rPr>
                  <m:t>M</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k</m:t>
                </m:r>
                <m:ctrlPr>
                  <w:rPr>
                    <w:rFonts w:ascii="Cambria Math" w:hAnsi="Cambria Math" w:cs="Times New Roman"/>
                    <w:i/>
                    <w:color w:val="auto"/>
                    <w:sz w:val="32"/>
                    <w:szCs w:val="32"/>
                    <w:lang w:val="en-US" w:bidi="ar-SA"/>
                  </w:rPr>
                </m:ctrlPr>
              </m:sub>
            </m:sSub>
            <m:ctrlPr>
              <w:rPr>
                <w:rFonts w:ascii="Cambria Math" w:hAnsi="Cambria Math" w:cs="Times New Roman"/>
                <w:i/>
                <w:color w:val="auto"/>
                <w:sz w:val="32"/>
                <w:szCs w:val="32"/>
                <w:lang w:val="en-US" w:bidi="ar-SA"/>
              </w:rPr>
            </m:ctrlPr>
          </m:num>
          <m:den>
            <m:r>
              <m:rPr/>
              <w:rPr>
                <w:rFonts w:ascii="Cambria Math" w:hAnsi="Cambria Math" w:cs="Times New Roman"/>
                <w:color w:val="auto"/>
                <w:sz w:val="32"/>
                <w:szCs w:val="32"/>
                <w:lang w:val="en-US" w:eastAsia="zh-CN" w:bidi="ar-SA"/>
              </w:rPr>
              <m:t>W</m:t>
            </m:r>
            <m:ctrlPr>
              <w:rPr>
                <w:rFonts w:ascii="Cambria Math" w:hAnsi="Cambria Math" w:cs="Times New Roman"/>
                <w:i/>
                <w:color w:val="auto"/>
                <w:sz w:val="32"/>
                <w:szCs w:val="32"/>
                <w:lang w:val="en-US" w:bidi="ar-SA"/>
              </w:rPr>
            </m:ctrlPr>
          </m:den>
        </m:f>
      </m:oMath>
      <w:r>
        <w:rPr>
          <w:rFonts w:hint="eastAsia" w:ascii="微软雅黑" w:hAnsi="微软雅黑" w:eastAsia="微软雅黑" w:cs="微软雅黑"/>
          <w:color w:val="auto"/>
          <w:sz w:val="32"/>
          <w:szCs w:val="32"/>
          <w:lang w:val="en-US" w:bidi="ar-SA"/>
        </w:rPr>
        <w:t>≼</w:t>
      </w:r>
      <w:r>
        <w:rPr>
          <w:rFonts w:ascii="ItalicT" w:hAnsi="ItalicT" w:eastAsia="微软雅黑" w:cs="ItalicT"/>
          <w:color w:val="auto"/>
          <w:sz w:val="24"/>
          <w:szCs w:val="24"/>
          <w:lang w:val="en-US" w:eastAsia="zh-CN" w:bidi="ar-SA"/>
        </w:rPr>
        <w:t>f</w:t>
      </w:r>
      <w:r>
        <w:rPr>
          <w:rFonts w:ascii="ItalicC" w:hAnsi="ItalicC" w:cs="ItalicC"/>
          <w:color w:val="auto"/>
          <w:sz w:val="32"/>
          <w:szCs w:val="32"/>
          <w:lang w:val="en-US" w:eastAsia="zh-CN" w:bidi="ar-SA"/>
        </w:rPr>
        <w:t xml:space="preserve"> </w:t>
      </w:r>
      <w:r>
        <w:rPr>
          <w:rFonts w:hint="eastAsia" w:ascii="Calibri" w:hAnsi="Calibri" w:cs="Times New Roman"/>
          <w:color w:val="auto"/>
          <w:sz w:val="32"/>
          <w:szCs w:val="32"/>
          <w:lang w:val="en-US" w:eastAsia="zh-CN" w:bidi="ar-SA"/>
        </w:rPr>
        <w:t xml:space="preserve"> </w:t>
      </w:r>
      <w:r>
        <w:rPr>
          <w:rFonts w:hint="eastAsia" w:ascii="Calibri" w:hAnsi="Calibri" w:cs="Times New Roman"/>
          <w:color w:val="auto"/>
          <w:sz w:val="24"/>
          <w:szCs w:val="22"/>
          <w:lang w:val="en-US" w:eastAsia="zh-CN" w:bidi="ar-SA"/>
        </w:rPr>
        <w:t xml:space="preserve">            (8.3.11-1) </w:t>
      </w:r>
    </w:p>
    <w:p>
      <w:pPr>
        <w:pStyle w:val="46"/>
        <w:spacing w:after="0" w:line="360" w:lineRule="auto"/>
        <w:ind w:left="0" w:firstLine="480" w:firstLineChars="20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式中：</w:t>
      </w:r>
      <m:oMath>
        <m:sSub>
          <m:sSubPr>
            <m:ctrlPr>
              <w:rPr>
                <w:rFonts w:ascii="Cambria Math" w:hAnsi="Cambria Math" w:cs="Times New Roman"/>
                <w:i/>
                <w:color w:val="auto"/>
                <w:sz w:val="24"/>
                <w:szCs w:val="24"/>
                <w:lang w:val="en-US" w:bidi="ar-SA"/>
              </w:rPr>
            </m:ctrlPr>
          </m:sSubPr>
          <m:e>
            <m:r>
              <m:rPr/>
              <w:rPr>
                <w:rFonts w:ascii="Cambria Math" w:hAnsi="Cambria Math" w:cs="Times New Roman"/>
                <w:color w:val="auto"/>
                <w:sz w:val="24"/>
                <w:szCs w:val="24"/>
                <w:lang w:val="en-US" w:eastAsia="zh-CN" w:bidi="ar-SA"/>
              </w:rPr>
              <m:t xml:space="preserve"> </m:t>
            </m:r>
            <m:r>
              <m:rPr/>
              <w:rPr>
                <w:rFonts w:ascii="Cambria Math" w:hAnsi="Cambria Math" w:cs="Times New Roman"/>
                <w:color w:val="auto"/>
                <w:sz w:val="24"/>
                <w:szCs w:val="24"/>
                <w:lang w:val="en-US" w:bidi="ar-SA"/>
              </w:rPr>
              <m:t>γ</m:t>
            </m:r>
            <m:ctrlPr>
              <w:rPr>
                <w:rFonts w:ascii="Cambria Math" w:hAnsi="Cambria Math" w:cs="Times New Roman"/>
                <w:i/>
                <w:color w:val="auto"/>
                <w:sz w:val="24"/>
                <w:szCs w:val="24"/>
                <w:lang w:val="en-US" w:bidi="ar-SA"/>
              </w:rPr>
            </m:ctrlPr>
          </m:e>
          <m:sub>
            <m:r>
              <m:rPr/>
              <w:rPr>
                <w:rFonts w:ascii="Cambria Math" w:hAnsi="Cambria Math" w:cs="Times New Roman"/>
                <w:color w:val="auto"/>
                <w:sz w:val="24"/>
                <w:szCs w:val="24"/>
                <w:lang w:val="en-US" w:eastAsia="zh-CN" w:bidi="ar-SA"/>
              </w:rPr>
              <m:t>0</m:t>
            </m:r>
            <m:ctrlPr>
              <w:rPr>
                <w:rFonts w:ascii="Cambria Math" w:hAnsi="Cambria Math" w:cs="Times New Roman"/>
                <w:i/>
                <w:color w:val="auto"/>
                <w:sz w:val="24"/>
                <w:szCs w:val="24"/>
                <w:lang w:val="en-US" w:bidi="ar-SA"/>
              </w:rPr>
            </m:ctrlPr>
          </m:sub>
        </m:sSub>
      </m:oMath>
      <w:r>
        <w:rPr>
          <w:rFonts w:ascii="Calibri" w:hAnsi="Calibri" w:cs="Times New Roman"/>
          <w:color w:val="auto"/>
          <w:sz w:val="24"/>
          <w:szCs w:val="22"/>
          <w:lang w:val="en-US" w:eastAsia="zh-CN" w:bidi="ar-SA"/>
        </w:rPr>
        <w:t>—支护结构重要性系数</w:t>
      </w:r>
      <w:r>
        <w:rPr>
          <w:rFonts w:hint="eastAsia" w:ascii="Calibri" w:hAnsi="Calibri" w:cs="Times New Roman"/>
          <w:color w:val="auto"/>
          <w:sz w:val="24"/>
          <w:szCs w:val="22"/>
          <w:lang w:val="en-US" w:eastAsia="zh-CN" w:bidi="ar-SA"/>
        </w:rPr>
        <w:t>；</w:t>
      </w:r>
    </w:p>
    <w:p>
      <w:pPr>
        <w:pStyle w:val="46"/>
        <w:spacing w:after="0" w:line="360" w:lineRule="auto"/>
        <w:ind w:left="0" w:firstLine="1200" w:firstLineChars="500"/>
        <w:rPr>
          <w:rFonts w:ascii="Calibri" w:hAnsi="Calibri" w:cs="Times New Roman"/>
          <w:color w:val="auto"/>
          <w:sz w:val="24"/>
          <w:szCs w:val="22"/>
          <w:lang w:val="en-US" w:eastAsia="zh-CN" w:bidi="ar-SA"/>
        </w:rPr>
      </w:pPr>
      <m:oMath>
        <m:sSub>
          <m:sSubPr>
            <m:ctrlPr>
              <w:rPr>
                <w:rFonts w:ascii="Cambria Math" w:hAnsi="Cambria Math" w:cs="Times New Roman"/>
                <w:i/>
                <w:color w:val="auto"/>
                <w:sz w:val="24"/>
                <w:szCs w:val="24"/>
                <w:lang w:val="en-US" w:bidi="ar-SA"/>
              </w:rPr>
            </m:ctrlPr>
          </m:sSubPr>
          <m:e>
            <m:r>
              <m:rPr/>
              <w:rPr>
                <w:rFonts w:ascii="Cambria Math" w:hAnsi="Cambria Math" w:cs="Times New Roman"/>
                <w:color w:val="auto"/>
                <w:sz w:val="24"/>
                <w:szCs w:val="24"/>
                <w:lang w:val="en-US" w:eastAsia="zh-CN" w:bidi="ar-SA"/>
              </w:rPr>
              <m:t>M</m:t>
            </m:r>
            <m:ctrlPr>
              <w:rPr>
                <w:rFonts w:ascii="Cambria Math" w:hAnsi="Cambria Math" w:cs="Times New Roman"/>
                <w:i/>
                <w:color w:val="auto"/>
                <w:sz w:val="24"/>
                <w:szCs w:val="24"/>
                <w:lang w:val="en-US" w:bidi="ar-SA"/>
              </w:rPr>
            </m:ctrlPr>
          </m:e>
          <m:sub>
            <m:r>
              <m:rPr/>
              <w:rPr>
                <w:rFonts w:ascii="Cambria Math" w:hAnsi="Cambria Math" w:cs="Times New Roman"/>
                <w:color w:val="auto"/>
                <w:sz w:val="24"/>
                <w:szCs w:val="24"/>
                <w:lang w:val="en-US" w:eastAsia="zh-CN" w:bidi="ar-SA"/>
              </w:rPr>
              <m:t>k</m:t>
            </m:r>
            <m:ctrlPr>
              <w:rPr>
                <w:rFonts w:ascii="Cambria Math" w:hAnsi="Cambria Math" w:cs="Times New Roman"/>
                <w:i/>
                <w:color w:val="auto"/>
                <w:sz w:val="24"/>
                <w:szCs w:val="24"/>
                <w:lang w:val="en-US" w:bidi="ar-SA"/>
              </w:rPr>
            </m:ctrlPr>
          </m:sub>
        </m:sSub>
      </m:oMath>
      <w:r>
        <w:rPr>
          <w:rFonts w:ascii="Calibri" w:hAnsi="Calibri" w:cs="Times New Roman"/>
          <w:color w:val="auto"/>
          <w:sz w:val="24"/>
          <w:szCs w:val="22"/>
          <w:lang w:val="en-US" w:eastAsia="zh-CN" w:bidi="ar-SA"/>
        </w:rPr>
        <w:t>—作用于型钢水泥土搅拌墙的弯矩标准值（N •mm）</w:t>
      </w:r>
      <w:r>
        <w:rPr>
          <w:rFonts w:ascii="Calibri" w:hAnsi="Calibri" w:cs="Times New Roman"/>
          <w:color w:val="auto"/>
          <w:sz w:val="24"/>
          <w:szCs w:val="22"/>
          <w:lang w:bidi="ar-SA"/>
        </w:rPr>
        <w:t>；</w:t>
      </w:r>
    </w:p>
    <w:p>
      <w:pPr>
        <w:pStyle w:val="46"/>
        <w:spacing w:after="0" w:line="360" w:lineRule="auto"/>
        <w:ind w:firstLine="660" w:firstLineChars="275"/>
        <w:rPr>
          <w:rFonts w:ascii="Calibri" w:hAnsi="Calibri" w:cs="Times New Roman"/>
          <w:color w:val="auto"/>
          <w:sz w:val="24"/>
          <w:szCs w:val="22"/>
          <w:lang w:val="en-US" w:eastAsia="zh-CN" w:bidi="ar-SA"/>
        </w:rPr>
      </w:pPr>
      <m:oMath>
        <m:r>
          <m:rPr/>
          <w:rPr>
            <w:rFonts w:ascii="Cambria Math" w:hAnsi="Cambria Math" w:cs="Times New Roman"/>
            <w:color w:val="auto"/>
            <w:sz w:val="24"/>
            <w:szCs w:val="24"/>
            <w:lang w:val="en-US" w:eastAsia="zh-CN" w:bidi="ar-SA"/>
          </w:rPr>
          <m:t>W</m:t>
        </m:r>
      </m:oMath>
      <w:r>
        <w:rPr>
          <w:rFonts w:hint="eastAsia" w:ascii="Calibri" w:hAnsi="Calibri" w:cs="Times New Roman"/>
          <w:i/>
          <w:iCs/>
          <w:color w:val="auto"/>
          <w:sz w:val="24"/>
          <w:szCs w:val="22"/>
          <w:lang w:val="en-US" w:eastAsia="zh-CN" w:bidi="ar-SA"/>
        </w:rPr>
        <w:t xml:space="preserve"> </w:t>
      </w:r>
      <w:r>
        <w:rPr>
          <w:rFonts w:hint="eastAsia" w:ascii="Calibri" w:hAnsi="Calibri" w:cs="Times New Roman"/>
          <w:color w:val="auto"/>
          <w:sz w:val="24"/>
          <w:szCs w:val="22"/>
          <w:lang w:val="en-US" w:eastAsia="zh-CN" w:bidi="ar-SA"/>
        </w:rPr>
        <w:t>—</w:t>
      </w:r>
      <w:r>
        <w:rPr>
          <w:rFonts w:ascii="Calibri" w:hAnsi="Calibri" w:cs="Times New Roman"/>
          <w:color w:val="auto"/>
          <w:sz w:val="24"/>
          <w:szCs w:val="22"/>
          <w:lang w:val="en-US" w:eastAsia="zh-CN" w:bidi="ar-SA"/>
        </w:rPr>
        <w:t>型钢沿弯矩作用方向的截面模量（mm</w:t>
      </w:r>
      <w:r>
        <w:rPr>
          <w:rFonts w:ascii="Calibri" w:hAnsi="Calibri" w:cs="Times New Roman"/>
          <w:color w:val="auto"/>
          <w:sz w:val="24"/>
          <w:szCs w:val="22"/>
          <w:vertAlign w:val="superscript"/>
          <w:lang w:val="en-US" w:eastAsia="zh-CN" w:bidi="ar-SA"/>
        </w:rPr>
        <w:t>3</w:t>
      </w:r>
      <w:r>
        <w:rPr>
          <w:rFonts w:ascii="Calibri" w:hAnsi="Calibri" w:cs="Times New Roman"/>
          <w:color w:val="auto"/>
          <w:sz w:val="24"/>
          <w:szCs w:val="22"/>
          <w:lang w:val="en-US" w:eastAsia="zh-CN" w:bidi="ar-SA"/>
        </w:rPr>
        <w:t>）；</w:t>
      </w:r>
    </w:p>
    <w:p>
      <w:pPr>
        <w:pStyle w:val="46"/>
        <w:spacing w:after="0" w:line="360" w:lineRule="auto"/>
        <w:ind w:firstLine="660" w:firstLineChars="275"/>
        <w:rPr>
          <w:rFonts w:ascii="Calibri" w:hAnsi="Calibri" w:cs="Times New Roman"/>
          <w:color w:val="auto"/>
          <w:sz w:val="24"/>
          <w:szCs w:val="22"/>
          <w:lang w:val="en-US" w:eastAsia="zh-CN" w:bidi="ar-SA"/>
        </w:rPr>
      </w:pPr>
      <w:r>
        <w:rPr>
          <w:rFonts w:ascii="ItalicT" w:hAnsi="ItalicT" w:eastAsia="微软雅黑" w:cs="ItalicT"/>
          <w:color w:val="auto"/>
          <w:sz w:val="24"/>
          <w:szCs w:val="24"/>
          <w:lang w:val="en-US" w:eastAsia="zh-CN" w:bidi="ar-SA"/>
        </w:rPr>
        <w:t>f</w:t>
      </w:r>
      <w:r>
        <w:rPr>
          <w:rFonts w:ascii="Calibri" w:hAnsi="Calibri" w:cs="Times New Roman"/>
          <w:color w:val="auto"/>
          <w:sz w:val="24"/>
          <w:szCs w:val="22"/>
          <w:lang w:val="en-US" w:eastAsia="zh-CN" w:bidi="ar-SA"/>
        </w:rPr>
        <w:t>—型钢的抗弯强度设计值（N/m</w:t>
      </w:r>
      <w:r>
        <w:rPr>
          <w:rFonts w:hint="eastAsia" w:ascii="Calibri" w:hAnsi="Calibri" w:cs="Times New Roman"/>
          <w:color w:val="auto"/>
          <w:sz w:val="24"/>
          <w:szCs w:val="22"/>
          <w:lang w:val="en-US" w:eastAsia="zh-CN" w:bidi="ar-SA"/>
        </w:rPr>
        <w:t>m</w:t>
      </w:r>
      <w:r>
        <w:rPr>
          <w:rFonts w:hint="eastAsia" w:ascii="Calibri" w:hAnsi="Calibri" w:cs="Times New Roman"/>
          <w:color w:val="auto"/>
          <w:sz w:val="24"/>
          <w:szCs w:val="22"/>
          <w:vertAlign w:val="superscript"/>
          <w:lang w:val="en-US" w:eastAsia="zh-CN" w:bidi="ar-SA"/>
        </w:rPr>
        <w:t>2</w:t>
      </w:r>
      <w:r>
        <w:rPr>
          <w:rFonts w:ascii="Calibri" w:hAnsi="Calibri" w:cs="Times New Roman"/>
          <w:color w:val="auto"/>
          <w:sz w:val="24"/>
          <w:szCs w:val="22"/>
          <w:lang w:val="en-US" w:eastAsia="zh-CN" w:bidi="ar-SA"/>
        </w:rPr>
        <w:t>）。</w:t>
      </w:r>
    </w:p>
    <w:p>
      <w:pPr>
        <w:pStyle w:val="46"/>
        <w:spacing w:after="0" w:line="360" w:lineRule="auto"/>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2 </w:t>
      </w:r>
      <w:r>
        <w:rPr>
          <w:rFonts w:ascii="Calibri" w:hAnsi="Calibri" w:cs="Times New Roman"/>
          <w:color w:val="auto"/>
          <w:sz w:val="24"/>
          <w:szCs w:val="22"/>
          <w:lang w:val="en-US" w:eastAsia="zh-CN" w:bidi="ar-SA"/>
        </w:rPr>
        <w:t>作用于型钢水泥土搅拌墙的剪力全部由型钢承担，并应符合下式规定:</w:t>
      </w:r>
    </w:p>
    <w:p>
      <w:pPr>
        <w:pStyle w:val="46"/>
        <w:spacing w:after="0" w:line="360" w:lineRule="auto"/>
        <w:ind w:left="0" w:firstLine="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m:oMath>
        <m:f>
          <m:fPr>
            <m:ctrlPr>
              <w:rPr>
                <w:rFonts w:ascii="Cambria Math" w:hAnsi="Cambria Math" w:cs="Times New Roman"/>
                <w:i/>
                <w:color w:val="auto"/>
                <w:sz w:val="32"/>
                <w:szCs w:val="32"/>
                <w:lang w:val="en-US" w:bidi="ar-SA"/>
              </w:rPr>
            </m:ctrlPr>
          </m:fPr>
          <m:num>
            <m:r>
              <m:rPr/>
              <w:rPr>
                <w:rFonts w:ascii="Cambria Math" w:hAnsi="Cambria Math" w:cs="Times New Roman"/>
                <w:color w:val="auto"/>
                <w:sz w:val="32"/>
                <w:szCs w:val="32"/>
                <w:lang w:val="en-US" w:eastAsia="zh-CN" w:bidi="ar-SA"/>
              </w:rPr>
              <m:t>1.25</m:t>
            </m:r>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bidi="ar-SA"/>
                  </w:rPr>
                  <m:t>γ</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0</m:t>
                </m:r>
                <m:ctrlPr>
                  <w:rPr>
                    <w:rFonts w:ascii="Cambria Math" w:hAnsi="Cambria Math" w:cs="Times New Roman"/>
                    <w:i/>
                    <w:color w:val="auto"/>
                    <w:sz w:val="32"/>
                    <w:szCs w:val="32"/>
                    <w:lang w:val="en-US" w:bidi="ar-SA"/>
                  </w:rPr>
                </m:ctrlPr>
              </m:sub>
            </m:sSub>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eastAsia="zh-CN" w:bidi="ar-SA"/>
                  </w:rPr>
                  <m:t>V</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k</m:t>
                </m:r>
                <m:ctrlPr>
                  <w:rPr>
                    <w:rFonts w:ascii="Cambria Math" w:hAnsi="Cambria Math" w:cs="Times New Roman"/>
                    <w:i/>
                    <w:color w:val="auto"/>
                    <w:sz w:val="32"/>
                    <w:szCs w:val="32"/>
                    <w:lang w:val="en-US" w:bidi="ar-SA"/>
                  </w:rPr>
                </m:ctrlPr>
              </m:sub>
            </m:sSub>
            <m:r>
              <m:rPr/>
              <w:rPr>
                <w:rFonts w:ascii="Cambria Math" w:hAnsi="Cambria Math" w:cs="Times New Roman"/>
                <w:color w:val="auto"/>
                <w:sz w:val="32"/>
                <w:szCs w:val="32"/>
                <w:lang w:val="en-US" w:eastAsia="zh-CN" w:bidi="ar-SA"/>
              </w:rPr>
              <m:t>S</m:t>
            </m:r>
            <m:ctrlPr>
              <w:rPr>
                <w:rFonts w:ascii="Cambria Math" w:hAnsi="Cambria Math" w:cs="Times New Roman"/>
                <w:i/>
                <w:color w:val="auto"/>
                <w:sz w:val="32"/>
                <w:szCs w:val="32"/>
                <w:lang w:val="en-US" w:bidi="ar-SA"/>
              </w:rPr>
            </m:ctrlPr>
          </m:num>
          <m:den>
            <m:r>
              <m:rPr/>
              <w:rPr>
                <w:rFonts w:ascii="Cambria Math" w:hAnsi="Cambria Math" w:cs="Times New Roman"/>
                <w:color w:val="auto"/>
                <w:sz w:val="32"/>
                <w:szCs w:val="32"/>
                <w:lang w:val="en-US" w:eastAsia="zh-CN" w:bidi="ar-SA"/>
              </w:rPr>
              <m:t>I</m:t>
            </m:r>
            <m:sSub>
              <m:sSubPr>
                <m:ctrlPr>
                  <w:rPr>
                    <w:rFonts w:ascii="Cambria Math" w:hAnsi="Cambria Math" w:cs="Times New Roman"/>
                    <w:i/>
                    <w:color w:val="auto"/>
                    <w:sz w:val="32"/>
                    <w:szCs w:val="32"/>
                    <w:lang w:val="en-US" w:eastAsia="zh-CN" w:bidi="ar-SA"/>
                  </w:rPr>
                </m:ctrlPr>
              </m:sSubPr>
              <m:e>
                <m:r>
                  <m:rPr/>
                  <w:rPr>
                    <w:rFonts w:ascii="Cambria Math" w:hAnsi="Cambria Math" w:cs="Times New Roman"/>
                    <w:color w:val="auto"/>
                    <w:sz w:val="32"/>
                    <w:szCs w:val="32"/>
                    <w:lang w:val="en-US" w:eastAsia="zh-CN" w:bidi="ar-SA"/>
                  </w:rPr>
                  <m:t>t</m:t>
                </m:r>
                <m:ctrlPr>
                  <w:rPr>
                    <w:rFonts w:ascii="Cambria Math" w:hAnsi="Cambria Math" w:cs="Times New Roman"/>
                    <w:i/>
                    <w:color w:val="auto"/>
                    <w:sz w:val="32"/>
                    <w:szCs w:val="32"/>
                    <w:lang w:val="en-US" w:eastAsia="zh-CN" w:bidi="ar-SA"/>
                  </w:rPr>
                </m:ctrlPr>
              </m:e>
              <m:sub>
                <m:r>
                  <m:rPr/>
                  <w:rPr>
                    <w:rFonts w:ascii="Cambria Math" w:hAnsi="Cambria Math" w:cs="Times New Roman"/>
                    <w:color w:val="auto"/>
                    <w:sz w:val="32"/>
                    <w:szCs w:val="32"/>
                    <w:lang w:val="en-US" w:eastAsia="zh-CN" w:bidi="ar-SA"/>
                  </w:rPr>
                  <m:t>w</m:t>
                </m:r>
                <m:ctrlPr>
                  <w:rPr>
                    <w:rFonts w:ascii="Cambria Math" w:hAnsi="Cambria Math" w:cs="Times New Roman"/>
                    <w:i/>
                    <w:color w:val="auto"/>
                    <w:sz w:val="32"/>
                    <w:szCs w:val="32"/>
                    <w:lang w:val="en-US" w:eastAsia="zh-CN" w:bidi="ar-SA"/>
                  </w:rPr>
                </m:ctrlPr>
              </m:sub>
            </m:sSub>
            <m:ctrlPr>
              <w:rPr>
                <w:rFonts w:ascii="Cambria Math" w:hAnsi="Cambria Math" w:cs="Times New Roman"/>
                <w:i/>
                <w:color w:val="auto"/>
                <w:sz w:val="32"/>
                <w:szCs w:val="32"/>
                <w:lang w:val="en-US" w:bidi="ar-SA"/>
              </w:rPr>
            </m:ctrlPr>
          </m:den>
        </m:f>
      </m:oMath>
      <w:r>
        <w:rPr>
          <w:rFonts w:hint="eastAsia" w:ascii="微软雅黑" w:hAnsi="微软雅黑" w:eastAsia="微软雅黑" w:cs="微软雅黑"/>
          <w:color w:val="auto"/>
          <w:sz w:val="32"/>
          <w:szCs w:val="32"/>
          <w:lang w:val="en-US" w:bidi="ar-SA"/>
        </w:rPr>
        <w:t>≼</w:t>
      </w:r>
      <w:r>
        <w:rPr>
          <w:rFonts w:ascii="ItalicT" w:hAnsi="ItalicT" w:eastAsia="微软雅黑" w:cs="ItalicT"/>
          <w:color w:val="auto"/>
          <w:sz w:val="24"/>
          <w:szCs w:val="24"/>
          <w:lang w:val="en-US" w:eastAsia="zh-CN" w:bidi="ar-SA"/>
        </w:rPr>
        <w:t>f</w:t>
      </w:r>
      <w:r>
        <w:rPr>
          <w:rFonts w:hint="eastAsia" w:ascii="微软雅黑" w:hAnsi="微软雅黑" w:eastAsia="微软雅黑" w:cs="微软雅黑"/>
          <w:color w:val="auto"/>
          <w:sz w:val="32"/>
          <w:szCs w:val="32"/>
          <w:vertAlign w:val="subscript"/>
          <w:lang w:val="en-US" w:eastAsia="zh-CN" w:bidi="ar-SA"/>
        </w:rPr>
        <w:t xml:space="preserve">v                 </w:t>
      </w:r>
      <w:r>
        <w:rPr>
          <w:rFonts w:hint="eastAsia" w:ascii="Calibri" w:hAnsi="Calibri" w:cs="Times New Roman"/>
          <w:color w:val="auto"/>
          <w:sz w:val="24"/>
          <w:szCs w:val="22"/>
          <w:lang w:val="en-US" w:eastAsia="zh-CN" w:bidi="ar-SA"/>
        </w:rPr>
        <w:t>(8.3.11-2)</w:t>
      </w:r>
    </w:p>
    <w:p>
      <w:pPr>
        <w:pStyle w:val="46"/>
        <w:spacing w:after="0" w:line="360" w:lineRule="auto"/>
        <w:ind w:left="0" w:firstLine="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w:p>
    <w:p>
      <w:pPr>
        <w:pStyle w:val="46"/>
        <w:spacing w:after="0" w:line="360" w:lineRule="auto"/>
        <w:ind w:left="0" w:firstLine="480" w:firstLineChars="200"/>
        <w:jc w:val="left"/>
        <w:rPr>
          <w:color w:val="auto"/>
          <w:sz w:val="24"/>
          <w:szCs w:val="24"/>
        </w:rPr>
      </w:pPr>
      <w:r>
        <w:rPr>
          <w:color w:val="auto"/>
          <w:sz w:val="24"/>
          <w:szCs w:val="24"/>
        </w:rPr>
        <w:t>式中：</w:t>
      </w:r>
      <m:oMath>
        <m:sSub>
          <m:sSubPr>
            <m:ctrlPr>
              <w:rPr>
                <w:rFonts w:ascii="Cambria Math" w:hAnsi="Cambria Math" w:cs="Times New Roman"/>
                <w:i/>
                <w:color w:val="auto"/>
                <w:sz w:val="24"/>
                <w:szCs w:val="24"/>
                <w:lang w:val="en-US" w:bidi="ar-SA"/>
              </w:rPr>
            </m:ctrlPr>
          </m:sSubPr>
          <m:e>
            <m:r>
              <m:rPr/>
              <w:rPr>
                <w:rFonts w:ascii="Cambria Math" w:hAnsi="Cambria Math" w:cs="Times New Roman"/>
                <w:color w:val="auto"/>
                <w:sz w:val="24"/>
                <w:szCs w:val="24"/>
                <w:lang w:val="en-US" w:eastAsia="zh-CN" w:bidi="ar-SA"/>
              </w:rPr>
              <m:t>V</m:t>
            </m:r>
            <m:ctrlPr>
              <w:rPr>
                <w:rFonts w:ascii="Cambria Math" w:hAnsi="Cambria Math" w:cs="Times New Roman"/>
                <w:i/>
                <w:color w:val="auto"/>
                <w:sz w:val="24"/>
                <w:szCs w:val="24"/>
                <w:lang w:val="en-US" w:bidi="ar-SA"/>
              </w:rPr>
            </m:ctrlPr>
          </m:e>
          <m:sub>
            <m:r>
              <m:rPr/>
              <w:rPr>
                <w:rFonts w:ascii="Cambria Math" w:hAnsi="Cambria Math" w:cs="Times New Roman"/>
                <w:color w:val="auto"/>
                <w:sz w:val="24"/>
                <w:szCs w:val="24"/>
                <w:lang w:val="en-US" w:eastAsia="zh-CN" w:bidi="ar-SA"/>
              </w:rPr>
              <m:t>k</m:t>
            </m:r>
            <m:ctrlPr>
              <w:rPr>
                <w:rFonts w:ascii="Cambria Math" w:hAnsi="Cambria Math" w:cs="Times New Roman"/>
                <w:i/>
                <w:color w:val="auto"/>
                <w:sz w:val="24"/>
                <w:szCs w:val="24"/>
                <w:lang w:val="en-US" w:bidi="ar-SA"/>
              </w:rPr>
            </m:ctrlPr>
          </m:sub>
        </m:sSub>
      </m:oMath>
      <w:r>
        <w:rPr>
          <w:rFonts w:ascii="Times New Roman" w:hAnsi="Times New Roman" w:eastAsia="Times New Roman" w:cs="Times New Roman"/>
          <w:color w:val="auto"/>
          <w:sz w:val="24"/>
          <w:szCs w:val="24"/>
        </w:rPr>
        <w:t>—</w:t>
      </w:r>
      <w:r>
        <w:rPr>
          <w:color w:val="auto"/>
          <w:sz w:val="24"/>
          <w:szCs w:val="24"/>
        </w:rPr>
        <w:t>作用于型钢水泥土搅拌墙的剪力标准值</w:t>
      </w:r>
      <w:r>
        <w:rPr>
          <w:rFonts w:ascii="Times New Roman" w:hAnsi="Times New Roman" w:eastAsia="Times New Roman" w:cs="Times New Roman"/>
          <w:color w:val="auto"/>
          <w:sz w:val="24"/>
          <w:szCs w:val="24"/>
          <w:lang w:val="en-US" w:eastAsia="zh-CN" w:bidi="en-US"/>
        </w:rPr>
        <w:t>(N)</w:t>
      </w:r>
      <w:r>
        <w:rPr>
          <w:color w:val="auto"/>
          <w:sz w:val="24"/>
          <w:szCs w:val="24"/>
          <w:lang w:val="en-US" w:eastAsia="zh-CN" w:bidi="en-US"/>
        </w:rPr>
        <w:t>；</w:t>
      </w:r>
    </w:p>
    <w:p>
      <w:pPr>
        <w:pStyle w:val="46"/>
        <w:spacing w:after="0" w:line="360" w:lineRule="auto"/>
        <w:ind w:left="1320" w:leftChars="500" w:hanging="120" w:hangingChars="50"/>
        <w:rPr>
          <w:color w:val="auto"/>
          <w:sz w:val="24"/>
          <w:szCs w:val="24"/>
        </w:rPr>
      </w:pPr>
      <w:r>
        <w:rPr>
          <w:i/>
          <w:iCs/>
          <w:color w:val="auto"/>
          <w:sz w:val="24"/>
          <w:szCs w:val="24"/>
          <w:lang w:val="en-US" w:eastAsia="zh-CN" w:bidi="en-US"/>
        </w:rPr>
        <w:t>S</w:t>
      </w:r>
      <w:r>
        <w:rPr>
          <w:color w:val="auto"/>
          <w:sz w:val="24"/>
          <w:szCs w:val="24"/>
        </w:rPr>
        <w:t xml:space="preserve">—型钢计算剪应力处以上毛截面对中和轴的面积矩 </w:t>
      </w:r>
      <w:r>
        <w:rPr>
          <w:rFonts w:ascii="Times New Roman" w:hAnsi="Times New Roman" w:eastAsia="Times New Roman" w:cs="Times New Roman"/>
          <w:color w:val="auto"/>
          <w:sz w:val="24"/>
          <w:szCs w:val="24"/>
          <w:lang w:val="en-US" w:eastAsia="zh-CN" w:bidi="en-US"/>
        </w:rPr>
        <w:t>(mm</w:t>
      </w:r>
      <w:r>
        <w:rPr>
          <w:rFonts w:ascii="Times New Roman" w:hAnsi="Times New Roman" w:eastAsia="Times New Roman" w:cs="Times New Roman"/>
          <w:color w:val="auto"/>
          <w:sz w:val="24"/>
          <w:szCs w:val="24"/>
          <w:vertAlign w:val="superscript"/>
          <w:lang w:val="en-US" w:eastAsia="zh-CN" w:bidi="en-US"/>
        </w:rPr>
        <w:t>3</w:t>
      </w:r>
      <w:r>
        <w:rPr>
          <w:rFonts w:ascii="Times New Roman" w:hAnsi="Times New Roman" w:eastAsia="Times New Roman" w:cs="Times New Roman"/>
          <w:color w:val="auto"/>
          <w:sz w:val="24"/>
          <w:szCs w:val="24"/>
          <w:lang w:val="en-US" w:eastAsia="zh-CN" w:bidi="en-US"/>
        </w:rPr>
        <w:t>)</w:t>
      </w:r>
      <w:r>
        <w:rPr>
          <w:color w:val="auto"/>
          <w:sz w:val="24"/>
          <w:szCs w:val="24"/>
        </w:rPr>
        <w:t>；</w:t>
      </w:r>
    </w:p>
    <w:p>
      <w:pPr>
        <w:pStyle w:val="46"/>
        <w:spacing w:after="0" w:line="360" w:lineRule="auto"/>
        <w:ind w:left="0" w:firstLine="1200" w:firstLineChars="500"/>
        <w:rPr>
          <w:color w:val="auto"/>
          <w:sz w:val="24"/>
          <w:szCs w:val="24"/>
        </w:rPr>
      </w:pPr>
      <w:r>
        <w:rPr>
          <w:i/>
          <w:iCs/>
          <w:color w:val="auto"/>
          <w:sz w:val="24"/>
          <w:szCs w:val="24"/>
        </w:rPr>
        <w:t>I</w:t>
      </w:r>
      <w:r>
        <w:rPr>
          <w:color w:val="auto"/>
          <w:sz w:val="24"/>
          <w:szCs w:val="24"/>
        </w:rPr>
        <w:t>—型钢沿弯矩作用方向的毛截面惯性矩</w:t>
      </w:r>
      <w:r>
        <w:rPr>
          <w:color w:val="auto"/>
          <w:sz w:val="24"/>
          <w:szCs w:val="24"/>
          <w:lang w:val="en-US" w:eastAsia="zh-CN" w:bidi="en-US"/>
        </w:rPr>
        <w:t>(</w:t>
      </w:r>
      <w:r>
        <w:rPr>
          <w:rFonts w:ascii="Times New Roman" w:hAnsi="Times New Roman" w:eastAsia="Times New Roman" w:cs="Times New Roman"/>
          <w:color w:val="auto"/>
          <w:sz w:val="24"/>
          <w:szCs w:val="24"/>
          <w:lang w:val="en-US" w:eastAsia="zh-CN" w:bidi="en-US"/>
        </w:rPr>
        <w:t>mm</w:t>
      </w:r>
      <w:r>
        <w:rPr>
          <w:rFonts w:hint="eastAsia"/>
          <w:color w:val="auto"/>
          <w:sz w:val="24"/>
          <w:szCs w:val="24"/>
          <w:vertAlign w:val="superscript"/>
          <w:lang w:val="en-US" w:eastAsia="zh-CN" w:bidi="en-US"/>
        </w:rPr>
        <w:t>4</w:t>
      </w:r>
      <w:r>
        <w:rPr>
          <w:color w:val="auto"/>
          <w:sz w:val="24"/>
          <w:szCs w:val="24"/>
          <w:lang w:val="en-US" w:eastAsia="zh-CN" w:bidi="en-US"/>
        </w:rPr>
        <w:t>)；</w:t>
      </w:r>
    </w:p>
    <w:p>
      <w:pPr>
        <w:pStyle w:val="46"/>
        <w:spacing w:after="0" w:line="360" w:lineRule="auto"/>
        <w:ind w:left="0" w:firstLine="1096" w:firstLineChars="457"/>
        <w:rPr>
          <w:color w:val="auto"/>
          <w:sz w:val="24"/>
          <w:szCs w:val="24"/>
        </w:rPr>
      </w:pPr>
      <m:oMath>
        <m:sSub>
          <m:sSubPr>
            <m:ctrlPr>
              <w:rPr>
                <w:rFonts w:ascii="Cambria Math" w:hAnsi="Cambria Math" w:cs="Times New Roman"/>
                <w:i/>
                <w:color w:val="auto"/>
                <w:sz w:val="24"/>
                <w:szCs w:val="24"/>
                <w:lang w:val="en-US" w:eastAsia="zh-CN" w:bidi="ar-SA"/>
              </w:rPr>
            </m:ctrlPr>
          </m:sSubPr>
          <m:e>
            <m:r>
              <m:rPr/>
              <w:rPr>
                <w:rFonts w:ascii="Cambria Math" w:hAnsi="Cambria Math" w:cs="Times New Roman"/>
                <w:color w:val="auto"/>
                <w:sz w:val="24"/>
                <w:szCs w:val="24"/>
                <w:lang w:val="en-US" w:eastAsia="zh-CN" w:bidi="ar-SA"/>
              </w:rPr>
              <m:t>t</m:t>
            </m:r>
            <m:ctrlPr>
              <w:rPr>
                <w:rFonts w:ascii="Cambria Math" w:hAnsi="Cambria Math" w:cs="Times New Roman"/>
                <w:i/>
                <w:color w:val="auto"/>
                <w:sz w:val="24"/>
                <w:szCs w:val="24"/>
                <w:lang w:val="en-US" w:eastAsia="zh-CN" w:bidi="ar-SA"/>
              </w:rPr>
            </m:ctrlPr>
          </m:e>
          <m:sub>
            <m:r>
              <m:rPr/>
              <w:rPr>
                <w:rFonts w:ascii="Cambria Math" w:hAnsi="Cambria Math" w:cs="Times New Roman"/>
                <w:color w:val="auto"/>
                <w:sz w:val="24"/>
                <w:szCs w:val="24"/>
                <w:lang w:val="en-US" w:eastAsia="zh-CN" w:bidi="ar-SA"/>
              </w:rPr>
              <m:t>w</m:t>
            </m:r>
            <m:ctrlPr>
              <w:rPr>
                <w:rFonts w:ascii="Cambria Math" w:hAnsi="Cambria Math" w:cs="Times New Roman"/>
                <w:i/>
                <w:color w:val="auto"/>
                <w:sz w:val="24"/>
                <w:szCs w:val="24"/>
                <w:lang w:val="en-US" w:eastAsia="zh-CN" w:bidi="ar-SA"/>
              </w:rPr>
            </m:ctrlPr>
          </m:sub>
        </m:sSub>
      </m:oMath>
      <w:r>
        <w:rPr>
          <w:color w:val="auto"/>
          <w:sz w:val="24"/>
          <w:szCs w:val="24"/>
        </w:rPr>
        <w:t>—型钢腹板厚度</w:t>
      </w:r>
      <w:r>
        <w:rPr>
          <w:color w:val="auto"/>
          <w:sz w:val="24"/>
          <w:szCs w:val="24"/>
          <w:lang w:val="en-US" w:eastAsia="zh-CN" w:bidi="en-US"/>
        </w:rPr>
        <w:t>(</w:t>
      </w:r>
      <w:r>
        <w:rPr>
          <w:rFonts w:ascii="Times New Roman" w:hAnsi="Times New Roman" w:eastAsia="Times New Roman" w:cs="Times New Roman"/>
          <w:color w:val="auto"/>
          <w:sz w:val="24"/>
          <w:szCs w:val="24"/>
          <w:lang w:val="en-US" w:eastAsia="zh-CN" w:bidi="en-US"/>
        </w:rPr>
        <w:t>mm)</w:t>
      </w:r>
      <w:r>
        <w:rPr>
          <w:color w:val="auto"/>
          <w:sz w:val="24"/>
          <w:szCs w:val="24"/>
          <w:lang w:val="en-US" w:eastAsia="zh-CN" w:bidi="en-US"/>
        </w:rPr>
        <w:t>；</w:t>
      </w:r>
    </w:p>
    <w:p>
      <w:pPr>
        <w:pStyle w:val="46"/>
        <w:spacing w:after="0" w:line="360" w:lineRule="auto"/>
        <w:ind w:left="0" w:firstLine="1096" w:firstLineChars="457"/>
        <w:rPr>
          <w:color w:val="auto"/>
          <w:sz w:val="24"/>
          <w:szCs w:val="24"/>
          <w:lang w:val="en-US" w:eastAsia="zh-CN" w:bidi="en-US"/>
        </w:rPr>
      </w:pPr>
      <w:r>
        <w:rPr>
          <w:rFonts w:ascii="ItalicT" w:hAnsi="ItalicT" w:eastAsia="微软雅黑" w:cs="ItalicT"/>
          <w:color w:val="auto"/>
          <w:sz w:val="24"/>
          <w:szCs w:val="24"/>
          <w:lang w:val="en-US" w:eastAsia="zh-CN" w:bidi="ar-SA"/>
        </w:rPr>
        <w:t>f</w:t>
      </w:r>
      <w:r>
        <w:rPr>
          <w:rFonts w:hint="eastAsia" w:ascii="微软雅黑" w:hAnsi="微软雅黑" w:eastAsia="微软雅黑" w:cs="微软雅黑"/>
          <w:color w:val="auto"/>
          <w:sz w:val="24"/>
          <w:szCs w:val="24"/>
          <w:vertAlign w:val="subscript"/>
          <w:lang w:val="en-US" w:eastAsia="zh-CN" w:bidi="ar-SA"/>
        </w:rPr>
        <w:t>v</w:t>
      </w:r>
      <w:r>
        <w:rPr>
          <w:rFonts w:ascii="Times New Roman" w:hAnsi="Times New Roman" w:eastAsia="Times New Roman" w:cs="Times New Roman"/>
          <w:color w:val="auto"/>
          <w:sz w:val="24"/>
          <w:szCs w:val="24"/>
        </w:rPr>
        <w:t>—</w:t>
      </w:r>
      <w:r>
        <w:rPr>
          <w:color w:val="auto"/>
          <w:sz w:val="24"/>
          <w:szCs w:val="24"/>
        </w:rPr>
        <w:t>型钢的抗剪强度设计值</w:t>
      </w:r>
      <w:r>
        <w:rPr>
          <w:color w:val="auto"/>
          <w:sz w:val="24"/>
          <w:szCs w:val="24"/>
          <w:lang w:val="en-US" w:eastAsia="zh-CN" w:bidi="en-US"/>
        </w:rPr>
        <w:t>(</w:t>
      </w:r>
      <w:r>
        <w:rPr>
          <w:rFonts w:ascii="Times New Roman" w:hAnsi="Times New Roman" w:eastAsia="Times New Roman" w:cs="Times New Roman"/>
          <w:color w:val="auto"/>
          <w:sz w:val="24"/>
          <w:szCs w:val="24"/>
          <w:lang w:val="en-US" w:eastAsia="zh-CN" w:bidi="en-US"/>
        </w:rPr>
        <w:t>N/m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Times New Roman" w:hAnsi="Times New Roman" w:eastAsia="Times New Roman" w:cs="Times New Roman"/>
          <w:color w:val="auto"/>
          <w:sz w:val="24"/>
          <w:szCs w:val="24"/>
          <w:lang w:val="en-US" w:eastAsia="zh-CN" w:bidi="en-US"/>
        </w:rPr>
        <w:t>)</w:t>
      </w:r>
      <w:r>
        <w:rPr>
          <w:color w:val="auto"/>
          <w:sz w:val="24"/>
          <w:szCs w:val="24"/>
          <w:lang w:val="en-US" w:eastAsia="zh-CN" w:bidi="en-US"/>
        </w:rPr>
        <w:t>。</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8.3.12  </w:t>
      </w:r>
      <w:r>
        <w:rPr>
          <w:rFonts w:ascii="Calibri" w:hAnsi="Calibri" w:cs="Times New Roman"/>
          <w:color w:val="auto"/>
          <w:sz w:val="24"/>
          <w:szCs w:val="22"/>
          <w:lang w:val="en-US" w:eastAsia="zh-CN" w:bidi="ar-SA"/>
        </w:rPr>
        <w:t>型钢水泥土搅拌墙应对水泥土搅拌桩桩身局部受剪承载力进行验算。局部受剪承载力应包括型钢与水泥土之间的错动受剪承载力和水泥土最薄弱截面处的局部受剪承载力，并应按以下规定进行验算：</w:t>
      </w:r>
    </w:p>
    <w:p>
      <w:pPr>
        <w:pStyle w:val="46"/>
        <w:spacing w:after="0" w:line="360" w:lineRule="auto"/>
        <w:ind w:left="0" w:firstLine="480" w:firstLineChars="200"/>
        <w:rPr>
          <w:rFonts w:ascii="Calibri" w:hAnsi="Calibri" w:cs="Times New Roman"/>
          <w:color w:val="auto"/>
          <w:sz w:val="24"/>
          <w:szCs w:val="22"/>
          <w:lang w:val="en-US" w:eastAsia="zh-CN" w:bidi="ar-SA"/>
        </w:rPr>
      </w:pPr>
    </w:p>
    <w:p>
      <w:pPr>
        <w:pStyle w:val="46"/>
        <w:spacing w:after="0" w:line="360" w:lineRule="auto"/>
        <w:ind w:left="0" w:firstLine="620"/>
        <w:rPr>
          <w:color w:val="auto"/>
          <w:sz w:val="24"/>
          <w:szCs w:val="24"/>
          <w:lang w:val="en-US" w:eastAsia="zh-CN" w:bidi="en-US"/>
        </w:rPr>
      </w:pPr>
      <w:r>
        <w:rPr>
          <w:rFonts w:hint="eastAsia"/>
          <w:color w:val="auto"/>
          <w:sz w:val="24"/>
          <w:szCs w:val="24"/>
          <w:lang w:val="en-US" w:eastAsia="zh-CN" w:bidi="en-US"/>
        </w:rPr>
        <w:t xml:space="preserve">      </w:t>
      </w:r>
      <w:r>
        <w:rPr>
          <w:rFonts w:hint="eastAsia"/>
          <w:color w:val="auto"/>
          <w:sz w:val="24"/>
          <w:szCs w:val="24"/>
          <w:lang w:val="en-US" w:eastAsia="zh-CN" w:bidi="ar-SA"/>
        </w:rPr>
        <w:drawing>
          <wp:inline distT="0" distB="0" distL="114300" distR="114300">
            <wp:extent cx="3553460" cy="3714750"/>
            <wp:effectExtent l="0" t="0" r="12700" b="3810"/>
            <wp:docPr id="337" name="图片 337" descr="16827749787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7" name="图片 337" descr="1682774978773"/>
                    <pic:cNvPicPr>
                      <a:picLocks noChangeAspect="true"/>
                    </pic:cNvPicPr>
                  </pic:nvPicPr>
                  <pic:blipFill>
                    <a:blip r:embed="rId419"/>
                    <a:stretch>
                      <a:fillRect/>
                    </a:stretch>
                  </pic:blipFill>
                  <pic:spPr>
                    <a:xfrm>
                      <a:off x="0" y="0"/>
                      <a:ext cx="3553460" cy="3714750"/>
                    </a:xfrm>
                    <a:prstGeom prst="rect">
                      <a:avLst/>
                    </a:prstGeom>
                  </pic:spPr>
                </pic:pic>
              </a:graphicData>
            </a:graphic>
          </wp:inline>
        </w:drawing>
      </w:r>
    </w:p>
    <w:p>
      <w:pPr>
        <w:pStyle w:val="46"/>
        <w:spacing w:after="0" w:line="360" w:lineRule="auto"/>
        <w:ind w:left="0" w:firstLine="1816" w:firstLineChars="757"/>
        <w:rPr>
          <w:color w:val="auto"/>
          <w:sz w:val="24"/>
          <w:szCs w:val="24"/>
          <w:lang w:val="en-US" w:eastAsia="zh-CN" w:bidi="en-US"/>
        </w:rPr>
      </w:pPr>
      <w:r>
        <w:rPr>
          <w:rFonts w:hint="eastAsia"/>
          <w:color w:val="auto"/>
          <w:sz w:val="24"/>
          <w:szCs w:val="24"/>
          <w:lang w:val="en-US" w:eastAsia="zh-CN" w:bidi="en-US"/>
        </w:rPr>
        <w:t>图8.10.12 搅拌桩局部收件承载力计算示意</w:t>
      </w:r>
    </w:p>
    <w:p>
      <w:pPr>
        <w:pStyle w:val="46"/>
        <w:spacing w:after="0" w:line="360" w:lineRule="auto"/>
        <w:ind w:left="0" w:firstLine="960" w:firstLineChars="4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1型钢与水泥土之间的错动受剪承载力[图</w:t>
      </w:r>
      <w:r>
        <w:rPr>
          <w:rFonts w:hint="eastAsia" w:ascii="Calibri" w:hAnsi="Calibri" w:cs="Times New Roman"/>
          <w:color w:val="auto"/>
          <w:sz w:val="24"/>
          <w:szCs w:val="22"/>
          <w:lang w:val="en-US" w:eastAsia="zh-CN" w:bidi="ar-SA"/>
        </w:rPr>
        <w:t>8</w:t>
      </w:r>
      <w:r>
        <w:rPr>
          <w:rFonts w:ascii="Calibri" w:hAnsi="Calibri" w:cs="Times New Roman"/>
          <w:color w:val="auto"/>
          <w:sz w:val="24"/>
          <w:szCs w:val="22"/>
          <w:lang w:val="en-US" w:eastAsia="zh-CN" w:bidi="ar-SA"/>
        </w:rPr>
        <w:t>.</w:t>
      </w:r>
      <w:r>
        <w:rPr>
          <w:rFonts w:hint="eastAsia" w:ascii="Calibri" w:hAnsi="Calibri" w:cs="Times New Roman"/>
          <w:color w:val="auto"/>
          <w:sz w:val="24"/>
          <w:szCs w:val="22"/>
          <w:lang w:val="en-US" w:eastAsia="zh-CN" w:bidi="ar-SA"/>
        </w:rPr>
        <w:t>10</w:t>
      </w:r>
      <w:r>
        <w:rPr>
          <w:rFonts w:ascii="Calibri" w:hAnsi="Calibri" w:cs="Times New Roman"/>
          <w:color w:val="auto"/>
          <w:sz w:val="24"/>
          <w:szCs w:val="22"/>
          <w:lang w:val="en-US" w:eastAsia="zh-CN" w:bidi="ar-SA"/>
        </w:rPr>
        <w:t>.</w:t>
      </w:r>
      <w:r>
        <w:rPr>
          <w:rFonts w:hint="eastAsia" w:ascii="Calibri" w:hAnsi="Calibri" w:cs="Times New Roman"/>
          <w:color w:val="auto"/>
          <w:sz w:val="24"/>
          <w:szCs w:val="22"/>
          <w:lang w:val="en-US" w:eastAsia="zh-CN" w:bidi="ar-SA"/>
        </w:rPr>
        <w:t>12</w:t>
      </w:r>
      <w:r>
        <w:rPr>
          <w:rFonts w:ascii="Calibri" w:hAnsi="Calibri" w:cs="Times New Roman"/>
          <w:color w:val="auto"/>
          <w:sz w:val="24"/>
          <w:szCs w:val="22"/>
          <w:lang w:val="en-US" w:eastAsia="zh-CN" w:bidi="ar-SA"/>
        </w:rPr>
        <w:t>(a)] 应按下列公式进行计算：</w:t>
      </w:r>
    </w:p>
    <w:p>
      <w:pPr>
        <w:pStyle w:val="46"/>
        <w:spacing w:after="0" w:line="360" w:lineRule="auto"/>
        <w:ind w:left="0" w:firstLine="960" w:firstLineChars="40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m:oMath>
        <m:sSub>
          <m:sSubPr>
            <m:ctrlPr>
              <w:rPr>
                <w:rFonts w:hint="eastAsia" w:ascii="Cambria Math" w:hAnsi="Calibri" w:cs="Times New Roman"/>
                <w:color w:val="auto"/>
                <w:sz w:val="30"/>
                <w:szCs w:val="30"/>
                <w:lang w:val="en-US" w:eastAsia="zh-CN" w:bidi="ar-SA"/>
              </w:rPr>
            </m:ctrlPr>
          </m:sSubPr>
          <m:e>
            <m:r>
              <m:rPr>
                <m:sty m:val="p"/>
              </m:rPr>
              <w:rPr>
                <w:rFonts w:ascii="Cambria Math" w:hAnsi="Cambria Math" w:cs="Times New Roman"/>
                <w:color w:val="auto"/>
                <w:sz w:val="30"/>
                <w:szCs w:val="30"/>
                <w:lang w:val="en-US" w:bidi="ar-SA"/>
              </w:rPr>
              <m:t>τ</m:t>
            </m:r>
            <m:ctrlPr>
              <w:rPr>
                <w:rFonts w:hint="eastAsia" w:ascii="Cambria Math" w:hAnsi="Calibri" w:cs="Times New Roman"/>
                <w:color w:val="auto"/>
                <w:sz w:val="30"/>
                <w:szCs w:val="30"/>
                <w:lang w:val="en-US" w:eastAsia="zh-CN" w:bidi="ar-SA"/>
              </w:rPr>
            </m:ctrlPr>
          </m:e>
          <m:sub>
            <m:r>
              <m:rPr>
                <m:sty m:val="p"/>
              </m:rPr>
              <w:rPr>
                <w:rFonts w:ascii="Cambria Math" w:hAnsi="Calibri" w:cs="Times New Roman"/>
                <w:color w:val="auto"/>
                <w:sz w:val="30"/>
                <w:szCs w:val="30"/>
                <w:lang w:val="en-US" w:eastAsia="zh-CN" w:bidi="ar-SA"/>
              </w:rPr>
              <m:t>1</m:t>
            </m:r>
            <m:ctrlPr>
              <w:rPr>
                <w:rFonts w:hint="eastAsia" w:ascii="Cambria Math" w:hAnsi="Calibri" w:cs="Times New Roman"/>
                <w:color w:val="auto"/>
                <w:sz w:val="30"/>
                <w:szCs w:val="30"/>
                <w:lang w:val="en-US" w:eastAsia="zh-CN" w:bidi="ar-SA"/>
              </w:rPr>
            </m:ctrlPr>
          </m:sub>
        </m:sSub>
        <m:r>
          <m:rPr>
            <m:sty m:val="p"/>
          </m:rPr>
          <w:rPr>
            <w:rFonts w:ascii="Cambria Math" w:hAnsi="Cambria Math" w:cs="Times New Roman"/>
            <w:color w:val="auto"/>
            <w:sz w:val="30"/>
            <w:szCs w:val="22"/>
            <w:lang w:val="en-US" w:bidi="ar-SA"/>
          </w:rPr>
          <m:t>≼τ</m:t>
        </m:r>
      </m:oMath>
      <w:r>
        <w:rPr>
          <w:rFonts w:hint="eastAsia" w:ascii="Calibri" w:hAnsi="Calibri" w:cs="Times New Roman"/>
          <w:color w:val="auto"/>
          <w:sz w:val="24"/>
          <w:szCs w:val="22"/>
          <w:lang w:val="en-US" w:eastAsia="zh-CN" w:bidi="ar-SA"/>
        </w:rPr>
        <w:t xml:space="preserve">                     （8.3.12-1） </w:t>
      </w:r>
    </w:p>
    <w:p>
      <w:pPr>
        <w:pStyle w:val="46"/>
        <w:spacing w:after="0" w:line="360" w:lineRule="auto"/>
        <w:ind w:left="0" w:firstLine="960" w:firstLineChars="40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m:oMath>
        <m:sSub>
          <m:sSubPr>
            <m:ctrlPr>
              <w:rPr>
                <w:rFonts w:hint="eastAsia" w:ascii="Cambria Math" w:hAnsi="Calibri" w:cs="Times New Roman"/>
                <w:color w:val="auto"/>
                <w:sz w:val="32"/>
                <w:szCs w:val="32"/>
                <w:lang w:val="en-US" w:eastAsia="zh-CN" w:bidi="ar-SA"/>
              </w:rPr>
            </m:ctrlPr>
          </m:sSubPr>
          <m:e>
            <m:r>
              <m:rPr>
                <m:sty m:val="p"/>
              </m:rPr>
              <w:rPr>
                <w:rFonts w:ascii="Cambria Math" w:hAnsi="Cambria Math" w:cs="Times New Roman"/>
                <w:color w:val="auto"/>
                <w:sz w:val="32"/>
                <w:szCs w:val="32"/>
                <w:lang w:val="en-US" w:bidi="ar-SA"/>
              </w:rPr>
              <m:t>τ</m:t>
            </m:r>
            <m:ctrlPr>
              <w:rPr>
                <w:rFonts w:hint="eastAsia" w:ascii="Cambria Math" w:hAnsi="Calibri" w:cs="Times New Roman"/>
                <w:color w:val="auto"/>
                <w:sz w:val="32"/>
                <w:szCs w:val="32"/>
                <w:lang w:val="en-US" w:eastAsia="zh-CN" w:bidi="ar-SA"/>
              </w:rPr>
            </m:ctrlPr>
          </m:e>
          <m:sub>
            <m:r>
              <m:rPr>
                <m:sty m:val="p"/>
              </m:rPr>
              <w:rPr>
                <w:rFonts w:ascii="Cambria Math" w:hAnsi="Calibri" w:cs="Times New Roman"/>
                <w:color w:val="auto"/>
                <w:sz w:val="32"/>
                <w:szCs w:val="32"/>
                <w:lang w:val="en-US" w:eastAsia="zh-CN" w:bidi="ar-SA"/>
              </w:rPr>
              <m:t>1</m:t>
            </m:r>
            <m:ctrlPr>
              <w:rPr>
                <w:rFonts w:hint="eastAsia" w:ascii="Cambria Math" w:hAnsi="Calibri" w:cs="Times New Roman"/>
                <w:color w:val="auto"/>
                <w:sz w:val="32"/>
                <w:szCs w:val="32"/>
                <w:lang w:val="en-US" w:eastAsia="zh-CN" w:bidi="ar-SA"/>
              </w:rPr>
            </m:ctrlPr>
          </m:sub>
        </m:sSub>
        <m:r>
          <m:rPr>
            <m:sty m:val="p"/>
          </m:rPr>
          <w:rPr>
            <w:rFonts w:ascii="Cambria Math" w:hAnsi="Cambria Math" w:cs="Times New Roman"/>
            <w:color w:val="auto"/>
            <w:sz w:val="32"/>
            <w:szCs w:val="22"/>
            <w:lang w:val="en-US" w:eastAsia="zh-CN" w:bidi="ar-SA"/>
          </w:rPr>
          <m:t>=</m:t>
        </m:r>
        <m:f>
          <m:fPr>
            <m:ctrlPr>
              <w:rPr>
                <w:rFonts w:ascii="Cambria Math" w:hAnsi="Cambria Math" w:cs="Times New Roman"/>
                <w:color w:val="auto"/>
                <w:sz w:val="32"/>
                <w:szCs w:val="32"/>
                <w:lang w:val="en-US" w:eastAsia="zh-CN" w:bidi="ar-SA"/>
              </w:rPr>
            </m:ctrlPr>
          </m:fPr>
          <m:num>
            <m:r>
              <m:rPr>
                <m:sty m:val="p"/>
              </m:rPr>
              <w:rPr>
                <w:rFonts w:ascii="Cambria Math" w:hAnsi="Cambria Math" w:cs="Times New Roman"/>
                <w:color w:val="auto"/>
                <w:sz w:val="32"/>
                <w:szCs w:val="32"/>
                <w:lang w:val="en-US" w:eastAsia="zh-CN" w:bidi="ar-SA"/>
              </w:rPr>
              <m:t>1.25</m:t>
            </m:r>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bidi="ar-SA"/>
                  </w:rPr>
                  <m:t>γ</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0</m:t>
                </m:r>
                <m:ctrlPr>
                  <w:rPr>
                    <w:rFonts w:ascii="Cambria Math" w:hAnsi="Cambria Math" w:cs="Times New Roman"/>
                    <w:i/>
                    <w:color w:val="auto"/>
                    <w:sz w:val="32"/>
                    <w:szCs w:val="32"/>
                    <w:lang w:val="en-US" w:bidi="ar-SA"/>
                  </w:rPr>
                </m:ctrlPr>
              </m:sub>
            </m:sSub>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eastAsia="zh-CN" w:bidi="ar-SA"/>
                  </w:rPr>
                  <m:t>V</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1k</m:t>
                </m:r>
                <m:ctrlPr>
                  <w:rPr>
                    <w:rFonts w:ascii="Cambria Math" w:hAnsi="Cambria Math" w:cs="Times New Roman"/>
                    <w:i/>
                    <w:color w:val="auto"/>
                    <w:sz w:val="32"/>
                    <w:szCs w:val="32"/>
                    <w:lang w:val="en-US" w:bidi="ar-SA"/>
                  </w:rPr>
                </m:ctrlPr>
              </m:sub>
            </m:sSub>
            <m:ctrlPr>
              <w:rPr>
                <w:rFonts w:ascii="Cambria Math" w:hAnsi="Cambria Math" w:cs="Times New Roman"/>
                <w:color w:val="auto"/>
                <w:sz w:val="32"/>
                <w:szCs w:val="32"/>
                <w:lang w:val="en-US" w:eastAsia="zh-CN" w:bidi="ar-SA"/>
              </w:rPr>
            </m:ctrlPr>
          </m:num>
          <m:den>
            <m:sSub>
              <m:sSubPr>
                <m:ctrlPr>
                  <w:rPr>
                    <w:rFonts w:ascii="Cambria Math" w:hAnsi="Cambria Math" w:cs="Times New Roman"/>
                    <w:color w:val="auto"/>
                    <w:sz w:val="32"/>
                    <w:szCs w:val="32"/>
                    <w:lang w:val="en-US" w:eastAsia="zh-CN" w:bidi="ar-SA"/>
                  </w:rPr>
                </m:ctrlPr>
              </m:sSubPr>
              <m:e>
                <m:r>
                  <m:rPr/>
                  <w:rPr>
                    <w:rFonts w:ascii="Cambria Math" w:hAnsi="Cambria Math" w:cs="Times New Roman"/>
                    <w:color w:val="auto"/>
                    <w:sz w:val="32"/>
                    <w:szCs w:val="32"/>
                    <w:lang w:val="en-US" w:eastAsia="zh-CN" w:bidi="ar-SA"/>
                  </w:rPr>
                  <m:t>d</m:t>
                </m:r>
                <m:ctrlPr>
                  <w:rPr>
                    <w:rFonts w:ascii="Cambria Math" w:hAnsi="Cambria Math" w:cs="Times New Roman"/>
                    <w:color w:val="auto"/>
                    <w:sz w:val="32"/>
                    <w:szCs w:val="32"/>
                    <w:lang w:val="en-US" w:eastAsia="zh-CN" w:bidi="ar-SA"/>
                  </w:rPr>
                </m:ctrlPr>
              </m:e>
              <m:sub>
                <m:r>
                  <m:rPr>
                    <m:sty m:val="p"/>
                  </m:rPr>
                  <w:rPr>
                    <w:rFonts w:ascii="Cambria Math" w:hAnsi="Cambria Math" w:cs="Times New Roman"/>
                    <w:color w:val="auto"/>
                    <w:sz w:val="32"/>
                    <w:szCs w:val="32"/>
                    <w:lang w:val="en-US" w:eastAsia="zh-CN" w:bidi="ar-SA"/>
                  </w:rPr>
                  <m:t>e1</m:t>
                </m:r>
                <m:ctrlPr>
                  <w:rPr>
                    <w:rFonts w:ascii="Cambria Math" w:hAnsi="Cambria Math" w:cs="Times New Roman"/>
                    <w:color w:val="auto"/>
                    <w:sz w:val="32"/>
                    <w:szCs w:val="32"/>
                    <w:lang w:val="en-US" w:eastAsia="zh-CN" w:bidi="ar-SA"/>
                  </w:rPr>
                </m:ctrlPr>
              </m:sub>
            </m:sSub>
            <m:ctrlPr>
              <w:rPr>
                <w:rFonts w:ascii="Cambria Math" w:hAnsi="Cambria Math" w:cs="Times New Roman"/>
                <w:color w:val="auto"/>
                <w:sz w:val="32"/>
                <w:szCs w:val="32"/>
                <w:lang w:val="en-US" w:eastAsia="zh-CN" w:bidi="ar-SA"/>
              </w:rPr>
            </m:ctrlPr>
          </m:den>
        </m:f>
      </m:oMath>
      <w:r>
        <w:rPr>
          <w:rFonts w:hint="eastAsia" w:ascii="Calibri" w:hAnsi="Calibri" w:cs="Times New Roman"/>
          <w:color w:val="auto"/>
          <w:sz w:val="24"/>
          <w:szCs w:val="22"/>
          <w:lang w:val="en-US" w:eastAsia="zh-CN" w:bidi="ar-SA"/>
        </w:rPr>
        <w:t xml:space="preserve">             （8.3.12-2） </w:t>
      </w:r>
    </w:p>
    <w:p>
      <w:pPr>
        <w:pStyle w:val="46"/>
        <w:spacing w:after="0" w:line="360" w:lineRule="auto"/>
        <w:ind w:left="0" w:firstLine="0"/>
        <w:rPr>
          <w:rFonts w:ascii="Calibri" w:hAnsi="Calibri" w:cs="Times New Roman"/>
          <w:color w:val="auto"/>
          <w:sz w:val="24"/>
          <w:szCs w:val="22"/>
          <w:lang w:val="en-US" w:eastAsia="zh-CN" w:bidi="ar-SA"/>
        </w:rPr>
      </w:pPr>
      <w:r>
        <w:rPr>
          <w:rFonts w:hint="eastAsia"/>
          <w:color w:val="auto"/>
          <w:sz w:val="24"/>
          <w:szCs w:val="24"/>
          <w:lang w:val="en-US" w:eastAsia="zh-CN" w:bidi="en-US"/>
        </w:rPr>
        <w:t xml:space="preserve">                     </w:t>
      </w:r>
      <m:oMath>
        <m:sSub>
          <m:sSubPr>
            <m:ctrlPr>
              <w:rPr>
                <w:rFonts w:ascii="Cambria Math" w:hAnsi="Cambria Math" w:cs="Times New Roman"/>
                <w:i/>
                <w:color w:val="auto"/>
                <w:sz w:val="30"/>
                <w:szCs w:val="30"/>
                <w:lang w:val="en-US" w:bidi="ar-SA"/>
              </w:rPr>
            </m:ctrlPr>
          </m:sSubPr>
          <m:e>
            <m:r>
              <m:rPr/>
              <w:rPr>
                <w:rFonts w:ascii="Cambria Math" w:hAnsi="Cambria Math" w:cs="Times New Roman"/>
                <w:color w:val="auto"/>
                <w:sz w:val="30"/>
                <w:szCs w:val="30"/>
                <w:lang w:val="en-US" w:eastAsia="zh-CN" w:bidi="ar-SA"/>
              </w:rPr>
              <m:t>V</m:t>
            </m:r>
            <m:ctrlPr>
              <w:rPr>
                <w:rFonts w:ascii="Cambria Math" w:hAnsi="Cambria Math" w:cs="Times New Roman"/>
                <w:i/>
                <w:color w:val="auto"/>
                <w:sz w:val="30"/>
                <w:szCs w:val="30"/>
                <w:lang w:val="en-US" w:bidi="ar-SA"/>
              </w:rPr>
            </m:ctrlPr>
          </m:e>
          <m:sub>
            <m:r>
              <m:rPr/>
              <w:rPr>
                <w:rFonts w:ascii="Cambria Math" w:hAnsi="Cambria Math" w:cs="Times New Roman"/>
                <w:color w:val="auto"/>
                <w:sz w:val="30"/>
                <w:szCs w:val="30"/>
                <w:lang w:val="en-US" w:eastAsia="zh-CN" w:bidi="ar-SA"/>
              </w:rPr>
              <m:t>1k</m:t>
            </m:r>
            <m:ctrlPr>
              <w:rPr>
                <w:rFonts w:ascii="Cambria Math" w:hAnsi="Cambria Math" w:cs="Times New Roman"/>
                <w:i/>
                <w:color w:val="auto"/>
                <w:sz w:val="30"/>
                <w:szCs w:val="30"/>
                <w:lang w:val="en-US" w:bidi="ar-SA"/>
              </w:rPr>
            </m:ctrlPr>
          </m:sub>
        </m:sSub>
      </m:oMath>
      <w:r>
        <w:rPr>
          <w:rFonts w:hint="eastAsia" w:hAnsi="Cambria Math" w:cs="Times New Roman"/>
          <w:color w:val="auto"/>
          <w:sz w:val="30"/>
          <w:szCs w:val="30"/>
          <w:lang w:val="en-US" w:eastAsia="zh-CN" w:bidi="ar-SA"/>
        </w:rPr>
        <w:t>=</w:t>
      </w:r>
      <w:r>
        <w:rPr>
          <w:rFonts w:hint="eastAsia" w:hAnsi="Cambria Math" w:cs="Times New Roman"/>
          <w:i/>
          <w:iCs/>
          <w:color w:val="auto"/>
          <w:sz w:val="30"/>
          <w:szCs w:val="30"/>
          <w:lang w:val="en-US" w:eastAsia="zh-CN" w:bidi="ar-SA"/>
        </w:rPr>
        <w:t>q</w:t>
      </w:r>
      <w:r>
        <w:rPr>
          <w:rFonts w:hint="eastAsia" w:hAnsi="Cambria Math" w:cs="Times New Roman"/>
          <w:color w:val="auto"/>
          <w:sz w:val="30"/>
          <w:szCs w:val="30"/>
          <w:vertAlign w:val="subscript"/>
          <w:lang w:val="en-US" w:eastAsia="zh-CN" w:bidi="ar-SA"/>
        </w:rPr>
        <w:t>k</w:t>
      </w:r>
      <w:r>
        <w:rPr>
          <w:rFonts w:hint="eastAsia" w:hAnsi="Cambria Math" w:cs="Times New Roman"/>
          <w:i/>
          <w:iCs/>
          <w:color w:val="auto"/>
          <w:sz w:val="30"/>
          <w:szCs w:val="30"/>
          <w:lang w:val="en-US" w:eastAsia="zh-CN" w:bidi="ar-SA"/>
        </w:rPr>
        <w:t>L</w:t>
      </w:r>
      <w:r>
        <w:rPr>
          <w:rFonts w:hint="eastAsia" w:hAnsi="Cambria Math" w:cs="Times New Roman"/>
          <w:color w:val="auto"/>
          <w:sz w:val="30"/>
          <w:szCs w:val="30"/>
          <w:vertAlign w:val="subscript"/>
          <w:lang w:val="en-US" w:eastAsia="zh-CN" w:bidi="ar-SA"/>
        </w:rPr>
        <w:t>1</w:t>
      </w:r>
      <w:r>
        <w:rPr>
          <w:rFonts w:hint="eastAsia" w:hAnsi="Cambria Math" w:cs="Times New Roman"/>
          <w:color w:val="auto"/>
          <w:sz w:val="30"/>
          <w:szCs w:val="30"/>
          <w:lang w:val="en-US" w:eastAsia="zh-CN" w:bidi="ar-SA"/>
        </w:rPr>
        <w:t xml:space="preserve">/2  </w:t>
      </w:r>
      <w:r>
        <w:rPr>
          <w:rFonts w:hint="eastAsia" w:hAnsi="Cambria Math" w:cs="Times New Roman"/>
          <w:color w:val="auto"/>
          <w:sz w:val="30"/>
          <w:szCs w:val="32"/>
          <w:lang w:val="en-US" w:eastAsia="zh-CN" w:bidi="ar-SA"/>
        </w:rPr>
        <w:t xml:space="preserve">           </w:t>
      </w:r>
      <w:r>
        <w:rPr>
          <w:rFonts w:hint="eastAsia" w:ascii="Calibri" w:hAnsi="Calibri" w:cs="Times New Roman"/>
          <w:color w:val="auto"/>
          <w:sz w:val="24"/>
          <w:szCs w:val="22"/>
          <w:lang w:val="en-US" w:eastAsia="zh-CN" w:bidi="ar-SA"/>
        </w:rPr>
        <w:t>（8.3.12-3）</w:t>
      </w:r>
    </w:p>
    <w:p>
      <w:pPr>
        <w:pStyle w:val="46"/>
        <w:spacing w:after="0" w:line="360" w:lineRule="auto"/>
        <w:ind w:left="0" w:firstLine="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m:oMath>
        <m:r>
          <m:rPr>
            <m:sty m:val="p"/>
          </m:rPr>
          <w:rPr>
            <w:rFonts w:ascii="Cambria Math" w:hAnsi="Cambria Math" w:cs="Times New Roman"/>
            <w:color w:val="auto"/>
            <w:sz w:val="32"/>
            <w:szCs w:val="32"/>
            <w:lang w:val="en-US" w:bidi="ar-SA"/>
          </w:rPr>
          <m:t>τ</m:t>
        </m:r>
        <m:r>
          <m:rPr>
            <m:sty m:val="p"/>
          </m:rPr>
          <w:rPr>
            <w:rFonts w:ascii="Cambria Math" w:hAnsi="Cambria Math" w:cs="Times New Roman"/>
            <w:color w:val="auto"/>
            <w:sz w:val="32"/>
            <w:szCs w:val="32"/>
            <w:lang w:val="en-US" w:eastAsia="zh-CN" w:bidi="ar-SA"/>
          </w:rPr>
          <m:t>=</m:t>
        </m:r>
        <m:f>
          <m:fPr>
            <m:ctrlPr>
              <w:rPr>
                <w:rFonts w:ascii="Cambria Math" w:hAnsi="Cambria Math" w:cs="Times New Roman"/>
                <w:color w:val="auto"/>
                <w:sz w:val="32"/>
                <w:szCs w:val="32"/>
                <w:lang w:val="en-US" w:eastAsia="zh-CN" w:bidi="ar-SA"/>
              </w:rPr>
            </m:ctrlPr>
          </m:fPr>
          <m:num>
            <m:sSub>
              <m:sSubPr>
                <m:ctrlPr>
                  <w:rPr>
                    <w:rFonts w:ascii="Cambria Math" w:hAnsi="Cambria Math" w:cs="Times New Roman"/>
                    <w:i/>
                    <w:color w:val="auto"/>
                    <w:sz w:val="32"/>
                    <w:szCs w:val="32"/>
                    <w:lang w:val="en-US" w:bidi="ar-SA"/>
                  </w:rPr>
                </m:ctrlPr>
              </m:sSubPr>
              <m:e>
                <m:r>
                  <m:rPr>
                    <m:sty m:val="p"/>
                  </m:rPr>
                  <w:rPr>
                    <w:rFonts w:ascii="Cambria Math" w:hAnsi="Cambria Math" w:cs="Times New Roman"/>
                    <w:color w:val="auto"/>
                    <w:sz w:val="32"/>
                    <w:szCs w:val="32"/>
                    <w:lang w:val="en-US" w:bidi="ar-SA"/>
                  </w:rPr>
                  <m:t>τ</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ck</m:t>
                </m:r>
                <m:ctrlPr>
                  <w:rPr>
                    <w:rFonts w:ascii="Cambria Math" w:hAnsi="Cambria Math" w:cs="Times New Roman"/>
                    <w:i/>
                    <w:color w:val="auto"/>
                    <w:sz w:val="32"/>
                    <w:szCs w:val="32"/>
                    <w:lang w:val="en-US" w:bidi="ar-SA"/>
                  </w:rPr>
                </m:ctrlPr>
              </m:sub>
            </m:sSub>
            <m:ctrlPr>
              <w:rPr>
                <w:rFonts w:ascii="Cambria Math" w:hAnsi="Cambria Math" w:cs="Times New Roman"/>
                <w:color w:val="auto"/>
                <w:sz w:val="32"/>
                <w:szCs w:val="32"/>
                <w:lang w:val="en-US" w:eastAsia="zh-CN" w:bidi="ar-SA"/>
              </w:rPr>
            </m:ctrlPr>
          </m:num>
          <m:den>
            <m:r>
              <m:rPr>
                <m:sty m:val="p"/>
              </m:rPr>
              <w:rPr>
                <w:rFonts w:ascii="Cambria Math" w:hAnsi="Cambria Math" w:cs="Times New Roman"/>
                <w:color w:val="auto"/>
                <w:sz w:val="32"/>
                <w:szCs w:val="32"/>
                <w:lang w:val="en-US" w:eastAsia="zh-CN" w:bidi="ar-SA"/>
              </w:rPr>
              <m:t>1.6</m:t>
            </m:r>
            <m:ctrlPr>
              <w:rPr>
                <w:rFonts w:ascii="Cambria Math" w:hAnsi="Cambria Math" w:cs="Times New Roman"/>
                <w:color w:val="auto"/>
                <w:sz w:val="32"/>
                <w:szCs w:val="32"/>
                <w:lang w:val="en-US" w:eastAsia="zh-CN" w:bidi="ar-SA"/>
              </w:rPr>
            </m:ctrlPr>
          </m:den>
        </m:f>
      </m:oMath>
      <w:r>
        <w:rPr>
          <w:rFonts w:hint="eastAsia" w:hAnsi="Cambria Math" w:cs="Times New Roman"/>
          <w:color w:val="auto"/>
          <w:sz w:val="32"/>
          <w:szCs w:val="32"/>
          <w:lang w:val="en-US" w:eastAsia="zh-CN" w:bidi="ar-SA"/>
        </w:rPr>
        <w:t xml:space="preserve">               </w:t>
      </w:r>
      <w:r>
        <w:rPr>
          <w:rFonts w:hint="eastAsia" w:ascii="Calibri" w:hAnsi="Calibri" w:cs="Times New Roman"/>
          <w:color w:val="auto"/>
          <w:sz w:val="24"/>
          <w:szCs w:val="22"/>
          <w:lang w:val="en-US" w:eastAsia="zh-CN" w:bidi="ar-SA"/>
        </w:rPr>
        <w:t>（8.3.12-4）</w:t>
      </w:r>
    </w:p>
    <w:p>
      <w:pPr>
        <w:pStyle w:val="46"/>
        <w:spacing w:after="0" w:line="360" w:lineRule="auto"/>
        <w:ind w:left="0" w:firstLine="480" w:firstLineChars="200"/>
        <w:jc w:val="left"/>
        <w:rPr>
          <w:rFonts w:hint="eastAsia" w:ascii="Cambria Math" w:hAnsi="Cambria Math" w:cs="Times New Roman"/>
          <w:iCs/>
          <w:color w:val="auto"/>
          <w:sz w:val="24"/>
          <w:szCs w:val="24"/>
          <w:lang w:val="en-US" w:bidi="ar-SA"/>
        </w:rPr>
      </w:pPr>
      <w:r>
        <w:rPr>
          <w:rFonts w:hint="eastAsia" w:ascii="Cambria Math" w:hAnsi="Cambria Math" w:cs="Times New Roman"/>
          <w:iCs/>
          <w:color w:val="auto"/>
          <w:sz w:val="24"/>
          <w:szCs w:val="24"/>
          <w:lang w:val="en-US" w:eastAsia="zh-CN" w:bidi="ar-SA"/>
        </w:rPr>
        <w:t xml:space="preserve">  </w:t>
      </w:r>
      <w:r>
        <w:rPr>
          <w:rFonts w:ascii="Cambria Math" w:hAnsi="Cambria Math" w:cs="Times New Roman"/>
          <w:iCs/>
          <w:color w:val="auto"/>
          <w:sz w:val="24"/>
          <w:szCs w:val="24"/>
          <w:lang w:val="en-US" w:bidi="ar-SA"/>
        </w:rPr>
        <w:t>式中：</w:t>
      </w:r>
      <w:r>
        <w:rPr>
          <w:rFonts w:hint="eastAsia" w:ascii="Cambria Math" w:hAnsi="Cambria Math" w:cs="Times New Roman"/>
          <w:iCs/>
          <w:color w:val="auto"/>
          <w:sz w:val="24"/>
          <w:szCs w:val="24"/>
          <w:lang w:val="en-US" w:eastAsia="zh-CN" w:bidi="ar-SA"/>
        </w:rPr>
        <w:t xml:space="preserve">  </w:t>
      </w:r>
      <m:oMath>
        <m:sSub>
          <m:sSubPr>
            <m:ctrlPr>
              <w:rPr>
                <w:rFonts w:hint="eastAsia" w:ascii="Cambria Math" w:hAnsi="Calibri" w:cs="Times New Roman"/>
                <w:color w:val="auto"/>
                <w:sz w:val="30"/>
                <w:szCs w:val="30"/>
                <w:lang w:val="en-US" w:eastAsia="zh-CN" w:bidi="ar-SA"/>
              </w:rPr>
            </m:ctrlPr>
          </m:sSubPr>
          <m:e>
            <m:r>
              <m:rPr>
                <m:sty m:val="p"/>
              </m:rPr>
              <w:rPr>
                <w:rFonts w:ascii="Cambria Math" w:hAnsi="Cambria Math" w:cs="Times New Roman"/>
                <w:color w:val="auto"/>
                <w:sz w:val="30"/>
                <w:szCs w:val="30"/>
                <w:lang w:val="en-US" w:bidi="ar-SA"/>
              </w:rPr>
              <m:t>τ</m:t>
            </m:r>
            <m:ctrlPr>
              <w:rPr>
                <w:rFonts w:hint="eastAsia" w:ascii="Cambria Math" w:hAnsi="Calibri" w:cs="Times New Roman"/>
                <w:color w:val="auto"/>
                <w:sz w:val="30"/>
                <w:szCs w:val="30"/>
                <w:lang w:val="en-US" w:eastAsia="zh-CN" w:bidi="ar-SA"/>
              </w:rPr>
            </m:ctrlPr>
          </m:e>
          <m:sub>
            <m:r>
              <m:rPr>
                <m:sty m:val="p"/>
              </m:rPr>
              <w:rPr>
                <w:rFonts w:ascii="Cambria Math" w:hAnsi="Calibri" w:cs="Times New Roman"/>
                <w:color w:val="auto"/>
                <w:sz w:val="30"/>
                <w:szCs w:val="30"/>
                <w:lang w:val="en-US" w:eastAsia="zh-CN" w:bidi="ar-SA"/>
              </w:rPr>
              <m:t>1</m:t>
            </m:r>
            <m:ctrlPr>
              <w:rPr>
                <w:rFonts w:hint="eastAsia" w:ascii="Cambria Math" w:hAnsi="Calibri" w:cs="Times New Roman"/>
                <w:color w:val="auto"/>
                <w:sz w:val="30"/>
                <w:szCs w:val="30"/>
                <w:lang w:val="en-US" w:eastAsia="zh-CN" w:bidi="ar-SA"/>
              </w:rPr>
            </m:ctrlPr>
          </m:sub>
        </m:sSub>
      </m:oMath>
      <w:r>
        <w:rPr>
          <w:rFonts w:ascii="Cambria Math" w:hAnsi="Cambria Math" w:cs="Times New Roman"/>
          <w:iCs/>
          <w:color w:val="auto"/>
          <w:sz w:val="24"/>
          <w:szCs w:val="24"/>
          <w:lang w:val="en-US" w:bidi="ar-SA"/>
        </w:rPr>
        <w:t>—作用于型钢与水泥土之间的错动剪应力设计值</w:t>
      </w:r>
      <w:r>
        <w:rPr>
          <w:rFonts w:ascii="Cambria Math" w:hAnsi="Cambria Math" w:cs="Times New Roman"/>
          <w:iCs/>
          <w:color w:val="auto"/>
          <w:sz w:val="24"/>
          <w:szCs w:val="24"/>
          <w:lang w:val="en-US" w:eastAsia="zh-CN" w:bidi="ar-SA"/>
        </w:rPr>
        <w:t>(N/ mm2</w:t>
      </w:r>
      <w:r>
        <w:rPr>
          <w:rFonts w:ascii="Cambria Math" w:hAnsi="Cambria Math" w:cs="Times New Roman"/>
          <w:iCs/>
          <w:color w:val="auto"/>
          <w:sz w:val="24"/>
          <w:szCs w:val="24"/>
          <w:lang w:val="en-US" w:bidi="ar-SA"/>
        </w:rPr>
        <w:t>)；</w:t>
      </w:r>
    </w:p>
    <w:p>
      <w:pPr>
        <w:pStyle w:val="46"/>
        <w:spacing w:after="0" w:line="360" w:lineRule="auto"/>
        <w:ind w:left="2400" w:leftChars="625" w:hanging="900" w:hangingChars="300"/>
        <w:jc w:val="left"/>
        <w:rPr>
          <w:rFonts w:hint="eastAsia" w:ascii="Cambria Math" w:hAnsi="Cambria Math" w:cs="Times New Roman"/>
          <w:iCs/>
          <w:color w:val="auto"/>
          <w:sz w:val="24"/>
          <w:szCs w:val="24"/>
          <w:lang w:val="en-US" w:bidi="ar-SA"/>
        </w:rPr>
      </w:pPr>
      <m:oMath>
        <m:sSub>
          <m:sSubPr>
            <m:ctrlPr>
              <w:rPr>
                <w:rFonts w:ascii="Cambria Math" w:hAnsi="Cambria Math" w:cs="Times New Roman"/>
                <w:i/>
                <w:color w:val="auto"/>
                <w:sz w:val="30"/>
                <w:szCs w:val="30"/>
                <w:lang w:val="en-US" w:bidi="ar-SA"/>
              </w:rPr>
            </m:ctrlPr>
          </m:sSubPr>
          <m:e>
            <m:r>
              <m:rPr/>
              <w:rPr>
                <w:rFonts w:ascii="Cambria Math" w:hAnsi="Cambria Math" w:cs="Times New Roman"/>
                <w:color w:val="auto"/>
                <w:sz w:val="30"/>
                <w:szCs w:val="30"/>
                <w:lang w:val="en-US" w:eastAsia="zh-CN" w:bidi="ar-SA"/>
              </w:rPr>
              <m:t>V</m:t>
            </m:r>
            <m:ctrlPr>
              <w:rPr>
                <w:rFonts w:ascii="Cambria Math" w:hAnsi="Cambria Math" w:cs="Times New Roman"/>
                <w:i/>
                <w:color w:val="auto"/>
                <w:sz w:val="30"/>
                <w:szCs w:val="30"/>
                <w:lang w:val="en-US" w:bidi="ar-SA"/>
              </w:rPr>
            </m:ctrlPr>
          </m:e>
          <m:sub>
            <m:r>
              <m:rPr/>
              <w:rPr>
                <w:rFonts w:ascii="Cambria Math" w:hAnsi="Cambria Math" w:cs="Times New Roman"/>
                <w:color w:val="auto"/>
                <w:sz w:val="30"/>
                <w:szCs w:val="30"/>
                <w:lang w:val="en-US" w:eastAsia="zh-CN" w:bidi="ar-SA"/>
              </w:rPr>
              <m:t>1k</m:t>
            </m:r>
            <m:ctrlPr>
              <w:rPr>
                <w:rFonts w:ascii="Cambria Math" w:hAnsi="Cambria Math" w:cs="Times New Roman"/>
                <w:i/>
                <w:color w:val="auto"/>
                <w:sz w:val="30"/>
                <w:szCs w:val="30"/>
                <w:lang w:val="en-US" w:bidi="ar-SA"/>
              </w:rPr>
            </m:ctrlPr>
          </m:sub>
        </m:sSub>
      </m:oMath>
      <w:r>
        <w:rPr>
          <w:rFonts w:ascii="Cambria Math" w:hAnsi="Cambria Math" w:cs="Times New Roman"/>
          <w:iCs/>
          <w:color w:val="auto"/>
          <w:sz w:val="24"/>
          <w:szCs w:val="24"/>
          <w:lang w:val="en-US" w:bidi="ar-SA"/>
        </w:rPr>
        <w:t>—作用于型钢与水泥土之间单位深度范围内的错动剪力标准值</w:t>
      </w:r>
      <w:r>
        <w:rPr>
          <w:rFonts w:ascii="Cambria Math" w:hAnsi="Cambria Math" w:cs="Times New Roman"/>
          <w:iCs/>
          <w:color w:val="auto"/>
          <w:sz w:val="24"/>
          <w:szCs w:val="24"/>
          <w:lang w:val="en-US" w:eastAsia="zh-CN" w:bidi="ar-SA"/>
        </w:rPr>
        <w:t>(N/mm)；</w:t>
      </w:r>
    </w:p>
    <w:p>
      <w:pPr>
        <w:pStyle w:val="46"/>
        <w:spacing w:after="0" w:line="360" w:lineRule="auto"/>
        <w:ind w:left="0" w:firstLine="1500" w:firstLineChars="500"/>
        <w:jc w:val="left"/>
        <w:rPr>
          <w:rFonts w:hint="eastAsia" w:ascii="Cambria Math" w:hAnsi="Cambria Math" w:cs="Times New Roman"/>
          <w:iCs/>
          <w:color w:val="auto"/>
          <w:sz w:val="24"/>
          <w:szCs w:val="24"/>
          <w:lang w:val="en-US" w:bidi="ar-SA"/>
        </w:rPr>
      </w:pPr>
      <w:r>
        <w:rPr>
          <w:rFonts w:hint="eastAsia" w:hAnsi="Cambria Math" w:cs="Times New Roman"/>
          <w:i/>
          <w:iCs/>
          <w:color w:val="auto"/>
          <w:sz w:val="30"/>
          <w:szCs w:val="30"/>
          <w:lang w:val="en-US" w:eastAsia="zh-CN" w:bidi="ar-SA"/>
        </w:rPr>
        <w:t>q</w:t>
      </w:r>
      <w:r>
        <w:rPr>
          <w:rFonts w:hint="eastAsia" w:hAnsi="Cambria Math" w:cs="Times New Roman"/>
          <w:color w:val="auto"/>
          <w:sz w:val="30"/>
          <w:szCs w:val="30"/>
          <w:vertAlign w:val="subscript"/>
          <w:lang w:val="en-US" w:eastAsia="zh-CN" w:bidi="ar-SA"/>
        </w:rPr>
        <w:t>k</w:t>
      </w:r>
      <w:r>
        <w:rPr>
          <w:rFonts w:ascii="Cambria Math" w:hAnsi="Cambria Math" w:cs="Times New Roman"/>
          <w:iCs/>
          <w:color w:val="auto"/>
          <w:sz w:val="24"/>
          <w:szCs w:val="24"/>
          <w:lang w:val="en-US" w:eastAsia="zh-CN" w:bidi="ar-SA"/>
        </w:rPr>
        <w:t>一</w:t>
      </w:r>
      <w:r>
        <w:rPr>
          <w:rFonts w:ascii="Cambria Math" w:hAnsi="Cambria Math" w:cs="Times New Roman"/>
          <w:iCs/>
          <w:color w:val="auto"/>
          <w:sz w:val="24"/>
          <w:szCs w:val="24"/>
          <w:lang w:val="en-US" w:bidi="ar-SA"/>
        </w:rPr>
        <w:t>作用于型钢水泥土搅拌墙计算截面处的侧压力强度标准值</w:t>
      </w:r>
      <w:r>
        <w:rPr>
          <w:rFonts w:ascii="Cambria Math" w:hAnsi="Cambria Math" w:cs="Times New Roman"/>
          <w:iCs/>
          <w:color w:val="auto"/>
          <w:sz w:val="24"/>
          <w:szCs w:val="24"/>
          <w:lang w:val="en-US" w:eastAsia="zh-CN" w:bidi="ar-SA"/>
        </w:rPr>
        <w:t>(N/m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Cambria Math" w:hAnsi="Cambria Math" w:cs="Times New Roman"/>
          <w:iCs/>
          <w:color w:val="auto"/>
          <w:sz w:val="24"/>
          <w:szCs w:val="24"/>
          <w:lang w:val="en-US" w:eastAsia="zh-CN" w:bidi="ar-SA"/>
        </w:rPr>
        <w:t>)；</w:t>
      </w:r>
    </w:p>
    <w:p>
      <w:pPr>
        <w:pStyle w:val="46"/>
        <w:spacing w:after="0" w:line="360" w:lineRule="auto"/>
        <w:ind w:left="0" w:firstLine="1200" w:firstLineChars="400"/>
        <w:jc w:val="left"/>
        <w:rPr>
          <w:rFonts w:hint="eastAsia" w:ascii="Cambria Math" w:hAnsi="Cambria Math" w:cs="Times New Roman"/>
          <w:iCs/>
          <w:color w:val="auto"/>
          <w:sz w:val="24"/>
          <w:szCs w:val="24"/>
          <w:lang w:val="en-US" w:bidi="ar-SA"/>
        </w:rPr>
      </w:pPr>
      <w:r>
        <w:rPr>
          <w:rFonts w:hint="eastAsia" w:hAnsi="Cambria Math" w:cs="Times New Roman"/>
          <w:i/>
          <w:iCs/>
          <w:color w:val="auto"/>
          <w:sz w:val="30"/>
          <w:szCs w:val="30"/>
          <w:lang w:val="en-US" w:eastAsia="zh-CN" w:bidi="ar-SA"/>
        </w:rPr>
        <w:t>L</w:t>
      </w:r>
      <w:r>
        <w:rPr>
          <w:rFonts w:hint="eastAsia" w:hAnsi="Cambria Math" w:cs="Times New Roman"/>
          <w:color w:val="auto"/>
          <w:sz w:val="30"/>
          <w:szCs w:val="30"/>
          <w:vertAlign w:val="subscript"/>
          <w:lang w:val="en-US" w:eastAsia="zh-CN" w:bidi="ar-SA"/>
        </w:rPr>
        <w:t>1</w:t>
      </w:r>
      <w:r>
        <w:rPr>
          <w:rFonts w:ascii="Cambria Math" w:hAnsi="Cambria Math" w:cs="Times New Roman"/>
          <w:iCs/>
          <w:color w:val="auto"/>
          <w:sz w:val="24"/>
          <w:szCs w:val="24"/>
          <w:lang w:val="en-US" w:bidi="ar-SA"/>
        </w:rPr>
        <w:t>—相邻型钢翼缘之间的净距</w:t>
      </w:r>
      <w:r>
        <w:rPr>
          <w:rFonts w:ascii="Cambria Math" w:hAnsi="Cambria Math" w:cs="Times New Roman"/>
          <w:iCs/>
          <w:color w:val="auto"/>
          <w:sz w:val="24"/>
          <w:szCs w:val="24"/>
          <w:lang w:val="en-US" w:eastAsia="zh-CN" w:bidi="ar-SA"/>
        </w:rPr>
        <w:t>(mm)；</w:t>
      </w:r>
    </w:p>
    <w:p>
      <w:pPr>
        <w:pStyle w:val="46"/>
        <w:spacing w:after="0" w:line="360" w:lineRule="auto"/>
        <w:ind w:left="0" w:firstLine="1200" w:firstLineChars="500"/>
        <w:jc w:val="left"/>
        <w:rPr>
          <w:rFonts w:hint="eastAsia" w:ascii="Cambria Math" w:hAnsi="Cambria Math" w:cs="Times New Roman"/>
          <w:iCs/>
          <w:color w:val="auto"/>
          <w:sz w:val="24"/>
          <w:szCs w:val="24"/>
          <w:lang w:val="en-US" w:bidi="ar-SA"/>
        </w:rPr>
      </w:pPr>
      <m:oMath>
        <m:sSub>
          <m:sSubPr>
            <m:ctrlPr>
              <w:rPr>
                <w:rFonts w:ascii="Cambria Math" w:hAnsi="Cambria Math" w:cs="Times New Roman"/>
                <w:color w:val="auto"/>
                <w:sz w:val="24"/>
                <w:szCs w:val="24"/>
                <w:lang w:val="en-US" w:eastAsia="zh-CN" w:bidi="ar-SA"/>
              </w:rPr>
            </m:ctrlPr>
          </m:sSubPr>
          <m:e>
            <m:r>
              <m:rPr/>
              <w:rPr>
                <w:rFonts w:ascii="Cambria Math" w:hAnsi="Cambria Math" w:cs="Times New Roman"/>
                <w:color w:val="auto"/>
                <w:sz w:val="24"/>
                <w:szCs w:val="24"/>
                <w:lang w:val="en-US" w:eastAsia="zh-CN" w:bidi="ar-SA"/>
              </w:rPr>
              <m:t>d</m:t>
            </m:r>
            <m:ctrlPr>
              <w:rPr>
                <w:rFonts w:ascii="Cambria Math" w:hAnsi="Cambria Math" w:cs="Times New Roman"/>
                <w:color w:val="auto"/>
                <w:sz w:val="24"/>
                <w:szCs w:val="24"/>
                <w:lang w:val="en-US" w:eastAsia="zh-CN" w:bidi="ar-SA"/>
              </w:rPr>
            </m:ctrlPr>
          </m:e>
          <m:sub>
            <m:r>
              <m:rPr>
                <m:sty m:val="p"/>
              </m:rPr>
              <w:rPr>
                <w:rFonts w:ascii="Cambria Math" w:hAnsi="Cambria Math" w:cs="Times New Roman"/>
                <w:color w:val="auto"/>
                <w:sz w:val="24"/>
                <w:szCs w:val="24"/>
                <w:lang w:val="en-US" w:eastAsia="zh-CN" w:bidi="ar-SA"/>
              </w:rPr>
              <m:t>e1</m:t>
            </m:r>
            <m:ctrlPr>
              <w:rPr>
                <w:rFonts w:ascii="Cambria Math" w:hAnsi="Cambria Math" w:cs="Times New Roman"/>
                <w:color w:val="auto"/>
                <w:sz w:val="24"/>
                <w:szCs w:val="24"/>
                <w:lang w:val="en-US" w:eastAsia="zh-CN" w:bidi="ar-SA"/>
              </w:rPr>
            </m:ctrlPr>
          </m:sub>
        </m:sSub>
      </m:oMath>
      <w:r>
        <w:rPr>
          <w:rFonts w:ascii="Cambria Math" w:hAnsi="Cambria Math" w:cs="Times New Roman"/>
          <w:iCs/>
          <w:color w:val="auto"/>
          <w:sz w:val="24"/>
          <w:szCs w:val="24"/>
          <w:lang w:val="en-US" w:bidi="ar-SA"/>
        </w:rPr>
        <w:t>—型钢翼缘处水泥土墙体的有效厚度</w:t>
      </w:r>
      <w:r>
        <w:rPr>
          <w:rFonts w:ascii="Cambria Math" w:hAnsi="Cambria Math" w:cs="Times New Roman"/>
          <w:iCs/>
          <w:color w:val="auto"/>
          <w:sz w:val="24"/>
          <w:szCs w:val="24"/>
          <w:lang w:val="en-US" w:eastAsia="zh-CN" w:bidi="ar-SA"/>
        </w:rPr>
        <w:t>(m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Cambria Math" w:hAnsi="Cambria Math" w:cs="Times New Roman"/>
          <w:iCs/>
          <w:color w:val="auto"/>
          <w:sz w:val="24"/>
          <w:szCs w:val="24"/>
          <w:lang w:val="en-US" w:eastAsia="zh-CN" w:bidi="ar-SA"/>
        </w:rPr>
        <w:t>)；</w:t>
      </w:r>
    </w:p>
    <w:p>
      <w:pPr>
        <w:pStyle w:val="46"/>
        <w:spacing w:after="0" w:line="360" w:lineRule="auto"/>
        <w:ind w:left="0" w:firstLine="1280" w:firstLineChars="400"/>
        <w:jc w:val="left"/>
        <w:rPr>
          <w:rFonts w:hint="eastAsia" w:ascii="Cambria Math" w:hAnsi="Cambria Math" w:cs="Times New Roman"/>
          <w:iCs/>
          <w:color w:val="auto"/>
          <w:sz w:val="24"/>
          <w:szCs w:val="24"/>
          <w:lang w:val="en-US" w:bidi="ar-SA"/>
        </w:rPr>
      </w:pPr>
      <m:oMath>
        <m:r>
          <m:rPr>
            <m:sty m:val="p"/>
          </m:rPr>
          <w:rPr>
            <w:rFonts w:ascii="Cambria Math" w:hAnsi="Cambria Math" w:cs="Times New Roman"/>
            <w:color w:val="auto"/>
            <w:sz w:val="32"/>
            <w:szCs w:val="32"/>
            <w:lang w:val="en-US" w:bidi="ar-SA"/>
          </w:rPr>
          <m:t>τ</m:t>
        </m:r>
      </m:oMath>
      <w:r>
        <w:rPr>
          <w:rFonts w:ascii="Cambria Math" w:hAnsi="Cambria Math" w:cs="Times New Roman"/>
          <w:iCs/>
          <w:color w:val="auto"/>
          <w:sz w:val="24"/>
          <w:szCs w:val="24"/>
          <w:lang w:val="en-US" w:bidi="ar-SA"/>
        </w:rPr>
        <w:t>—水泥土抗剪强度设计值(</w:t>
      </w:r>
      <w:r>
        <w:rPr>
          <w:rFonts w:ascii="Cambria Math" w:hAnsi="Cambria Math" w:cs="Times New Roman"/>
          <w:iCs/>
          <w:color w:val="auto"/>
          <w:sz w:val="24"/>
          <w:szCs w:val="24"/>
          <w:lang w:val="en-US" w:eastAsia="zh-CN" w:bidi="ar-SA"/>
        </w:rPr>
        <w:t>N/m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Cambria Math" w:hAnsi="Cambria Math" w:cs="Times New Roman"/>
          <w:iCs/>
          <w:color w:val="auto"/>
          <w:sz w:val="24"/>
          <w:szCs w:val="24"/>
          <w:lang w:val="en-US" w:bidi="ar-SA"/>
        </w:rPr>
        <w:t>)；</w:t>
      </w:r>
    </w:p>
    <w:p>
      <w:pPr>
        <w:pStyle w:val="46"/>
        <w:spacing w:after="0" w:line="360" w:lineRule="auto"/>
        <w:ind w:left="1939" w:leftChars="508" w:hanging="720" w:hangingChars="225"/>
        <w:jc w:val="left"/>
        <w:rPr>
          <w:rFonts w:hint="eastAsia" w:ascii="Cambria Math" w:hAnsi="Cambria Math" w:cs="Times New Roman"/>
          <w:iCs/>
          <w:color w:val="auto"/>
          <w:sz w:val="24"/>
          <w:szCs w:val="24"/>
          <w:lang w:val="en-US" w:bidi="ar-SA"/>
        </w:rPr>
      </w:pPr>
      <m:oMath>
        <m:sSub>
          <m:sSubPr>
            <m:ctrlPr>
              <w:rPr>
                <w:rFonts w:ascii="Cambria Math" w:hAnsi="Cambria Math" w:cs="Times New Roman"/>
                <w:i/>
                <w:color w:val="auto"/>
                <w:sz w:val="32"/>
                <w:szCs w:val="32"/>
                <w:lang w:val="en-US" w:bidi="ar-SA"/>
              </w:rPr>
            </m:ctrlPr>
          </m:sSubPr>
          <m:e>
            <m:r>
              <m:rPr>
                <m:sty m:val="p"/>
              </m:rPr>
              <w:rPr>
                <w:rFonts w:ascii="Cambria Math" w:hAnsi="Cambria Math" w:cs="Times New Roman"/>
                <w:color w:val="auto"/>
                <w:sz w:val="32"/>
                <w:szCs w:val="32"/>
                <w:lang w:val="en-US" w:bidi="ar-SA"/>
              </w:rPr>
              <m:t>τ</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ck</m:t>
            </m:r>
            <m:ctrlPr>
              <w:rPr>
                <w:rFonts w:ascii="Cambria Math" w:hAnsi="Cambria Math" w:cs="Times New Roman"/>
                <w:i/>
                <w:color w:val="auto"/>
                <w:sz w:val="32"/>
                <w:szCs w:val="32"/>
                <w:lang w:val="en-US" w:bidi="ar-SA"/>
              </w:rPr>
            </m:ctrlPr>
          </m:sub>
        </m:sSub>
      </m:oMath>
      <w:r>
        <w:rPr>
          <w:rFonts w:ascii="Cambria Math" w:hAnsi="Cambria Math" w:cs="Times New Roman"/>
          <w:iCs/>
          <w:color w:val="auto"/>
          <w:sz w:val="24"/>
          <w:szCs w:val="24"/>
          <w:lang w:val="en-US" w:bidi="ar-SA"/>
        </w:rPr>
        <w:t>—水泥土抗剪强度标准值</w:t>
      </w:r>
      <w:r>
        <w:rPr>
          <w:rFonts w:ascii="Cambria Math" w:hAnsi="Cambria Math" w:cs="Times New Roman"/>
          <w:iCs/>
          <w:color w:val="auto"/>
          <w:sz w:val="24"/>
          <w:szCs w:val="24"/>
          <w:lang w:val="en-US" w:eastAsia="zh-CN" w:bidi="ar-SA"/>
        </w:rPr>
        <w:t>(N/m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Cambria Math" w:hAnsi="Cambria Math" w:cs="Times New Roman"/>
          <w:iCs/>
          <w:color w:val="auto"/>
          <w:sz w:val="24"/>
          <w:szCs w:val="24"/>
          <w:lang w:val="en-US" w:eastAsia="zh-CN" w:bidi="ar-SA"/>
        </w:rPr>
        <w:t>),</w:t>
      </w:r>
      <w:r>
        <w:rPr>
          <w:rFonts w:ascii="Cambria Math" w:hAnsi="Cambria Math" w:cs="Times New Roman"/>
          <w:iCs/>
          <w:color w:val="auto"/>
          <w:sz w:val="24"/>
          <w:szCs w:val="24"/>
          <w:lang w:val="en-US" w:bidi="ar-SA"/>
        </w:rPr>
        <w:t xml:space="preserve">可取搅拌桩 </w:t>
      </w:r>
      <w:r>
        <w:rPr>
          <w:rFonts w:ascii="Cambria Math" w:hAnsi="Cambria Math" w:cs="Times New Roman"/>
          <w:iCs/>
          <w:color w:val="auto"/>
          <w:sz w:val="24"/>
          <w:szCs w:val="24"/>
          <w:lang w:val="en-US" w:eastAsia="zh-CN" w:bidi="ar-SA"/>
        </w:rPr>
        <w:t>28d</w:t>
      </w:r>
      <w:r>
        <w:rPr>
          <w:rFonts w:ascii="Cambria Math" w:hAnsi="Cambria Math" w:cs="Times New Roman"/>
          <w:iCs/>
          <w:color w:val="auto"/>
          <w:sz w:val="24"/>
          <w:szCs w:val="24"/>
          <w:lang w:val="en-US" w:bidi="ar-SA"/>
        </w:rPr>
        <w:t>龄期无侧限抗压强度的1/3。</w:t>
      </w:r>
    </w:p>
    <w:p>
      <w:pPr>
        <w:pStyle w:val="46"/>
        <w:spacing w:after="0" w:line="360" w:lineRule="auto"/>
        <w:ind w:left="0" w:firstLine="480" w:firstLineChars="2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2在型钢间隔设置时，水泥土搅拌桩最薄弱截面的局部受剪承载力［图</w:t>
      </w:r>
      <w:r>
        <w:rPr>
          <w:rFonts w:hint="eastAsia" w:ascii="Calibri" w:hAnsi="Calibri" w:cs="Times New Roman"/>
          <w:color w:val="auto"/>
          <w:sz w:val="24"/>
          <w:szCs w:val="22"/>
          <w:lang w:val="en-US" w:eastAsia="zh-CN" w:bidi="ar-SA"/>
        </w:rPr>
        <w:t>8</w:t>
      </w:r>
      <w:r>
        <w:rPr>
          <w:rFonts w:ascii="Calibri" w:hAnsi="Calibri" w:cs="Times New Roman"/>
          <w:color w:val="auto"/>
          <w:sz w:val="24"/>
          <w:szCs w:val="22"/>
          <w:lang w:val="en-US" w:eastAsia="zh-CN" w:bidi="ar-SA"/>
        </w:rPr>
        <w:t xml:space="preserve">. </w:t>
      </w:r>
      <w:r>
        <w:rPr>
          <w:rFonts w:hint="eastAsia" w:ascii="Calibri" w:hAnsi="Calibri" w:cs="Times New Roman"/>
          <w:color w:val="auto"/>
          <w:sz w:val="24"/>
          <w:szCs w:val="22"/>
          <w:lang w:val="en-US" w:eastAsia="zh-CN" w:bidi="ar-SA"/>
        </w:rPr>
        <w:t>10</w:t>
      </w:r>
      <w:r>
        <w:rPr>
          <w:rFonts w:ascii="Calibri" w:hAnsi="Calibri" w:cs="Times New Roman"/>
          <w:color w:val="auto"/>
          <w:sz w:val="24"/>
          <w:szCs w:val="22"/>
          <w:lang w:val="en-US" w:eastAsia="zh-CN" w:bidi="ar-SA"/>
        </w:rPr>
        <w:t>.</w:t>
      </w:r>
      <w:r>
        <w:rPr>
          <w:rFonts w:hint="eastAsia" w:ascii="Calibri" w:hAnsi="Calibri" w:cs="Times New Roman"/>
          <w:color w:val="auto"/>
          <w:sz w:val="24"/>
          <w:szCs w:val="22"/>
          <w:lang w:val="en-US" w:eastAsia="zh-CN" w:bidi="ar-SA"/>
        </w:rPr>
        <w:t>12</w:t>
      </w:r>
      <w:r>
        <w:rPr>
          <w:rFonts w:ascii="Calibri" w:hAnsi="Calibri" w:cs="Times New Roman"/>
          <w:color w:val="auto"/>
          <w:sz w:val="24"/>
          <w:szCs w:val="22"/>
          <w:lang w:val="en-US" w:eastAsia="zh-CN" w:bidi="ar-SA"/>
        </w:rPr>
        <w:t xml:space="preserve"> (b)］应按下列公式进行计算：</w:t>
      </w:r>
    </w:p>
    <w:p>
      <w:pPr>
        <w:pStyle w:val="46"/>
        <w:spacing w:after="0" w:line="360" w:lineRule="auto"/>
        <w:ind w:left="0" w:firstLine="2700" w:firstLineChars="900"/>
        <w:rPr>
          <w:rFonts w:ascii="Calibri" w:hAnsi="Calibri" w:cs="Times New Roman"/>
          <w:color w:val="auto"/>
          <w:sz w:val="24"/>
          <w:szCs w:val="22"/>
          <w:lang w:val="en-US" w:eastAsia="zh-CN" w:bidi="ar-SA"/>
        </w:rPr>
      </w:pPr>
      <m:oMath>
        <m:sSub>
          <m:sSubPr>
            <m:ctrlPr>
              <w:rPr>
                <w:rFonts w:hint="eastAsia" w:ascii="Cambria Math" w:hAnsi="Calibri" w:cs="Times New Roman"/>
                <w:color w:val="auto"/>
                <w:sz w:val="30"/>
                <w:szCs w:val="30"/>
                <w:lang w:val="en-US" w:eastAsia="zh-CN" w:bidi="ar-SA"/>
              </w:rPr>
            </m:ctrlPr>
          </m:sSubPr>
          <m:e>
            <m:r>
              <m:rPr>
                <m:sty m:val="p"/>
              </m:rPr>
              <w:rPr>
                <w:rFonts w:ascii="Cambria Math" w:hAnsi="Cambria Math" w:cs="Times New Roman"/>
                <w:color w:val="auto"/>
                <w:sz w:val="30"/>
                <w:szCs w:val="30"/>
                <w:lang w:val="en-US" w:bidi="ar-SA"/>
              </w:rPr>
              <m:t>τ</m:t>
            </m:r>
            <m:ctrlPr>
              <w:rPr>
                <w:rFonts w:hint="eastAsia" w:ascii="Cambria Math" w:hAnsi="Calibri" w:cs="Times New Roman"/>
                <w:color w:val="auto"/>
                <w:sz w:val="30"/>
                <w:szCs w:val="30"/>
                <w:lang w:val="en-US" w:eastAsia="zh-CN" w:bidi="ar-SA"/>
              </w:rPr>
            </m:ctrlPr>
          </m:e>
          <m:sub>
            <m:r>
              <m:rPr>
                <m:sty m:val="p"/>
              </m:rPr>
              <w:rPr>
                <w:rFonts w:ascii="Cambria Math" w:hAnsi="Calibri" w:cs="Times New Roman"/>
                <w:color w:val="auto"/>
                <w:sz w:val="30"/>
                <w:szCs w:val="30"/>
                <w:lang w:val="en-US" w:eastAsia="zh-CN" w:bidi="ar-SA"/>
              </w:rPr>
              <m:t>2</m:t>
            </m:r>
            <m:ctrlPr>
              <w:rPr>
                <w:rFonts w:hint="eastAsia" w:ascii="Cambria Math" w:hAnsi="Calibri" w:cs="Times New Roman"/>
                <w:color w:val="auto"/>
                <w:sz w:val="30"/>
                <w:szCs w:val="30"/>
                <w:lang w:val="en-US" w:eastAsia="zh-CN" w:bidi="ar-SA"/>
              </w:rPr>
            </m:ctrlPr>
          </m:sub>
        </m:sSub>
        <m:r>
          <m:rPr>
            <m:sty m:val="p"/>
          </m:rPr>
          <w:rPr>
            <w:rFonts w:ascii="Cambria Math" w:hAnsi="Cambria Math" w:cs="Times New Roman"/>
            <w:color w:val="auto"/>
            <w:sz w:val="30"/>
            <w:szCs w:val="22"/>
            <w:lang w:val="en-US" w:bidi="ar-SA"/>
          </w:rPr>
          <m:t>≼τ</m:t>
        </m:r>
      </m:oMath>
      <w:r>
        <w:rPr>
          <w:rFonts w:hint="eastAsia" w:ascii="Calibri" w:hAnsi="Calibri" w:cs="Times New Roman"/>
          <w:color w:val="auto"/>
          <w:sz w:val="24"/>
          <w:szCs w:val="22"/>
          <w:lang w:val="en-US" w:eastAsia="zh-CN" w:bidi="ar-SA"/>
        </w:rPr>
        <w:t xml:space="preserve">                   （8.3.12-5） </w:t>
      </w:r>
    </w:p>
    <w:p>
      <w:pPr>
        <w:pStyle w:val="46"/>
        <w:spacing w:after="0" w:line="360" w:lineRule="auto"/>
        <w:ind w:left="0" w:firstLine="960" w:firstLineChars="400"/>
        <w:rPr>
          <w:rFonts w:ascii="Calibri" w:hAnsi="Calibri" w:cs="Times New Roman"/>
          <w:color w:val="auto"/>
          <w:sz w:val="24"/>
          <w:szCs w:val="22"/>
          <w:lang w:val="en-US" w:eastAsia="zh-CN" w:bidi="ar-SA"/>
        </w:rPr>
      </w:pPr>
      <w:r>
        <w:rPr>
          <w:rFonts w:hint="eastAsia" w:ascii="Calibri" w:hAnsi="Calibri" w:cs="Times New Roman"/>
          <w:color w:val="auto"/>
          <w:sz w:val="24"/>
          <w:szCs w:val="22"/>
          <w:lang w:val="en-US" w:eastAsia="zh-CN" w:bidi="ar-SA"/>
        </w:rPr>
        <w:t xml:space="preserve">             </w:t>
      </w:r>
      <m:oMath>
        <m:sSub>
          <m:sSubPr>
            <m:ctrlPr>
              <w:rPr>
                <w:rFonts w:hint="eastAsia" w:ascii="Cambria Math" w:hAnsi="Calibri" w:cs="Times New Roman"/>
                <w:color w:val="auto"/>
                <w:sz w:val="32"/>
                <w:szCs w:val="32"/>
                <w:lang w:val="en-US" w:eastAsia="zh-CN" w:bidi="ar-SA"/>
              </w:rPr>
            </m:ctrlPr>
          </m:sSubPr>
          <m:e>
            <m:r>
              <m:rPr>
                <m:sty m:val="p"/>
              </m:rPr>
              <w:rPr>
                <w:rFonts w:ascii="Cambria Math" w:hAnsi="Cambria Math" w:cs="Times New Roman"/>
                <w:color w:val="auto"/>
                <w:sz w:val="32"/>
                <w:szCs w:val="32"/>
                <w:lang w:val="en-US" w:bidi="ar-SA"/>
              </w:rPr>
              <m:t>τ</m:t>
            </m:r>
            <m:ctrlPr>
              <w:rPr>
                <w:rFonts w:hint="eastAsia" w:ascii="Cambria Math" w:hAnsi="Calibri" w:cs="Times New Roman"/>
                <w:color w:val="auto"/>
                <w:sz w:val="32"/>
                <w:szCs w:val="32"/>
                <w:lang w:val="en-US" w:eastAsia="zh-CN" w:bidi="ar-SA"/>
              </w:rPr>
            </m:ctrlPr>
          </m:e>
          <m:sub>
            <m:r>
              <m:rPr>
                <m:sty m:val="p"/>
              </m:rPr>
              <w:rPr>
                <w:rFonts w:ascii="Cambria Math" w:hAnsi="Calibri" w:cs="Times New Roman"/>
                <w:color w:val="auto"/>
                <w:sz w:val="32"/>
                <w:szCs w:val="32"/>
                <w:lang w:val="en-US" w:eastAsia="zh-CN" w:bidi="ar-SA"/>
              </w:rPr>
              <m:t>2</m:t>
            </m:r>
            <m:ctrlPr>
              <w:rPr>
                <w:rFonts w:hint="eastAsia" w:ascii="Cambria Math" w:hAnsi="Calibri" w:cs="Times New Roman"/>
                <w:color w:val="auto"/>
                <w:sz w:val="32"/>
                <w:szCs w:val="32"/>
                <w:lang w:val="en-US" w:eastAsia="zh-CN" w:bidi="ar-SA"/>
              </w:rPr>
            </m:ctrlPr>
          </m:sub>
        </m:sSub>
        <m:r>
          <m:rPr>
            <m:sty m:val="p"/>
          </m:rPr>
          <w:rPr>
            <w:rFonts w:ascii="Cambria Math" w:hAnsi="Cambria Math" w:cs="Times New Roman"/>
            <w:color w:val="auto"/>
            <w:sz w:val="32"/>
            <w:szCs w:val="22"/>
            <w:lang w:val="en-US" w:eastAsia="zh-CN" w:bidi="ar-SA"/>
          </w:rPr>
          <m:t>=</m:t>
        </m:r>
        <m:f>
          <m:fPr>
            <m:ctrlPr>
              <w:rPr>
                <w:rFonts w:ascii="Cambria Math" w:hAnsi="Cambria Math" w:cs="Times New Roman"/>
                <w:color w:val="auto"/>
                <w:sz w:val="32"/>
                <w:szCs w:val="32"/>
                <w:lang w:val="en-US" w:eastAsia="zh-CN" w:bidi="ar-SA"/>
              </w:rPr>
            </m:ctrlPr>
          </m:fPr>
          <m:num>
            <m:r>
              <m:rPr>
                <m:sty m:val="p"/>
              </m:rPr>
              <w:rPr>
                <w:rFonts w:ascii="Cambria Math" w:hAnsi="Cambria Math" w:cs="Times New Roman"/>
                <w:color w:val="auto"/>
                <w:sz w:val="32"/>
                <w:szCs w:val="32"/>
                <w:lang w:val="en-US" w:eastAsia="zh-CN" w:bidi="ar-SA"/>
              </w:rPr>
              <m:t>1.25</m:t>
            </m:r>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bidi="ar-SA"/>
                  </w:rPr>
                  <m:t>γ</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0</m:t>
                </m:r>
                <m:ctrlPr>
                  <w:rPr>
                    <w:rFonts w:ascii="Cambria Math" w:hAnsi="Cambria Math" w:cs="Times New Roman"/>
                    <w:i/>
                    <w:color w:val="auto"/>
                    <w:sz w:val="32"/>
                    <w:szCs w:val="32"/>
                    <w:lang w:val="en-US" w:bidi="ar-SA"/>
                  </w:rPr>
                </m:ctrlPr>
              </m:sub>
            </m:sSub>
            <m:sSub>
              <m:sSubPr>
                <m:ctrlPr>
                  <w:rPr>
                    <w:rFonts w:ascii="Cambria Math" w:hAnsi="Cambria Math" w:cs="Times New Roman"/>
                    <w:i/>
                    <w:color w:val="auto"/>
                    <w:sz w:val="32"/>
                    <w:szCs w:val="32"/>
                    <w:lang w:val="en-US" w:bidi="ar-SA"/>
                  </w:rPr>
                </m:ctrlPr>
              </m:sSubPr>
              <m:e>
                <m:r>
                  <m:rPr/>
                  <w:rPr>
                    <w:rFonts w:ascii="Cambria Math" w:hAnsi="Cambria Math" w:cs="Times New Roman"/>
                    <w:color w:val="auto"/>
                    <w:sz w:val="32"/>
                    <w:szCs w:val="32"/>
                    <w:lang w:val="en-US" w:eastAsia="zh-CN" w:bidi="ar-SA"/>
                  </w:rPr>
                  <m:t>V</m:t>
                </m:r>
                <m:ctrlPr>
                  <w:rPr>
                    <w:rFonts w:ascii="Cambria Math" w:hAnsi="Cambria Math" w:cs="Times New Roman"/>
                    <w:i/>
                    <w:color w:val="auto"/>
                    <w:sz w:val="32"/>
                    <w:szCs w:val="32"/>
                    <w:lang w:val="en-US" w:bidi="ar-SA"/>
                  </w:rPr>
                </m:ctrlPr>
              </m:e>
              <m:sub>
                <m:r>
                  <m:rPr/>
                  <w:rPr>
                    <w:rFonts w:ascii="Cambria Math" w:hAnsi="Cambria Math" w:cs="Times New Roman"/>
                    <w:color w:val="auto"/>
                    <w:sz w:val="32"/>
                    <w:szCs w:val="32"/>
                    <w:lang w:val="en-US" w:eastAsia="zh-CN" w:bidi="ar-SA"/>
                  </w:rPr>
                  <m:t>2k</m:t>
                </m:r>
                <m:ctrlPr>
                  <w:rPr>
                    <w:rFonts w:ascii="Cambria Math" w:hAnsi="Cambria Math" w:cs="Times New Roman"/>
                    <w:i/>
                    <w:color w:val="auto"/>
                    <w:sz w:val="32"/>
                    <w:szCs w:val="32"/>
                    <w:lang w:val="en-US" w:bidi="ar-SA"/>
                  </w:rPr>
                </m:ctrlPr>
              </m:sub>
            </m:sSub>
            <m:ctrlPr>
              <w:rPr>
                <w:rFonts w:ascii="Cambria Math" w:hAnsi="Cambria Math" w:cs="Times New Roman"/>
                <w:color w:val="auto"/>
                <w:sz w:val="32"/>
                <w:szCs w:val="32"/>
                <w:lang w:val="en-US" w:eastAsia="zh-CN" w:bidi="ar-SA"/>
              </w:rPr>
            </m:ctrlPr>
          </m:num>
          <m:den>
            <m:sSub>
              <m:sSubPr>
                <m:ctrlPr>
                  <w:rPr>
                    <w:rFonts w:ascii="Cambria Math" w:hAnsi="Cambria Math" w:cs="Times New Roman"/>
                    <w:color w:val="auto"/>
                    <w:sz w:val="32"/>
                    <w:szCs w:val="32"/>
                    <w:lang w:val="en-US" w:eastAsia="zh-CN" w:bidi="ar-SA"/>
                  </w:rPr>
                </m:ctrlPr>
              </m:sSubPr>
              <m:e>
                <m:r>
                  <m:rPr/>
                  <w:rPr>
                    <w:rFonts w:ascii="Cambria Math" w:hAnsi="Cambria Math" w:cs="Times New Roman"/>
                    <w:color w:val="auto"/>
                    <w:sz w:val="32"/>
                    <w:szCs w:val="32"/>
                    <w:lang w:val="en-US" w:eastAsia="zh-CN" w:bidi="ar-SA"/>
                  </w:rPr>
                  <m:t>d</m:t>
                </m:r>
                <m:ctrlPr>
                  <w:rPr>
                    <w:rFonts w:ascii="Cambria Math" w:hAnsi="Cambria Math" w:cs="Times New Roman"/>
                    <w:color w:val="auto"/>
                    <w:sz w:val="32"/>
                    <w:szCs w:val="32"/>
                    <w:lang w:val="en-US" w:eastAsia="zh-CN" w:bidi="ar-SA"/>
                  </w:rPr>
                </m:ctrlPr>
              </m:e>
              <m:sub>
                <m:r>
                  <m:rPr>
                    <m:sty m:val="p"/>
                  </m:rPr>
                  <w:rPr>
                    <w:rFonts w:ascii="Cambria Math" w:hAnsi="Cambria Math" w:cs="Times New Roman"/>
                    <w:color w:val="auto"/>
                    <w:sz w:val="32"/>
                    <w:szCs w:val="32"/>
                    <w:lang w:val="en-US" w:eastAsia="zh-CN" w:bidi="ar-SA"/>
                  </w:rPr>
                  <m:t>e2</m:t>
                </m:r>
                <m:ctrlPr>
                  <w:rPr>
                    <w:rFonts w:ascii="Cambria Math" w:hAnsi="Cambria Math" w:cs="Times New Roman"/>
                    <w:color w:val="auto"/>
                    <w:sz w:val="32"/>
                    <w:szCs w:val="32"/>
                    <w:lang w:val="en-US" w:eastAsia="zh-CN" w:bidi="ar-SA"/>
                  </w:rPr>
                </m:ctrlPr>
              </m:sub>
            </m:sSub>
            <m:ctrlPr>
              <w:rPr>
                <w:rFonts w:ascii="Cambria Math" w:hAnsi="Cambria Math" w:cs="Times New Roman"/>
                <w:color w:val="auto"/>
                <w:sz w:val="32"/>
                <w:szCs w:val="32"/>
                <w:lang w:val="en-US" w:eastAsia="zh-CN" w:bidi="ar-SA"/>
              </w:rPr>
            </m:ctrlPr>
          </m:den>
        </m:f>
      </m:oMath>
      <w:r>
        <w:rPr>
          <w:rFonts w:hint="eastAsia" w:ascii="Calibri" w:hAnsi="Calibri" w:cs="Times New Roman"/>
          <w:color w:val="auto"/>
          <w:sz w:val="24"/>
          <w:szCs w:val="22"/>
          <w:lang w:val="en-US" w:eastAsia="zh-CN" w:bidi="ar-SA"/>
        </w:rPr>
        <w:t xml:space="preserve">             （8.3.12-6） </w:t>
      </w:r>
    </w:p>
    <w:p>
      <w:pPr>
        <w:pStyle w:val="46"/>
        <w:spacing w:after="0" w:line="360" w:lineRule="auto"/>
        <w:ind w:left="0" w:firstLine="0"/>
        <w:rPr>
          <w:rFonts w:ascii="Calibri" w:hAnsi="Calibri" w:cs="Times New Roman"/>
          <w:color w:val="auto"/>
          <w:sz w:val="24"/>
          <w:szCs w:val="22"/>
          <w:lang w:val="en-US" w:eastAsia="zh-CN" w:bidi="ar-SA"/>
        </w:rPr>
      </w:pPr>
      <w:r>
        <w:rPr>
          <w:rFonts w:hint="eastAsia"/>
          <w:color w:val="auto"/>
          <w:sz w:val="24"/>
          <w:szCs w:val="24"/>
          <w:lang w:val="en-US" w:eastAsia="zh-CN" w:bidi="en-US"/>
        </w:rPr>
        <w:t xml:space="preserve">                     </w:t>
      </w:r>
      <m:oMath>
        <m:sSub>
          <m:sSubPr>
            <m:ctrlPr>
              <w:rPr>
                <w:rFonts w:ascii="Cambria Math" w:hAnsi="Cambria Math" w:cs="Times New Roman"/>
                <w:i/>
                <w:color w:val="auto"/>
                <w:sz w:val="30"/>
                <w:szCs w:val="30"/>
                <w:lang w:val="en-US" w:bidi="ar-SA"/>
              </w:rPr>
            </m:ctrlPr>
          </m:sSubPr>
          <m:e>
            <m:r>
              <m:rPr/>
              <w:rPr>
                <w:rFonts w:ascii="Cambria Math" w:hAnsi="Cambria Math" w:cs="Times New Roman"/>
                <w:color w:val="auto"/>
                <w:sz w:val="30"/>
                <w:szCs w:val="30"/>
                <w:lang w:val="en-US" w:eastAsia="zh-CN" w:bidi="ar-SA"/>
              </w:rPr>
              <m:t>V</m:t>
            </m:r>
            <m:ctrlPr>
              <w:rPr>
                <w:rFonts w:ascii="Cambria Math" w:hAnsi="Cambria Math" w:cs="Times New Roman"/>
                <w:i/>
                <w:color w:val="auto"/>
                <w:sz w:val="30"/>
                <w:szCs w:val="30"/>
                <w:lang w:val="en-US" w:bidi="ar-SA"/>
              </w:rPr>
            </m:ctrlPr>
          </m:e>
          <m:sub>
            <m:r>
              <m:rPr/>
              <w:rPr>
                <w:rFonts w:ascii="Cambria Math" w:hAnsi="Cambria Math" w:cs="Times New Roman"/>
                <w:color w:val="auto"/>
                <w:sz w:val="30"/>
                <w:szCs w:val="30"/>
                <w:lang w:val="en-US" w:eastAsia="zh-CN" w:bidi="ar-SA"/>
              </w:rPr>
              <m:t>2k</m:t>
            </m:r>
            <m:ctrlPr>
              <w:rPr>
                <w:rFonts w:ascii="Cambria Math" w:hAnsi="Cambria Math" w:cs="Times New Roman"/>
                <w:i/>
                <w:color w:val="auto"/>
                <w:sz w:val="30"/>
                <w:szCs w:val="30"/>
                <w:lang w:val="en-US" w:bidi="ar-SA"/>
              </w:rPr>
            </m:ctrlPr>
          </m:sub>
        </m:sSub>
      </m:oMath>
      <w:r>
        <w:rPr>
          <w:rFonts w:hint="eastAsia" w:hAnsi="Cambria Math" w:cs="Times New Roman"/>
          <w:color w:val="auto"/>
          <w:sz w:val="30"/>
          <w:szCs w:val="30"/>
          <w:lang w:val="en-US" w:eastAsia="zh-CN" w:bidi="ar-SA"/>
        </w:rPr>
        <w:t>=</w:t>
      </w:r>
      <w:r>
        <w:rPr>
          <w:rFonts w:hint="eastAsia" w:hAnsi="Cambria Math" w:cs="Times New Roman"/>
          <w:i/>
          <w:iCs/>
          <w:color w:val="auto"/>
          <w:sz w:val="30"/>
          <w:szCs w:val="30"/>
          <w:lang w:val="en-US" w:eastAsia="zh-CN" w:bidi="ar-SA"/>
        </w:rPr>
        <w:t>q</w:t>
      </w:r>
      <w:r>
        <w:rPr>
          <w:rFonts w:hint="eastAsia" w:hAnsi="Cambria Math" w:cs="Times New Roman"/>
          <w:color w:val="auto"/>
          <w:sz w:val="30"/>
          <w:szCs w:val="30"/>
          <w:vertAlign w:val="subscript"/>
          <w:lang w:val="en-US" w:eastAsia="zh-CN" w:bidi="ar-SA"/>
        </w:rPr>
        <w:t>k</w:t>
      </w:r>
      <w:r>
        <w:rPr>
          <w:rFonts w:hint="eastAsia" w:hAnsi="Cambria Math" w:cs="Times New Roman"/>
          <w:i/>
          <w:iCs/>
          <w:color w:val="auto"/>
          <w:sz w:val="30"/>
          <w:szCs w:val="30"/>
          <w:lang w:val="en-US" w:eastAsia="zh-CN" w:bidi="ar-SA"/>
        </w:rPr>
        <w:t>L</w:t>
      </w:r>
      <w:r>
        <w:rPr>
          <w:rFonts w:hint="eastAsia" w:hAnsi="Cambria Math" w:cs="Times New Roman"/>
          <w:color w:val="auto"/>
          <w:sz w:val="30"/>
          <w:szCs w:val="30"/>
          <w:vertAlign w:val="subscript"/>
          <w:lang w:val="en-US" w:eastAsia="zh-CN" w:bidi="ar-SA"/>
        </w:rPr>
        <w:t>2</w:t>
      </w:r>
      <w:r>
        <w:rPr>
          <w:rFonts w:hint="eastAsia" w:hAnsi="Cambria Math" w:cs="Times New Roman"/>
          <w:color w:val="auto"/>
          <w:sz w:val="30"/>
          <w:szCs w:val="30"/>
          <w:lang w:val="en-US" w:eastAsia="zh-CN" w:bidi="ar-SA"/>
        </w:rPr>
        <w:t xml:space="preserve">/2  </w:t>
      </w:r>
      <w:r>
        <w:rPr>
          <w:rFonts w:hint="eastAsia" w:hAnsi="Cambria Math" w:cs="Times New Roman"/>
          <w:color w:val="auto"/>
          <w:sz w:val="30"/>
          <w:szCs w:val="32"/>
          <w:lang w:val="en-US" w:eastAsia="zh-CN" w:bidi="ar-SA"/>
        </w:rPr>
        <w:t xml:space="preserve">           </w:t>
      </w:r>
      <w:r>
        <w:rPr>
          <w:rFonts w:hint="eastAsia" w:ascii="Calibri" w:hAnsi="Calibri" w:cs="Times New Roman"/>
          <w:color w:val="auto"/>
          <w:sz w:val="24"/>
          <w:szCs w:val="22"/>
          <w:lang w:val="en-US" w:eastAsia="zh-CN" w:bidi="ar-SA"/>
        </w:rPr>
        <w:t>（8.3.12-7）</w:t>
      </w:r>
    </w:p>
    <w:p>
      <w:pPr>
        <w:pStyle w:val="46"/>
        <w:spacing w:after="0" w:line="360" w:lineRule="auto"/>
        <w:ind w:left="0" w:firstLine="480" w:firstLineChars="200"/>
        <w:jc w:val="left"/>
        <w:rPr>
          <w:rFonts w:hint="eastAsia" w:ascii="Cambria Math" w:hAnsi="Cambria Math" w:cs="Times New Roman"/>
          <w:iCs/>
          <w:color w:val="auto"/>
          <w:sz w:val="24"/>
          <w:szCs w:val="24"/>
          <w:lang w:val="en-US" w:bidi="ar-SA"/>
        </w:rPr>
      </w:pPr>
      <w:r>
        <w:rPr>
          <w:rFonts w:hint="eastAsia" w:ascii="Cambria Math" w:hAnsi="Cambria Math" w:cs="Times New Roman"/>
          <w:iCs/>
          <w:color w:val="auto"/>
          <w:sz w:val="24"/>
          <w:szCs w:val="24"/>
          <w:lang w:val="en-US" w:eastAsia="zh-CN" w:bidi="ar-SA"/>
        </w:rPr>
        <w:t xml:space="preserve">  </w:t>
      </w:r>
      <w:r>
        <w:rPr>
          <w:rFonts w:ascii="Cambria Math" w:hAnsi="Cambria Math" w:cs="Times New Roman"/>
          <w:iCs/>
          <w:color w:val="auto"/>
          <w:sz w:val="24"/>
          <w:szCs w:val="24"/>
          <w:lang w:val="en-US" w:bidi="ar-SA"/>
        </w:rPr>
        <w:t>式中：</w:t>
      </w:r>
      <w:r>
        <w:rPr>
          <w:rFonts w:hint="eastAsia" w:ascii="Cambria Math" w:hAnsi="Cambria Math" w:cs="Times New Roman"/>
          <w:iCs/>
          <w:color w:val="auto"/>
          <w:sz w:val="24"/>
          <w:szCs w:val="24"/>
          <w:lang w:val="en-US" w:eastAsia="zh-CN" w:bidi="ar-SA"/>
        </w:rPr>
        <w:t xml:space="preserve">  </w:t>
      </w:r>
      <m:oMath>
        <m:sSub>
          <m:sSubPr>
            <m:ctrlPr>
              <w:rPr>
                <w:rFonts w:hint="eastAsia" w:ascii="Cambria Math" w:hAnsi="Calibri" w:cs="Times New Roman"/>
                <w:color w:val="auto"/>
                <w:sz w:val="30"/>
                <w:szCs w:val="30"/>
                <w:lang w:val="en-US" w:eastAsia="zh-CN" w:bidi="ar-SA"/>
              </w:rPr>
            </m:ctrlPr>
          </m:sSubPr>
          <m:e>
            <m:r>
              <m:rPr>
                <m:sty m:val="p"/>
              </m:rPr>
              <w:rPr>
                <w:rFonts w:ascii="Cambria Math" w:hAnsi="Cambria Math" w:cs="Times New Roman"/>
                <w:color w:val="auto"/>
                <w:sz w:val="30"/>
                <w:szCs w:val="30"/>
                <w:lang w:val="en-US" w:bidi="ar-SA"/>
              </w:rPr>
              <m:t>τ</m:t>
            </m:r>
            <m:ctrlPr>
              <w:rPr>
                <w:rFonts w:hint="eastAsia" w:ascii="Cambria Math" w:hAnsi="Calibri" w:cs="Times New Roman"/>
                <w:color w:val="auto"/>
                <w:sz w:val="30"/>
                <w:szCs w:val="30"/>
                <w:lang w:val="en-US" w:eastAsia="zh-CN" w:bidi="ar-SA"/>
              </w:rPr>
            </m:ctrlPr>
          </m:e>
          <m:sub>
            <m:r>
              <m:rPr>
                <m:sty m:val="p"/>
              </m:rPr>
              <w:rPr>
                <w:rFonts w:ascii="Cambria Math" w:hAnsi="Calibri" w:cs="Times New Roman"/>
                <w:color w:val="auto"/>
                <w:sz w:val="30"/>
                <w:szCs w:val="30"/>
                <w:lang w:val="en-US" w:eastAsia="zh-CN" w:bidi="ar-SA"/>
              </w:rPr>
              <m:t>2</m:t>
            </m:r>
            <m:ctrlPr>
              <w:rPr>
                <w:rFonts w:hint="eastAsia" w:ascii="Cambria Math" w:hAnsi="Calibri" w:cs="Times New Roman"/>
                <w:color w:val="auto"/>
                <w:sz w:val="30"/>
                <w:szCs w:val="30"/>
                <w:lang w:val="en-US" w:eastAsia="zh-CN" w:bidi="ar-SA"/>
              </w:rPr>
            </m:ctrlPr>
          </m:sub>
        </m:sSub>
      </m:oMath>
      <w:r>
        <w:rPr>
          <w:rFonts w:ascii="Cambria Math" w:hAnsi="Cambria Math" w:cs="Times New Roman"/>
          <w:iCs/>
          <w:color w:val="auto"/>
          <w:sz w:val="24"/>
          <w:szCs w:val="24"/>
          <w:lang w:val="en-US" w:bidi="ar-SA"/>
        </w:rPr>
        <w:t>—作用于水泥土</w:t>
      </w:r>
      <w:r>
        <w:rPr>
          <w:rFonts w:hint="eastAsia" w:ascii="Cambria Math" w:hAnsi="Cambria Math" w:cs="Times New Roman"/>
          <w:iCs/>
          <w:color w:val="auto"/>
          <w:sz w:val="24"/>
          <w:szCs w:val="24"/>
          <w:lang w:val="en-US" w:eastAsia="zh-CN" w:bidi="ar-SA"/>
        </w:rPr>
        <w:t>最薄弱截面处的局部</w:t>
      </w:r>
      <w:r>
        <w:rPr>
          <w:rFonts w:ascii="Cambria Math" w:hAnsi="Cambria Math" w:cs="Times New Roman"/>
          <w:iCs/>
          <w:color w:val="auto"/>
          <w:sz w:val="24"/>
          <w:szCs w:val="24"/>
          <w:lang w:val="en-US" w:bidi="ar-SA"/>
        </w:rPr>
        <w:t>剪应力设计值</w:t>
      </w:r>
      <w:r>
        <w:rPr>
          <w:rFonts w:ascii="Cambria Math" w:hAnsi="Cambria Math" w:cs="Times New Roman"/>
          <w:iCs/>
          <w:color w:val="auto"/>
          <w:sz w:val="24"/>
          <w:szCs w:val="24"/>
          <w:lang w:val="en-US" w:eastAsia="zh-CN" w:bidi="ar-SA"/>
        </w:rPr>
        <w:t>(N/ 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Cambria Math" w:hAnsi="Cambria Math" w:cs="Times New Roman"/>
          <w:iCs/>
          <w:color w:val="auto"/>
          <w:sz w:val="24"/>
          <w:szCs w:val="24"/>
          <w:lang w:val="en-US" w:bidi="ar-SA"/>
        </w:rPr>
        <w:t>)；</w:t>
      </w:r>
    </w:p>
    <w:p>
      <w:pPr>
        <w:pStyle w:val="46"/>
        <w:spacing w:after="0" w:line="360" w:lineRule="auto"/>
        <w:ind w:left="2400" w:leftChars="625" w:hanging="900" w:hangingChars="300"/>
        <w:jc w:val="left"/>
        <w:rPr>
          <w:rFonts w:hint="eastAsia" w:ascii="Cambria Math" w:hAnsi="Cambria Math" w:cs="Times New Roman"/>
          <w:iCs/>
          <w:color w:val="auto"/>
          <w:sz w:val="24"/>
          <w:szCs w:val="24"/>
          <w:lang w:val="en-US" w:bidi="ar-SA"/>
        </w:rPr>
      </w:pPr>
      <m:oMath>
        <m:sSub>
          <m:sSubPr>
            <m:ctrlPr>
              <w:rPr>
                <w:rFonts w:ascii="Cambria Math" w:hAnsi="Cambria Math" w:cs="Times New Roman"/>
                <w:i/>
                <w:color w:val="auto"/>
                <w:sz w:val="30"/>
                <w:szCs w:val="30"/>
                <w:lang w:val="en-US" w:bidi="ar-SA"/>
              </w:rPr>
            </m:ctrlPr>
          </m:sSubPr>
          <m:e>
            <m:r>
              <m:rPr/>
              <w:rPr>
                <w:rFonts w:ascii="Cambria Math" w:hAnsi="Cambria Math" w:cs="Times New Roman"/>
                <w:color w:val="auto"/>
                <w:sz w:val="30"/>
                <w:szCs w:val="30"/>
                <w:lang w:val="en-US" w:eastAsia="zh-CN" w:bidi="ar-SA"/>
              </w:rPr>
              <m:t>V</m:t>
            </m:r>
            <m:ctrlPr>
              <w:rPr>
                <w:rFonts w:ascii="Cambria Math" w:hAnsi="Cambria Math" w:cs="Times New Roman"/>
                <w:i/>
                <w:color w:val="auto"/>
                <w:sz w:val="30"/>
                <w:szCs w:val="30"/>
                <w:lang w:val="en-US" w:bidi="ar-SA"/>
              </w:rPr>
            </m:ctrlPr>
          </m:e>
          <m:sub>
            <m:r>
              <m:rPr/>
              <w:rPr>
                <w:rFonts w:ascii="Cambria Math" w:hAnsi="Cambria Math" w:cs="Times New Roman"/>
                <w:color w:val="auto"/>
                <w:sz w:val="30"/>
                <w:szCs w:val="30"/>
                <w:lang w:val="en-US" w:eastAsia="zh-CN" w:bidi="ar-SA"/>
              </w:rPr>
              <m:t>1k</m:t>
            </m:r>
            <m:ctrlPr>
              <w:rPr>
                <w:rFonts w:ascii="Cambria Math" w:hAnsi="Cambria Math" w:cs="Times New Roman"/>
                <w:i/>
                <w:color w:val="auto"/>
                <w:sz w:val="30"/>
                <w:szCs w:val="30"/>
                <w:lang w:val="en-US" w:bidi="ar-SA"/>
              </w:rPr>
            </m:ctrlPr>
          </m:sub>
        </m:sSub>
      </m:oMath>
      <w:r>
        <w:rPr>
          <w:rFonts w:ascii="Cambria Math" w:hAnsi="Cambria Math" w:cs="Times New Roman"/>
          <w:iCs/>
          <w:color w:val="auto"/>
          <w:sz w:val="24"/>
          <w:szCs w:val="24"/>
          <w:lang w:val="en-US" w:bidi="ar-SA"/>
        </w:rPr>
        <w:t>—作用于水泥土</w:t>
      </w:r>
      <w:r>
        <w:rPr>
          <w:rFonts w:hint="eastAsia" w:ascii="Cambria Math" w:hAnsi="Cambria Math" w:cs="Times New Roman"/>
          <w:iCs/>
          <w:color w:val="auto"/>
          <w:sz w:val="24"/>
          <w:szCs w:val="24"/>
          <w:lang w:val="en-US" w:eastAsia="zh-CN" w:bidi="ar-SA"/>
        </w:rPr>
        <w:t>最薄弱截面处</w:t>
      </w:r>
      <w:r>
        <w:rPr>
          <w:rFonts w:ascii="Cambria Math" w:hAnsi="Cambria Math" w:cs="Times New Roman"/>
          <w:iCs/>
          <w:color w:val="auto"/>
          <w:sz w:val="24"/>
          <w:szCs w:val="24"/>
          <w:lang w:val="en-US" w:bidi="ar-SA"/>
        </w:rPr>
        <w:t>单位深度范围内的剪力标准值</w:t>
      </w:r>
      <w:r>
        <w:rPr>
          <w:rFonts w:ascii="Cambria Math" w:hAnsi="Cambria Math" w:cs="Times New Roman"/>
          <w:iCs/>
          <w:color w:val="auto"/>
          <w:sz w:val="24"/>
          <w:szCs w:val="24"/>
          <w:lang w:val="en-US" w:eastAsia="zh-CN" w:bidi="ar-SA"/>
        </w:rPr>
        <w:t>(N/mm)；</w:t>
      </w:r>
    </w:p>
    <w:p>
      <w:pPr>
        <w:pStyle w:val="46"/>
        <w:spacing w:after="0" w:line="360" w:lineRule="auto"/>
        <w:ind w:left="0" w:firstLine="1500" w:firstLineChars="500"/>
        <w:jc w:val="left"/>
        <w:rPr>
          <w:rFonts w:hint="eastAsia" w:ascii="Cambria Math" w:hAnsi="Cambria Math" w:cs="Times New Roman"/>
          <w:iCs/>
          <w:color w:val="auto"/>
          <w:sz w:val="24"/>
          <w:szCs w:val="24"/>
          <w:lang w:val="en-US" w:bidi="ar-SA"/>
        </w:rPr>
      </w:pPr>
      <w:r>
        <w:rPr>
          <w:rFonts w:hint="eastAsia" w:hAnsi="Cambria Math" w:cs="Times New Roman"/>
          <w:i/>
          <w:iCs/>
          <w:color w:val="auto"/>
          <w:sz w:val="30"/>
          <w:szCs w:val="30"/>
          <w:lang w:val="en-US" w:eastAsia="zh-CN" w:bidi="ar-SA"/>
        </w:rPr>
        <w:t>L</w:t>
      </w:r>
      <w:r>
        <w:rPr>
          <w:rFonts w:hint="eastAsia" w:hAnsi="Cambria Math" w:cs="Times New Roman"/>
          <w:color w:val="auto"/>
          <w:sz w:val="30"/>
          <w:szCs w:val="30"/>
          <w:vertAlign w:val="subscript"/>
          <w:lang w:val="en-US" w:eastAsia="zh-CN" w:bidi="ar-SA"/>
        </w:rPr>
        <w:t>2</w:t>
      </w:r>
      <w:r>
        <w:rPr>
          <w:rFonts w:ascii="Cambria Math" w:hAnsi="Cambria Math" w:cs="Times New Roman"/>
          <w:iCs/>
          <w:color w:val="auto"/>
          <w:sz w:val="24"/>
          <w:szCs w:val="24"/>
          <w:lang w:val="en-US" w:bidi="ar-SA"/>
        </w:rPr>
        <w:t>—水泥土相邻</w:t>
      </w:r>
      <w:r>
        <w:rPr>
          <w:rFonts w:hint="eastAsia" w:ascii="Cambria Math" w:hAnsi="Cambria Math" w:cs="Times New Roman"/>
          <w:iCs/>
          <w:color w:val="auto"/>
          <w:sz w:val="24"/>
          <w:szCs w:val="24"/>
          <w:lang w:val="en-US" w:eastAsia="zh-CN" w:bidi="ar-SA"/>
        </w:rPr>
        <w:t>最薄弱截面</w:t>
      </w:r>
      <w:r>
        <w:rPr>
          <w:rFonts w:ascii="Cambria Math" w:hAnsi="Cambria Math" w:cs="Times New Roman"/>
          <w:iCs/>
          <w:color w:val="auto"/>
          <w:sz w:val="24"/>
          <w:szCs w:val="24"/>
          <w:lang w:val="en-US" w:bidi="ar-SA"/>
        </w:rPr>
        <w:t>的净距</w:t>
      </w:r>
      <w:r>
        <w:rPr>
          <w:rFonts w:ascii="Cambria Math" w:hAnsi="Cambria Math" w:cs="Times New Roman"/>
          <w:iCs/>
          <w:color w:val="auto"/>
          <w:sz w:val="24"/>
          <w:szCs w:val="24"/>
          <w:lang w:val="en-US" w:eastAsia="zh-CN" w:bidi="ar-SA"/>
        </w:rPr>
        <w:t>(mm)；</w:t>
      </w:r>
    </w:p>
    <w:p>
      <w:pPr>
        <w:pStyle w:val="46"/>
        <w:spacing w:after="0" w:line="360" w:lineRule="auto"/>
        <w:ind w:left="0" w:firstLine="1440" w:firstLineChars="600"/>
        <w:jc w:val="left"/>
        <w:rPr>
          <w:rFonts w:hint="eastAsia" w:ascii="Cambria Math" w:hAnsi="Cambria Math" w:cs="Times New Roman"/>
          <w:iCs/>
          <w:color w:val="auto"/>
          <w:sz w:val="24"/>
          <w:szCs w:val="24"/>
          <w:lang w:val="en-US" w:eastAsia="zh-CN" w:bidi="ar-SA"/>
        </w:rPr>
      </w:pPr>
      <m:oMath>
        <m:sSub>
          <m:sSubPr>
            <m:ctrlPr>
              <w:rPr>
                <w:rFonts w:ascii="Cambria Math" w:hAnsi="Cambria Math" w:cs="Times New Roman"/>
                <w:color w:val="auto"/>
                <w:sz w:val="24"/>
                <w:szCs w:val="24"/>
                <w:lang w:val="en-US" w:eastAsia="zh-CN" w:bidi="ar-SA"/>
              </w:rPr>
            </m:ctrlPr>
          </m:sSubPr>
          <m:e>
            <m:r>
              <m:rPr/>
              <w:rPr>
                <w:rFonts w:ascii="Cambria Math" w:hAnsi="Cambria Math" w:cs="Times New Roman"/>
                <w:color w:val="auto"/>
                <w:sz w:val="24"/>
                <w:szCs w:val="24"/>
                <w:lang w:val="en-US" w:eastAsia="zh-CN" w:bidi="ar-SA"/>
              </w:rPr>
              <m:t>d</m:t>
            </m:r>
            <m:ctrlPr>
              <w:rPr>
                <w:rFonts w:ascii="Cambria Math" w:hAnsi="Cambria Math" w:cs="Times New Roman"/>
                <w:color w:val="auto"/>
                <w:sz w:val="24"/>
                <w:szCs w:val="24"/>
                <w:lang w:val="en-US" w:eastAsia="zh-CN" w:bidi="ar-SA"/>
              </w:rPr>
            </m:ctrlPr>
          </m:e>
          <m:sub>
            <m:r>
              <m:rPr>
                <m:sty m:val="p"/>
              </m:rPr>
              <w:rPr>
                <w:rFonts w:ascii="Cambria Math" w:hAnsi="Cambria Math" w:cs="Times New Roman"/>
                <w:color w:val="auto"/>
                <w:sz w:val="24"/>
                <w:szCs w:val="24"/>
                <w:lang w:val="en-US" w:eastAsia="zh-CN" w:bidi="ar-SA"/>
              </w:rPr>
              <m:t>e2</m:t>
            </m:r>
            <m:ctrlPr>
              <w:rPr>
                <w:rFonts w:ascii="Cambria Math" w:hAnsi="Cambria Math" w:cs="Times New Roman"/>
                <w:color w:val="auto"/>
                <w:sz w:val="24"/>
                <w:szCs w:val="24"/>
                <w:lang w:val="en-US" w:eastAsia="zh-CN" w:bidi="ar-SA"/>
              </w:rPr>
            </m:ctrlPr>
          </m:sub>
        </m:sSub>
      </m:oMath>
      <w:r>
        <w:rPr>
          <w:rFonts w:ascii="Cambria Math" w:hAnsi="Cambria Math" w:cs="Times New Roman"/>
          <w:iCs/>
          <w:color w:val="auto"/>
          <w:sz w:val="24"/>
          <w:szCs w:val="24"/>
          <w:lang w:val="en-US" w:bidi="ar-SA"/>
        </w:rPr>
        <w:t>—水泥土型钢翼缘处墙体的有效厚度</w:t>
      </w:r>
      <w:r>
        <w:rPr>
          <w:rFonts w:ascii="Cambria Math" w:hAnsi="Cambria Math" w:cs="Times New Roman"/>
          <w:iCs/>
          <w:color w:val="auto"/>
          <w:sz w:val="24"/>
          <w:szCs w:val="24"/>
          <w:lang w:val="en-US" w:eastAsia="zh-CN" w:bidi="ar-SA"/>
        </w:rPr>
        <w:t>(m</w:t>
      </w:r>
      <w:r>
        <w:rPr>
          <w:rFonts w:hint="eastAsia" w:ascii="Times New Roman" w:hAnsi="Times New Roman" w:cs="Times New Roman"/>
          <w:color w:val="auto"/>
          <w:sz w:val="24"/>
          <w:szCs w:val="24"/>
          <w:lang w:val="en-US" w:eastAsia="zh-CN" w:bidi="en-US"/>
        </w:rPr>
        <w:t>m</w:t>
      </w:r>
      <w:r>
        <w:rPr>
          <w:rFonts w:hint="eastAsia" w:ascii="Times New Roman" w:hAnsi="Times New Roman" w:cs="Times New Roman"/>
          <w:color w:val="auto"/>
          <w:sz w:val="24"/>
          <w:szCs w:val="24"/>
          <w:vertAlign w:val="superscript"/>
          <w:lang w:val="en-US" w:eastAsia="zh-CN" w:bidi="en-US"/>
        </w:rPr>
        <w:t>2</w:t>
      </w:r>
      <w:r>
        <w:rPr>
          <w:rFonts w:ascii="Cambria Math" w:hAnsi="Cambria Math" w:cs="Times New Roman"/>
          <w:iCs/>
          <w:color w:val="auto"/>
          <w:sz w:val="24"/>
          <w:szCs w:val="24"/>
          <w:lang w:val="en-US" w:eastAsia="zh-CN" w:bidi="ar-SA"/>
        </w:rPr>
        <w:t>)</w:t>
      </w:r>
      <w:r>
        <w:rPr>
          <w:rFonts w:hint="eastAsia" w:ascii="Cambria Math" w:hAnsi="Cambria Math" w:cs="Times New Roman"/>
          <w:iCs/>
          <w:color w:val="auto"/>
          <w:sz w:val="24"/>
          <w:szCs w:val="24"/>
          <w:lang w:val="en-US" w:eastAsia="zh-CN" w:bidi="ar-SA"/>
        </w:rPr>
        <w:t>。</w:t>
      </w:r>
    </w:p>
    <w:p>
      <w:pPr>
        <w:bidi w:val="0"/>
        <w:jc w:val="center"/>
        <w:rPr>
          <w:rFonts w:hint="eastAsia"/>
          <w:b/>
          <w:bCs/>
          <w:color w:val="auto"/>
          <w:sz w:val="28"/>
          <w:szCs w:val="24"/>
          <w:lang w:val="en-US" w:eastAsia="zh-CN"/>
        </w:rPr>
      </w:pPr>
      <w:r>
        <w:rPr>
          <w:rFonts w:hint="eastAsia" w:ascii="Calibri" w:eastAsia="宋体"/>
          <w:b/>
          <w:bCs/>
          <w:color w:val="auto"/>
          <w:sz w:val="28"/>
          <w:szCs w:val="24"/>
          <w:lang w:val="en-US" w:eastAsia="zh-CN"/>
        </w:rPr>
        <w:t>Ⅲ 构造</w:t>
      </w:r>
    </w:p>
    <w:p>
      <w:pPr>
        <w:pStyle w:val="46"/>
        <w:spacing w:after="0" w:line="360" w:lineRule="auto"/>
        <w:ind w:left="0" w:leftChars="0" w:firstLine="0" w:firstLineChars="0"/>
        <w:rPr>
          <w:rFonts w:hint="eastAsia" w:ascii="Times New Roman" w:hAnsi="Times New Roman" w:cs="Times New Roman"/>
          <w:b w:val="0"/>
          <w:bCs/>
          <w:color w:val="auto"/>
          <w:sz w:val="24"/>
          <w:szCs w:val="22"/>
          <w:lang w:val="en-US" w:eastAsia="zh-CN" w:bidi="ar-SA"/>
        </w:rPr>
      </w:pPr>
      <w:bookmarkStart w:id="507" w:name="_Toc14592"/>
      <w:bookmarkStart w:id="508" w:name="_Toc22047"/>
      <w:r>
        <w:rPr>
          <w:rFonts w:hint="eastAsia" w:ascii="Times New Roman" w:hAnsi="Times New Roman" w:cs="Times New Roman"/>
          <w:b/>
          <w:color w:val="auto"/>
          <w:sz w:val="24"/>
          <w:szCs w:val="22"/>
          <w:lang w:val="en-US" w:eastAsia="zh-CN" w:bidi="ar-SA"/>
        </w:rPr>
        <w:t xml:space="preserve">8.3.13  </w:t>
      </w:r>
      <w:r>
        <w:rPr>
          <w:rFonts w:hint="eastAsia" w:ascii="Times New Roman" w:hAnsi="Times New Roman" w:cs="Times New Roman"/>
          <w:b w:val="0"/>
          <w:bCs/>
          <w:color w:val="auto"/>
          <w:sz w:val="24"/>
          <w:szCs w:val="22"/>
          <w:lang w:val="en-US" w:eastAsia="zh-CN" w:bidi="ar-SA"/>
        </w:rPr>
        <w:t>型钢水泥土搅拌墙中的搅拌桩应符合下列规定:</w:t>
      </w:r>
      <w:bookmarkEnd w:id="507"/>
      <w:bookmarkEnd w:id="508"/>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zh-CN" w:eastAsia="zh-CN" w:bidi="ar-SA"/>
        </w:rPr>
        <w:t>1</w:t>
      </w:r>
      <w:r>
        <w:rPr>
          <w:rFonts w:ascii="Calibri" w:hAnsi="Calibri" w:cs="Times New Roman"/>
          <w:color w:val="auto"/>
          <w:sz w:val="24"/>
          <w:szCs w:val="22"/>
          <w:lang w:val="en-US" w:eastAsia="zh-CN" w:bidi="ar-SA"/>
        </w:rPr>
        <w:t>当搅拌桩达到设计强度，</w:t>
      </w:r>
      <w:r>
        <w:rPr>
          <w:rFonts w:ascii="Calibri" w:hAnsi="Calibri" w:cs="Times New Roman"/>
          <w:b/>
          <w:bCs/>
          <w:color w:val="auto"/>
          <w:sz w:val="24"/>
          <w:szCs w:val="22"/>
          <w:u w:val="single"/>
          <w:lang w:val="en-US" w:eastAsia="zh-CN" w:bidi="ar-SA"/>
        </w:rPr>
        <w:t>且</w:t>
      </w:r>
      <w:r>
        <w:rPr>
          <w:rFonts w:ascii="Calibri" w:hAnsi="Calibri" w:cs="Times New Roman"/>
          <w:color w:val="auto"/>
          <w:sz w:val="24"/>
          <w:szCs w:val="22"/>
          <w:lang w:val="en-US" w:eastAsia="zh-CN" w:bidi="ar-SA"/>
        </w:rPr>
        <w:t>龄期不小于28d后方可进行基坑开挖；</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2搅拌桩的入土深度宜比型钢的插入深度深0.5m〜1.0m；</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3搅拌桩体的垂直度不应大于1/200。</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8.3.14  </w:t>
      </w:r>
      <w:r>
        <w:rPr>
          <w:rFonts w:ascii="Calibri" w:hAnsi="Calibri" w:cs="Times New Roman"/>
          <w:color w:val="auto"/>
          <w:sz w:val="24"/>
          <w:szCs w:val="22"/>
          <w:lang w:val="en-US" w:eastAsia="zh-CN" w:bidi="ar-SA"/>
        </w:rPr>
        <w:t>型钢水泥土搅拌墙中内插劲性芯材宜采用H型钢，H型 钢截面型号宜按下列规定选用：</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bidi="ar-SA"/>
        </w:rPr>
        <w:t>1当搅拌桩直径为</w:t>
      </w:r>
      <w:r>
        <w:rPr>
          <w:rFonts w:ascii="Calibri" w:hAnsi="Calibri" w:cs="Times New Roman"/>
          <w:color w:val="auto"/>
          <w:sz w:val="24"/>
          <w:szCs w:val="22"/>
          <w:lang w:val="en-US" w:eastAsia="zh-CN" w:bidi="ar-SA"/>
        </w:rPr>
        <w:t>650mm</w:t>
      </w:r>
      <w:r>
        <w:rPr>
          <w:rFonts w:ascii="Calibri" w:hAnsi="Calibri" w:cs="Times New Roman"/>
          <w:color w:val="auto"/>
          <w:sz w:val="24"/>
          <w:szCs w:val="22"/>
          <w:lang w:bidi="ar-SA"/>
        </w:rPr>
        <w:t>时，内插</w:t>
      </w:r>
      <w:r>
        <w:rPr>
          <w:rFonts w:ascii="Calibri" w:hAnsi="Calibri" w:cs="Times New Roman"/>
          <w:color w:val="auto"/>
          <w:sz w:val="24"/>
          <w:szCs w:val="22"/>
          <w:lang w:val="en-US" w:eastAsia="zh-CN" w:bidi="ar-SA"/>
        </w:rPr>
        <w:t>H</w:t>
      </w:r>
      <w:r>
        <w:rPr>
          <w:rFonts w:ascii="Calibri" w:hAnsi="Calibri" w:cs="Times New Roman"/>
          <w:color w:val="auto"/>
          <w:sz w:val="24"/>
          <w:szCs w:val="22"/>
          <w:lang w:bidi="ar-SA"/>
        </w:rPr>
        <w:t xml:space="preserve">型钢截面宜釆用 </w:t>
      </w:r>
      <w:r>
        <w:rPr>
          <w:rFonts w:ascii="Calibri" w:hAnsi="Calibri" w:cs="Times New Roman"/>
          <w:color w:val="auto"/>
          <w:sz w:val="24"/>
          <w:szCs w:val="22"/>
          <w:lang w:val="en-US" w:eastAsia="zh-CN" w:bidi="ar-SA"/>
        </w:rPr>
        <w:t>H500X300, H500X200；</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2当搅拌桩直径为850mm时，内插H型钢截面宜釆用 H700X300；</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bidi="ar-SA"/>
        </w:rPr>
        <w:t>3当搅拌桩直径为</w:t>
      </w:r>
      <w:r>
        <w:rPr>
          <w:rFonts w:ascii="Calibri" w:hAnsi="Calibri" w:cs="Times New Roman"/>
          <w:color w:val="auto"/>
          <w:sz w:val="24"/>
          <w:szCs w:val="22"/>
          <w:lang w:val="en-US" w:eastAsia="zh-CN" w:bidi="ar-SA"/>
        </w:rPr>
        <w:t>1000mm</w:t>
      </w:r>
      <w:r>
        <w:rPr>
          <w:rFonts w:ascii="Calibri" w:hAnsi="Calibri" w:cs="Times New Roman"/>
          <w:color w:val="auto"/>
          <w:sz w:val="24"/>
          <w:szCs w:val="22"/>
          <w:lang w:bidi="ar-SA"/>
        </w:rPr>
        <w:t>时，内插</w:t>
      </w:r>
      <w:r>
        <w:rPr>
          <w:rFonts w:ascii="Calibri" w:hAnsi="Calibri" w:cs="Times New Roman"/>
          <w:color w:val="auto"/>
          <w:sz w:val="24"/>
          <w:szCs w:val="22"/>
          <w:lang w:val="en-US" w:eastAsia="zh-CN" w:bidi="ar-SA"/>
        </w:rPr>
        <w:t>H</w:t>
      </w:r>
      <w:r>
        <w:rPr>
          <w:rFonts w:ascii="Calibri" w:hAnsi="Calibri" w:cs="Times New Roman"/>
          <w:color w:val="auto"/>
          <w:sz w:val="24"/>
          <w:szCs w:val="22"/>
          <w:lang w:bidi="ar-SA"/>
        </w:rPr>
        <w:t xml:space="preserve">型钢截面宜采用 </w:t>
      </w:r>
      <w:r>
        <w:rPr>
          <w:rFonts w:ascii="Calibri" w:hAnsi="Calibri" w:cs="Times New Roman"/>
          <w:color w:val="auto"/>
          <w:sz w:val="24"/>
          <w:szCs w:val="22"/>
          <w:lang w:val="en-US" w:eastAsia="zh-CN" w:bidi="ar-SA"/>
        </w:rPr>
        <w:t>H800X300, H850X300。</w:t>
      </w:r>
    </w:p>
    <w:p>
      <w:pPr>
        <w:pStyle w:val="46"/>
        <w:spacing w:after="0" w:line="360" w:lineRule="auto"/>
        <w:ind w:left="0" w:leftChars="0" w:firstLine="0" w:firstLineChars="0"/>
        <w:rPr>
          <w:rFonts w:hint="eastAsia" w:ascii="Times New Roman" w:hAnsi="Times New Roman" w:cs="Times New Roman"/>
          <w:b w:val="0"/>
          <w:bCs/>
          <w:color w:val="auto"/>
          <w:sz w:val="24"/>
          <w:szCs w:val="22"/>
          <w:lang w:val="en-US" w:eastAsia="zh-CN" w:bidi="ar-SA"/>
        </w:rPr>
      </w:pPr>
      <w:bookmarkStart w:id="509" w:name="_Toc10003"/>
      <w:bookmarkStart w:id="510" w:name="_Toc26488"/>
      <w:r>
        <w:rPr>
          <w:rFonts w:hint="eastAsia" w:ascii="Times New Roman" w:hAnsi="Times New Roman" w:cs="Times New Roman"/>
          <w:b/>
          <w:color w:val="auto"/>
          <w:sz w:val="24"/>
          <w:szCs w:val="22"/>
          <w:lang w:val="en-US" w:eastAsia="zh-CN" w:bidi="ar-SA"/>
        </w:rPr>
        <w:t xml:space="preserve">8.3.15  </w:t>
      </w:r>
      <w:r>
        <w:rPr>
          <w:rFonts w:hint="eastAsia" w:ascii="Times New Roman" w:hAnsi="Times New Roman" w:cs="Times New Roman"/>
          <w:b w:val="0"/>
          <w:bCs/>
          <w:color w:val="auto"/>
          <w:sz w:val="24"/>
          <w:szCs w:val="22"/>
          <w:lang w:val="en-US" w:eastAsia="zh-CN" w:bidi="ar-SA"/>
        </w:rPr>
        <w:t>型钢水泥土搅拌墙中内插型钢应符合下列规定：</w:t>
      </w:r>
      <w:bookmarkEnd w:id="509"/>
      <w:bookmarkEnd w:id="510"/>
    </w:p>
    <w:p>
      <w:pPr>
        <w:pStyle w:val="46"/>
        <w:spacing w:after="0" w:line="360" w:lineRule="auto"/>
        <w:ind w:left="0" w:firstLine="720" w:firstLineChars="300"/>
        <w:rPr>
          <w:rFonts w:ascii="Calibri" w:hAnsi="Calibri" w:cs="Times New Roman"/>
          <w:color w:val="auto"/>
          <w:sz w:val="24"/>
          <w:szCs w:val="22"/>
          <w:lang w:val="en-US" w:eastAsia="zh-CN" w:bidi="ar-SA"/>
        </w:rPr>
      </w:pPr>
      <w:bookmarkStart w:id="511" w:name="_Toc15028"/>
      <w:bookmarkStart w:id="512" w:name="_Toc15243"/>
      <w:r>
        <w:rPr>
          <w:rFonts w:ascii="Calibri" w:hAnsi="Calibri" w:cs="Times New Roman"/>
          <w:color w:val="auto"/>
          <w:sz w:val="24"/>
          <w:szCs w:val="22"/>
          <w:lang w:val="en-US" w:eastAsia="zh-CN" w:bidi="ar-SA"/>
        </w:rPr>
        <w:t>1内插型钢的垂直度不应大于1/200</w:t>
      </w:r>
      <w:r>
        <w:rPr>
          <w:rFonts w:hint="eastAsia" w:ascii="Calibri" w:hAnsi="Calibri" w:cs="Times New Roman"/>
          <w:color w:val="auto"/>
          <w:sz w:val="24"/>
          <w:szCs w:val="22"/>
          <w:lang w:val="en-US" w:eastAsia="zh-CN" w:bidi="ar-SA"/>
        </w:rPr>
        <w:t>；</w:t>
      </w:r>
      <w:bookmarkEnd w:id="511"/>
      <w:bookmarkEnd w:id="512"/>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2当型钢采用钢板焊接而成时，应按照现行行业标准《焊接H型钢》YB 3301的有关要求焊接成型</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3型钢宜采用整材；当需采用分段焊接时，应采用坡口焊等强焊接。对接焊缝的坡口形式和要求应符合现行行业标准《建筑钢结构焊接技术规程》JGJ 81的有关规定，焊缝质量等级不应低于二级。单根型钢中焊接接头不宜超过2个，焊接接头的位置应避免设在支撑位置或开挖面附近等型钢受力较大处；相邻型 钢的接头竖向位置宜相互错开，错开距离不宜小于</w:t>
      </w:r>
      <w:r>
        <w:rPr>
          <w:rFonts w:hint="eastAsia" w:ascii="Calibri" w:hAnsi="Calibri" w:cs="Times New Roman"/>
          <w:color w:val="auto"/>
          <w:sz w:val="24"/>
          <w:szCs w:val="22"/>
          <w:lang w:val="en-US" w:eastAsia="zh-CN" w:bidi="ar-SA"/>
        </w:rPr>
        <w:t>1</w:t>
      </w:r>
      <w:r>
        <w:rPr>
          <w:rFonts w:ascii="Calibri" w:hAnsi="Calibri" w:cs="Times New Roman"/>
          <w:color w:val="auto"/>
          <w:sz w:val="24"/>
          <w:szCs w:val="22"/>
          <w:lang w:val="en-US" w:eastAsia="zh-CN" w:bidi="ar-SA"/>
        </w:rPr>
        <w:t>m,且型钢接头距离基坑底面不宜小于2m</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4对于周边环境条件要求较高，桩身在粉土、砂性土等透水性较强的土层中或对搅拌桩抗裂和抗渗要求较高时，宜增加型钢插入密度</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bookmarkStart w:id="513" w:name="_Toc23064"/>
      <w:bookmarkStart w:id="514" w:name="_Toc26951"/>
      <w:r>
        <w:rPr>
          <w:rFonts w:ascii="Calibri" w:hAnsi="Calibri" w:cs="Times New Roman"/>
          <w:color w:val="auto"/>
          <w:sz w:val="24"/>
          <w:szCs w:val="22"/>
          <w:lang w:val="en-US" w:eastAsia="zh-CN" w:bidi="ar-SA"/>
        </w:rPr>
        <w:t>5型钢水泥土搅拌墙的转角部位宜插型钢</w:t>
      </w:r>
      <w:r>
        <w:rPr>
          <w:rFonts w:hint="eastAsia" w:ascii="Calibri" w:hAnsi="Calibri" w:cs="Times New Roman"/>
          <w:color w:val="auto"/>
          <w:sz w:val="24"/>
          <w:szCs w:val="22"/>
          <w:lang w:val="en-US" w:eastAsia="zh-CN" w:bidi="ar-SA"/>
        </w:rPr>
        <w:t>；</w:t>
      </w:r>
      <w:bookmarkEnd w:id="513"/>
      <w:bookmarkEnd w:id="514"/>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6除环境条件有特殊要求外，内插型钢宜预先釆取减摩措施，并拔除回收。</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8.3.16  </w:t>
      </w:r>
      <w:r>
        <w:rPr>
          <w:rFonts w:ascii="Calibri" w:hAnsi="Calibri" w:cs="Times New Roman"/>
          <w:color w:val="auto"/>
          <w:sz w:val="24"/>
          <w:szCs w:val="22"/>
          <w:lang w:val="en-US" w:eastAsia="zh-CN" w:bidi="ar-SA"/>
        </w:rPr>
        <w:t>型钢水泥土搅拌墙的顶部应设置封闭的钢筋混凝土冠梁。 冠梁宜与第一道支撑的腰梁合二为一。冠梁的高度和宽度应由设计计算确定，计算时应考虑型钢穿过对冠梁截面的削弱影响，同时应满足起拔型钢时的需要，并应符合下列规定：</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1冠梁截面高度不应小于600mm,截面宽度宜比搅拌桩直径大350mm</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2内插型钢应锚入冠梁，冠梁主筋应避开型钢设置。型钢顶部高岀冠梁顶面不应小于500mm,型钢与冠梁间的隔离材料应采用不易压缩的材料</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3冠梁的箍筋宜采用四肢箍，直径不宜小于8mm,间距不应大于200mm；在冠梁与支撑交点位置，箍筋宜适当加密。由于内插型钢而未能设置封闭箍筋的部位宜在型钢翼缘外侧设置封闭箍筋予以加强。</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8.3.17  </w:t>
      </w:r>
      <w:r>
        <w:rPr>
          <w:rFonts w:ascii="Calibri" w:hAnsi="Calibri" w:cs="Times New Roman"/>
          <w:color w:val="auto"/>
          <w:sz w:val="24"/>
          <w:szCs w:val="22"/>
          <w:lang w:val="en-US" w:eastAsia="zh-CN" w:bidi="ar-SA"/>
        </w:rPr>
        <w:t>型钢水泥土搅拌墙支护体系的腰梁应符合下列规定：</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1型钢水泥土搅拌墙可采用型钢（或组合型钢）腰梁或钢筋混凝土腰梁，并结合钢管支撑、型钢（或组合型钢）支撑、钢筋混凝土支撑等内支撑体系或锚杆体系设置</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2型钢水泥土搅拌墙支护体系的腰梁宜完整、封闭，并与支撑体系连成整体。钢筋混凝土腰梁在转角处应按刚节点进行处理，并通过构造措施确保腰梁体系连接的整体性</w:t>
      </w:r>
      <w:r>
        <w:rPr>
          <w:rFonts w:hint="eastAsia" w:ascii="Calibri" w:hAnsi="Calibri" w:cs="Times New Roman"/>
          <w:color w:val="auto"/>
          <w:sz w:val="24"/>
          <w:szCs w:val="22"/>
          <w:lang w:val="en-US" w:eastAsia="zh-CN" w:bidi="ar-SA"/>
        </w:rPr>
        <w:t>；</w:t>
      </w:r>
    </w:p>
    <w:p>
      <w:pPr>
        <w:pStyle w:val="46"/>
        <w:spacing w:after="0" w:line="360" w:lineRule="auto"/>
        <w:ind w:left="0" w:firstLine="720" w:firstLineChars="300"/>
        <w:rPr>
          <w:rFonts w:ascii="Calibri" w:hAnsi="Calibri" w:cs="Times New Roman"/>
          <w:color w:val="auto"/>
          <w:sz w:val="24"/>
          <w:szCs w:val="22"/>
          <w:lang w:val="en-US" w:eastAsia="zh-CN" w:bidi="ar-SA"/>
        </w:rPr>
      </w:pPr>
      <w:r>
        <w:rPr>
          <w:rFonts w:ascii="Calibri" w:hAnsi="Calibri" w:cs="Times New Roman"/>
          <w:color w:val="auto"/>
          <w:sz w:val="24"/>
          <w:szCs w:val="22"/>
          <w:lang w:val="en-US" w:eastAsia="zh-CN" w:bidi="ar-SA"/>
        </w:rPr>
        <w:t>3钢腰梁或钢筋混凝土腰梁应采用托架（或牛腿）和吊筋与内插型钢连接。水泥土搅拌桩、H型钢与钢腰梁之间的空隙应用钢楔块或高强度等级细石混凝土填实。</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8.3.18  </w:t>
      </w:r>
      <w:r>
        <w:rPr>
          <w:rFonts w:ascii="Calibri" w:hAnsi="Calibri" w:cs="Times New Roman"/>
          <w:color w:val="auto"/>
          <w:sz w:val="24"/>
          <w:szCs w:val="22"/>
          <w:lang w:val="en-US" w:eastAsia="zh-CN" w:bidi="ar-SA"/>
        </w:rPr>
        <w:t>当釆用竖向斜撑并需支撑在型钢水泥土搅拌墙冠梁上时， 应在内插型钢与冠梁之间设置竖向抗剪构件。</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8.3.19  </w:t>
      </w:r>
      <w:r>
        <w:rPr>
          <w:rFonts w:ascii="Calibri" w:hAnsi="Calibri" w:cs="Times New Roman"/>
          <w:color w:val="auto"/>
          <w:sz w:val="24"/>
          <w:szCs w:val="22"/>
          <w:lang w:val="en-US" w:eastAsia="zh-CN" w:bidi="ar-SA"/>
        </w:rPr>
        <w:t>在型钢水泥土搅拌墙中搅拌桩桩径变化处或型钢插入密度变化处，</w:t>
      </w:r>
      <w:r>
        <w:rPr>
          <w:rFonts w:hint="eastAsia" w:ascii="Calibri" w:hAnsi="Calibri" w:cs="Times New Roman"/>
          <w:color w:val="auto"/>
          <w:sz w:val="24"/>
          <w:szCs w:val="22"/>
          <w:u w:val="single"/>
          <w:lang w:val="en-US" w:eastAsia="zh-CN" w:bidi="ar-SA"/>
        </w:rPr>
        <w:t>相应</w:t>
      </w:r>
      <w:r>
        <w:rPr>
          <w:rFonts w:ascii="Calibri" w:hAnsi="Calibri" w:cs="Times New Roman"/>
          <w:color w:val="auto"/>
          <w:sz w:val="24"/>
          <w:szCs w:val="22"/>
          <w:lang w:val="en-US" w:eastAsia="zh-CN" w:bidi="ar-SA"/>
        </w:rPr>
        <w:t>搅拌桩桩径较大区段或型钢插入密度较大区段宜作适当延伸过渡。</w:t>
      </w:r>
    </w:p>
    <w:p>
      <w:pPr>
        <w:pStyle w:val="46"/>
        <w:spacing w:after="0" w:line="360" w:lineRule="auto"/>
        <w:ind w:left="0" w:leftChars="0" w:firstLine="0" w:firstLineChars="0"/>
        <w:rPr>
          <w:rFonts w:ascii="Calibri" w:hAnsi="Calibri" w:cs="Times New Roman"/>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8.3.20  </w:t>
      </w:r>
      <w:r>
        <w:rPr>
          <w:rFonts w:ascii="Calibri" w:hAnsi="Calibri" w:cs="Times New Roman"/>
          <w:color w:val="auto"/>
          <w:sz w:val="24"/>
          <w:szCs w:val="22"/>
          <w:lang w:val="en-US" w:eastAsia="zh-CN" w:bidi="ar-SA"/>
        </w:rPr>
        <w:t>型钢水泥土搅拌墙与其他形式支护结构连接处，应采取有效措施确保基坑的截水效果。</w:t>
      </w:r>
    </w:p>
    <w:p>
      <w:pPr>
        <w:bidi w:val="0"/>
        <w:jc w:val="center"/>
        <w:rPr>
          <w:rFonts w:hint="eastAsia"/>
          <w:b/>
          <w:bCs/>
          <w:color w:val="auto"/>
          <w:sz w:val="28"/>
          <w:szCs w:val="24"/>
          <w:lang w:val="en-US" w:eastAsia="zh-CN"/>
        </w:rPr>
      </w:pPr>
      <w:bookmarkStart w:id="515" w:name="_Toc21699"/>
      <w:bookmarkStart w:id="516" w:name="_Toc22572"/>
      <w:r>
        <w:rPr>
          <w:rFonts w:hint="eastAsia" w:ascii="Calibri" w:eastAsia="宋体"/>
          <w:b/>
          <w:bCs/>
          <w:color w:val="auto"/>
          <w:sz w:val="28"/>
          <w:szCs w:val="24"/>
          <w:lang w:val="en-US" w:eastAsia="zh-CN"/>
        </w:rPr>
        <w:t>Ⅳ  施工</w:t>
      </w:r>
      <w:bookmarkEnd w:id="515"/>
      <w:bookmarkEnd w:id="516"/>
    </w:p>
    <w:p>
      <w:pPr>
        <w:pStyle w:val="46"/>
        <w:spacing w:after="0" w:line="360" w:lineRule="auto"/>
        <w:ind w:left="0" w:leftChars="0" w:firstLine="0" w:firstLineChars="0"/>
        <w:rPr>
          <w:rFonts w:ascii="Times New Roman" w:hAnsi="Times New Roman" w:cs="Times New Roman"/>
          <w:b/>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8.3.21 </w:t>
      </w:r>
      <w:r>
        <w:rPr>
          <w:rFonts w:hint="eastAsia" w:ascii="Times New Roman" w:hAnsi="Times New Roman" w:cs="Times New Roman"/>
          <w:bCs/>
          <w:color w:val="auto"/>
          <w:sz w:val="24"/>
          <w:szCs w:val="22"/>
          <w:lang w:val="en-US" w:eastAsia="zh-CN" w:bidi="ar-SA"/>
        </w:rPr>
        <w:t>三轴水泥土搅拌桩施工应根据地质条件和周边环境条件、 成桩深度、桩径等选用不同形式和不同功率的三（多）轴搅拌桩机，与其配套的桩架性能参数应与搅拌机的成桩深度相匹配，钻杆及搅拌叶片构造应满足在成桩过程中水泥和土能充分搅拌的要求。</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8.3.22  </w:t>
      </w:r>
      <w:r>
        <w:rPr>
          <w:rFonts w:hint="eastAsia" w:ascii="Times New Roman" w:hAnsi="Times New Roman" w:cs="Times New Roman"/>
          <w:bCs/>
          <w:color w:val="auto"/>
          <w:sz w:val="24"/>
          <w:szCs w:val="22"/>
          <w:lang w:val="en-US" w:eastAsia="zh-CN" w:bidi="ar-SA"/>
        </w:rPr>
        <w:t>水泥土搅拌桩施工前，施工现场应先进行场地平整，清除搅拌桩施工区域的表层硬物和地下障碍物，遇明浜、暗塘或低洼地等不良地质条件时应抽水、清淤、回填素土并分层夯实。现场道路的承载能力应满足桩机和起重机平稳行走的要求。</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8.3.23  </w:t>
      </w:r>
      <w:r>
        <w:rPr>
          <w:rFonts w:hint="eastAsia" w:ascii="Times New Roman" w:hAnsi="Times New Roman" w:cs="Times New Roman"/>
          <w:bCs/>
          <w:color w:val="auto"/>
          <w:sz w:val="24"/>
          <w:szCs w:val="22"/>
          <w:lang w:val="en-US" w:eastAsia="zh-CN" w:bidi="ar-SA"/>
        </w:rPr>
        <w:t>水泥土搅拌桩施工前，应按照搅拌桩桩位布置图进行测量放样并复核验收。根据确定的施工顺序，安排型钢、配套机具、水泥等物资的放置位置。</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8.3.24  </w:t>
      </w:r>
      <w:r>
        <w:rPr>
          <w:rFonts w:hint="eastAsia" w:ascii="Times New Roman" w:hAnsi="Times New Roman" w:cs="Times New Roman"/>
          <w:bCs/>
          <w:color w:val="auto"/>
          <w:sz w:val="24"/>
          <w:szCs w:val="22"/>
          <w:lang w:val="en-US" w:eastAsia="zh-CN" w:bidi="ar-SA"/>
        </w:rPr>
        <w:t>根据型钢水泥土搅拌墙的轴线开挖导向沟，应在沟槽边设置搅拌桩定位型钢，并应在定位型钢上标出搅拌桩和型钢插入位置。</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8.3.25  </w:t>
      </w:r>
      <w:r>
        <w:rPr>
          <w:rFonts w:hint="eastAsia" w:ascii="Times New Roman" w:hAnsi="Times New Roman" w:cs="Times New Roman"/>
          <w:bCs/>
          <w:color w:val="auto"/>
          <w:sz w:val="24"/>
          <w:szCs w:val="22"/>
          <w:lang w:val="en-US" w:eastAsia="zh-CN" w:bidi="ar-SA"/>
        </w:rPr>
        <w:t>搅拌桩机和供浆系统应预先组装、调试，在试运转正常后方可开始水泥土搅拌桩施工。</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8.3.26  </w:t>
      </w:r>
      <w:r>
        <w:rPr>
          <w:rFonts w:hint="eastAsia" w:ascii="Times New Roman" w:hAnsi="Times New Roman" w:cs="Times New Roman"/>
          <w:bCs/>
          <w:color w:val="auto"/>
          <w:sz w:val="24"/>
          <w:szCs w:val="22"/>
          <w:lang w:val="en-US" w:eastAsia="zh-CN" w:bidi="ar-SA"/>
        </w:rPr>
        <w:t>施工前应通过成桩试验确定搅拌下沉和提升速度、水泥浆液水灰比等工艺参数及成桩工艺；测定水泥浆从输送管到达搅 拌机喷浆口的时间。当地下水有侵蚀性时，宜通过试验选用合适的水泥。</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8.3.27  </w:t>
      </w:r>
      <w:r>
        <w:rPr>
          <w:rFonts w:hint="eastAsia" w:ascii="Times New Roman" w:hAnsi="Times New Roman" w:cs="Times New Roman"/>
          <w:bCs/>
          <w:color w:val="auto"/>
          <w:sz w:val="24"/>
          <w:szCs w:val="22"/>
          <w:lang w:val="en-US" w:eastAsia="zh-CN" w:bidi="ar-SA"/>
        </w:rPr>
        <w:t>型钢定位导向架和竖向定位的悬挂构件应根据内插型钢的规格尺寸制作。</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8.3.28  </w:t>
      </w:r>
      <w:r>
        <w:rPr>
          <w:rFonts w:hint="eastAsia" w:ascii="Times New Roman" w:hAnsi="Times New Roman" w:cs="Times New Roman"/>
          <w:bCs/>
          <w:color w:val="auto"/>
          <w:sz w:val="24"/>
          <w:szCs w:val="22"/>
          <w:lang w:val="en-US" w:eastAsia="zh-CN" w:bidi="ar-SA"/>
        </w:rPr>
        <w:t>水泥土搅拌桩施工时桩机就位应对中，平面允许偏差应为±20mm,立柱导向架的垂直度不应大于1/250。</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8.3.29  </w:t>
      </w:r>
      <w:r>
        <w:rPr>
          <w:rFonts w:hint="eastAsia" w:ascii="Times New Roman" w:hAnsi="Times New Roman" w:cs="Times New Roman"/>
          <w:bCs/>
          <w:color w:val="auto"/>
          <w:sz w:val="24"/>
          <w:szCs w:val="22"/>
          <w:lang w:val="en-US" w:eastAsia="zh-CN" w:bidi="ar-SA"/>
        </w:rPr>
        <w:t>搅拌下沉速度宜控制在0.</w:t>
      </w:r>
      <w:r>
        <w:rPr>
          <w:rFonts w:hint="eastAsia" w:ascii="Times New Roman" w:hAnsi="Times New Roman" w:cs="Times New Roman"/>
          <w:bCs/>
          <w:color w:val="auto"/>
          <w:sz w:val="24"/>
          <w:szCs w:val="22"/>
          <w:lang w:val="en-US" w:eastAsia="en-US" w:bidi="ar-SA"/>
        </w:rPr>
        <w:t>5m/min</w:t>
      </w:r>
      <w:r>
        <w:rPr>
          <w:rFonts w:hint="eastAsia" w:ascii="Times New Roman" w:hAnsi="Times New Roman" w:cs="Times New Roman"/>
          <w:bCs/>
          <w:color w:val="auto"/>
          <w:sz w:val="24"/>
          <w:szCs w:val="22"/>
          <w:lang w:val="en-US" w:eastAsia="zh-CN" w:bidi="ar-SA"/>
        </w:rPr>
        <w:t>〜</w:t>
      </w:r>
      <w:r>
        <w:rPr>
          <w:rFonts w:hint="eastAsia" w:ascii="Times New Roman" w:hAnsi="Times New Roman" w:cs="Times New Roman"/>
          <w:bCs/>
          <w:color w:val="auto"/>
          <w:sz w:val="24"/>
          <w:szCs w:val="22"/>
          <w:lang w:val="en-US" w:eastAsia="en-US" w:bidi="ar-SA"/>
        </w:rPr>
        <w:t>lm/min,</w:t>
      </w:r>
      <w:r>
        <w:rPr>
          <w:rFonts w:hint="eastAsia" w:ascii="Times New Roman" w:hAnsi="Times New Roman" w:cs="Times New Roman"/>
          <w:bCs/>
          <w:color w:val="auto"/>
          <w:sz w:val="24"/>
          <w:szCs w:val="22"/>
          <w:lang w:val="en-US" w:eastAsia="zh-CN" w:bidi="ar-SA"/>
        </w:rPr>
        <w:t xml:space="preserve">提升速度宜控制在1 </w:t>
      </w:r>
      <w:r>
        <w:rPr>
          <w:rFonts w:hint="eastAsia" w:ascii="Times New Roman" w:hAnsi="Times New Roman" w:cs="Times New Roman"/>
          <w:bCs/>
          <w:color w:val="auto"/>
          <w:sz w:val="24"/>
          <w:szCs w:val="22"/>
          <w:lang w:val="en-US" w:eastAsia="en-US" w:bidi="ar-SA"/>
        </w:rPr>
        <w:t>m/min~2m/min,</w:t>
      </w:r>
      <w:r>
        <w:rPr>
          <w:rFonts w:hint="eastAsia" w:ascii="Times New Roman" w:hAnsi="Times New Roman" w:cs="Times New Roman"/>
          <w:bCs/>
          <w:color w:val="auto"/>
          <w:sz w:val="24"/>
          <w:szCs w:val="22"/>
          <w:lang w:val="en-US" w:eastAsia="zh-CN" w:bidi="ar-SA"/>
        </w:rPr>
        <w:t>并保持匀速下沉或提升。提升时不应在孔内产生负压造成周边土体的过大扰动，搅拌次数和搅拌时间应能保证水泥土搅拌桩的成桩质量。浆液泵送量应与搅拌下沉或提升速度相匹配，保证搅拌桩中水泥掺量的均匀性。</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8.3.30 </w:t>
      </w:r>
      <w:r>
        <w:rPr>
          <w:rFonts w:hint="eastAsia" w:ascii="Times New Roman" w:hAnsi="Times New Roman" w:cs="Times New Roman"/>
          <w:bCs/>
          <w:color w:val="auto"/>
          <w:sz w:val="24"/>
          <w:szCs w:val="22"/>
          <w:lang w:val="en-US" w:eastAsia="zh-CN" w:bidi="ar-SA"/>
        </w:rPr>
        <w:t>对于硬质土层，当成桩有困难时，可釆用预先松动土层的先行钻孔套打方式施工。</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8.3.31  </w:t>
      </w:r>
      <w:r>
        <w:rPr>
          <w:rFonts w:hint="eastAsia" w:ascii="Times New Roman" w:hAnsi="Times New Roman" w:cs="Times New Roman"/>
          <w:bCs/>
          <w:color w:val="auto"/>
          <w:sz w:val="24"/>
          <w:szCs w:val="22"/>
          <w:lang w:val="en-US" w:eastAsia="zh-CN" w:bidi="ar-SA"/>
        </w:rPr>
        <w:t>搅拌机头在正常情况下应上下各一次对土体进行喷浆搅拌，对含砂量大的土层，宜在搅拌桩底部2m〜3m范围内上下重复喷浆搅拌一次。</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8.3.32 </w:t>
      </w:r>
      <w:r>
        <w:rPr>
          <w:rFonts w:hint="eastAsia" w:ascii="Times New Roman" w:hAnsi="Times New Roman" w:cs="Times New Roman"/>
          <w:bCs/>
          <w:color w:val="auto"/>
          <w:sz w:val="24"/>
          <w:szCs w:val="22"/>
          <w:lang w:val="en-US" w:eastAsia="zh-CN" w:bidi="ar-SA"/>
        </w:rPr>
        <w:t>水泥浆液应按设计配比和拌浆机操作规定拌制，并应通过滤网倒入具有搅拌装置的贮浆桶或贮浆池，采取防止浆液离析的措施。在水泥浆液的配比中可根据实际情况加入相应的外加剂，各种外加剂的用量均宜通过配比试验及成桩试验确定。</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8.3.33  </w:t>
      </w:r>
      <w:r>
        <w:rPr>
          <w:rFonts w:hint="eastAsia" w:ascii="Times New Roman" w:hAnsi="Times New Roman" w:cs="Times New Roman"/>
          <w:bCs/>
          <w:color w:val="auto"/>
          <w:sz w:val="24"/>
          <w:szCs w:val="22"/>
          <w:lang w:val="en-US" w:eastAsia="zh-CN" w:bidi="ar-SA"/>
        </w:rPr>
        <w:t>三轴水泥土搅拌桩施工过程中，应严格控制水泥用量，宜釆用流量计进行计量。因搁置时间过长产生初凝的浆液，应作为废浆处理，严禁使用。</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8.3.34  </w:t>
      </w:r>
      <w:r>
        <w:rPr>
          <w:rFonts w:hint="eastAsia" w:ascii="Times New Roman" w:hAnsi="Times New Roman" w:cs="Times New Roman"/>
          <w:bCs/>
          <w:color w:val="auto"/>
          <w:sz w:val="24"/>
          <w:szCs w:val="22"/>
          <w:lang w:val="en-US" w:eastAsia="zh-CN" w:bidi="ar-SA"/>
        </w:rPr>
        <w:t>施工时如因故停浆，应在恢复喷浆前，将搅拌机头提升或下沉0. 5m后再喷浆搅拌施工。</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8.3.35 </w:t>
      </w:r>
      <w:r>
        <w:rPr>
          <w:rFonts w:hint="eastAsia" w:ascii="Times New Roman" w:hAnsi="Times New Roman" w:cs="Times New Roman"/>
          <w:bCs/>
          <w:color w:val="auto"/>
          <w:sz w:val="24"/>
          <w:szCs w:val="22"/>
          <w:lang w:val="en-US" w:eastAsia="zh-CN" w:bidi="ar-SA"/>
        </w:rPr>
        <w:t>水泥土搅拌桩搭接施工的间隔时间不宜大于24h,当超过24h时，搭接施工时应放慢搅拌速度。若无法搭接或搭接不良，应作为冷缝记录在案，并应经设计单位认可后，在搭接处采取补救措施。</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8.3.36  </w:t>
      </w:r>
      <w:r>
        <w:rPr>
          <w:rFonts w:hint="eastAsia" w:ascii="Times New Roman" w:hAnsi="Times New Roman" w:cs="Times New Roman"/>
          <w:bCs/>
          <w:color w:val="auto"/>
          <w:sz w:val="24"/>
          <w:szCs w:val="22"/>
          <w:lang w:val="en-US" w:eastAsia="zh-CN" w:bidi="ar-SA"/>
        </w:rPr>
        <w:t>若长时间停止施工，应对压浆管道及设备进行清洗。</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8.3.37  </w:t>
      </w:r>
      <w:r>
        <w:rPr>
          <w:rFonts w:hint="eastAsia" w:ascii="Times New Roman" w:hAnsi="Times New Roman" w:cs="Times New Roman"/>
          <w:bCs/>
          <w:color w:val="auto"/>
          <w:sz w:val="24"/>
          <w:szCs w:val="22"/>
          <w:lang w:val="en-US" w:eastAsia="zh-CN" w:bidi="ar-SA"/>
        </w:rPr>
        <w:t>搅拌桩施工时可采用在螺旋叶片上开孔、添加外加剂或其他辅助措施，以避免黏土附着在钻头叶片上。</w:t>
      </w:r>
    </w:p>
    <w:p>
      <w:pPr>
        <w:pStyle w:val="46"/>
        <w:spacing w:after="0" w:line="360" w:lineRule="auto"/>
        <w:ind w:left="0" w:leftChars="0" w:firstLine="0" w:firstLineChars="0"/>
        <w:rPr>
          <w:rFonts w:hint="eastAsia" w:ascii="Times New Roman" w:hAnsi="Times New Roman" w:cs="Times New Roman"/>
          <w:b w:val="0"/>
          <w:bCs/>
          <w:color w:val="auto"/>
          <w:sz w:val="24"/>
          <w:szCs w:val="22"/>
          <w:lang w:val="en-US" w:eastAsia="zh-CN" w:bidi="ar-SA"/>
        </w:rPr>
      </w:pPr>
      <w:bookmarkStart w:id="517" w:name="_Toc25405"/>
      <w:r>
        <w:rPr>
          <w:rFonts w:hint="eastAsia" w:ascii="Times New Roman" w:hAnsi="Times New Roman" w:cs="Times New Roman"/>
          <w:b/>
          <w:color w:val="auto"/>
          <w:sz w:val="24"/>
          <w:szCs w:val="22"/>
          <w:lang w:val="en-US" w:eastAsia="zh-CN" w:bidi="ar-SA"/>
        </w:rPr>
        <w:t xml:space="preserve">8.3.38  </w:t>
      </w:r>
      <w:r>
        <w:rPr>
          <w:rFonts w:hint="eastAsia" w:ascii="Times New Roman" w:hAnsi="Times New Roman" w:cs="Times New Roman"/>
          <w:b w:val="0"/>
          <w:bCs/>
          <w:color w:val="auto"/>
          <w:sz w:val="24"/>
          <w:szCs w:val="22"/>
          <w:lang w:val="en-US" w:eastAsia="zh-CN" w:bidi="ar-SA"/>
        </w:rPr>
        <w:t>型钢插入应符合以下规定：</w:t>
      </w:r>
      <w:bookmarkEnd w:id="517"/>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cs="Times New Roman"/>
          <w:bCs/>
          <w:color w:val="auto"/>
          <w:sz w:val="24"/>
          <w:szCs w:val="22"/>
          <w:lang w:val="en-US" w:eastAsia="zh-CN" w:bidi="ar-SA"/>
        </w:rPr>
      </w:pPr>
      <w:r>
        <w:rPr>
          <w:rFonts w:hint="eastAsia" w:ascii="Times New Roman" w:hAnsi="Times New Roman" w:cs="Times New Roman"/>
          <w:bCs/>
          <w:color w:val="auto"/>
          <w:sz w:val="24"/>
          <w:szCs w:val="22"/>
          <w:lang w:val="en-US" w:eastAsia="zh-CN" w:bidi="ar-SA"/>
        </w:rPr>
        <w:t>1型钢宜在搅拌桩施工结束后30min内插入，插入前应检查其平整度和接头焊缝质量；</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2 </w:t>
      </w:r>
      <w:r>
        <w:rPr>
          <w:rFonts w:hint="eastAsia" w:ascii="Times New Roman" w:hAnsi="Times New Roman" w:cs="Times New Roman"/>
          <w:bCs/>
          <w:color w:val="auto"/>
          <w:sz w:val="24"/>
          <w:szCs w:val="22"/>
          <w:lang w:val="en-US" w:eastAsia="zh-CN" w:bidi="ar-SA"/>
        </w:rPr>
        <w:t>型钢的插入必须采用牢固的定位导向架，在插入过程中 应采取措施保证型钢垂直度。型钢插入到位后应用悬挂构件控制型钢顶标高，并与已插好的型钢牢固连接；</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3</w:t>
      </w:r>
      <w:r>
        <w:rPr>
          <w:rFonts w:hint="eastAsia" w:ascii="Times New Roman" w:hAnsi="Times New Roman" w:cs="Times New Roman"/>
          <w:bCs/>
          <w:color w:val="auto"/>
          <w:sz w:val="24"/>
          <w:szCs w:val="22"/>
          <w:lang w:val="en-US" w:eastAsia="zh-CN" w:bidi="ar-SA"/>
        </w:rPr>
        <w:t>型钢宜依靠自重插入，当型钢插入有困难时可采用辅助措施下沉。严禁采用多次重复起吊型钢并松钩下落的插入方法。</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cs="Times New Roman"/>
          <w:bCs/>
          <w:color w:val="auto"/>
          <w:sz w:val="24"/>
          <w:szCs w:val="22"/>
          <w:lang w:val="en-US" w:eastAsia="zh-CN" w:bidi="ar-SA"/>
        </w:rPr>
      </w:pPr>
      <w:bookmarkStart w:id="518" w:name="_Toc13128"/>
      <w:bookmarkStart w:id="519" w:name="_Toc30734"/>
      <w:r>
        <w:rPr>
          <w:rFonts w:hint="eastAsia" w:ascii="Times New Roman" w:hAnsi="Times New Roman" w:cs="Times New Roman"/>
          <w:b/>
          <w:color w:val="auto"/>
          <w:sz w:val="24"/>
          <w:szCs w:val="22"/>
          <w:lang w:val="en-US" w:eastAsia="zh-CN" w:bidi="ar-SA"/>
        </w:rPr>
        <w:t>8.3.39</w:t>
      </w:r>
      <w:r>
        <w:rPr>
          <w:rFonts w:hint="eastAsia" w:ascii="Times New Roman" w:hAnsi="Times New Roman" w:cs="Times New Roman"/>
          <w:bCs/>
          <w:color w:val="auto"/>
          <w:sz w:val="24"/>
          <w:szCs w:val="22"/>
          <w:lang w:val="en-US" w:eastAsia="zh-CN" w:bidi="ar-SA"/>
        </w:rPr>
        <w:t xml:space="preserve">  型钢的拔除回收应符合以下规定：</w:t>
      </w:r>
      <w:bookmarkEnd w:id="518"/>
      <w:bookmarkEnd w:id="519"/>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hint="eastAsia" w:ascii="宋体" w:hAnsi="宋体" w:eastAsia="宋体" w:cs="宋体"/>
          <w:bCs/>
          <w:color w:val="auto"/>
          <w:sz w:val="24"/>
          <w:szCs w:val="22"/>
          <w:lang w:val="en-US" w:eastAsia="zh-CN" w:bidi="ar-SA"/>
        </w:rPr>
      </w:pPr>
      <w:r>
        <w:rPr>
          <w:rFonts w:hint="eastAsia" w:ascii="Times New Roman" w:hAnsi="Times New Roman" w:cs="Times New Roman"/>
          <w:b/>
          <w:color w:val="auto"/>
          <w:sz w:val="24"/>
          <w:szCs w:val="22"/>
          <w:lang w:val="en-US" w:eastAsia="zh-CN" w:bidi="ar-SA"/>
        </w:rPr>
        <w:t>1</w:t>
      </w:r>
      <w:r>
        <w:rPr>
          <w:rFonts w:hint="eastAsia" w:ascii="宋体" w:hAnsi="宋体" w:eastAsia="宋体" w:cs="宋体"/>
          <w:bCs/>
          <w:color w:val="auto"/>
          <w:sz w:val="24"/>
          <w:szCs w:val="22"/>
          <w:lang w:val="en-US" w:eastAsia="zh-CN" w:bidi="ar-SA"/>
        </w:rPr>
        <w:t>拟拔出回收的型钢，插入前应先在干燥条件下除锈，再在其表面涂刷减摩材料。完成涂刷后的型钢，在搬运过程中应防止碰撞和强力擦挤。减摩材料如有脱落、开裂等现象应及时修补；</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hint="eastAsia" w:ascii="宋体" w:hAnsi="宋体" w:eastAsia="宋体" w:cs="宋体"/>
          <w:bCs/>
          <w:color w:val="auto"/>
          <w:sz w:val="24"/>
          <w:szCs w:val="22"/>
          <w:lang w:val="en-US" w:eastAsia="zh-CN" w:bidi="ar-SA"/>
        </w:rPr>
      </w:pPr>
      <w:r>
        <w:rPr>
          <w:rFonts w:hint="eastAsia" w:ascii="Times New Roman" w:hAnsi="Times New Roman" w:cs="Times New Roman"/>
          <w:b/>
          <w:color w:val="auto"/>
          <w:sz w:val="24"/>
          <w:szCs w:val="22"/>
          <w:lang w:val="en-US" w:eastAsia="zh-CN" w:bidi="ar-SA"/>
        </w:rPr>
        <w:t>2</w:t>
      </w:r>
      <w:r>
        <w:rPr>
          <w:rFonts w:hint="eastAsia" w:ascii="宋体" w:hAnsi="宋体" w:eastAsia="宋体" w:cs="宋体"/>
          <w:bCs/>
          <w:color w:val="auto"/>
          <w:sz w:val="24"/>
          <w:szCs w:val="22"/>
          <w:lang w:val="en-US" w:eastAsia="zh-CN" w:bidi="ar-SA"/>
        </w:rPr>
        <w:t>型钢拔除前水泥土搅拌墙与主体结构地下室外墙之间的空隙必须回填密实。在拆除支撑和腰梁时应将残留在型钢表面的腰梁限位或支撑抗剪构件、电焊疤等清除干净。</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hint="eastAsia" w:ascii="宋体" w:hAnsi="宋体" w:eastAsia="宋体" w:cs="宋体"/>
          <w:bCs/>
          <w:color w:val="auto"/>
          <w:sz w:val="24"/>
          <w:szCs w:val="22"/>
          <w:lang w:val="en-US" w:eastAsia="zh-CN" w:bidi="ar-SA"/>
        </w:rPr>
      </w:pPr>
      <w:bookmarkStart w:id="520" w:name="_Toc10329"/>
      <w:bookmarkStart w:id="521" w:name="_Toc1486"/>
      <w:r>
        <w:rPr>
          <w:rFonts w:hint="eastAsia" w:ascii="Times New Roman" w:hAnsi="Times New Roman" w:cs="Times New Roman"/>
          <w:b/>
          <w:color w:val="auto"/>
          <w:sz w:val="24"/>
          <w:szCs w:val="22"/>
          <w:lang w:val="en-US" w:eastAsia="zh-CN" w:bidi="ar-SA"/>
        </w:rPr>
        <w:t>3</w:t>
      </w:r>
      <w:r>
        <w:rPr>
          <w:rFonts w:hint="eastAsia" w:ascii="宋体" w:hAnsi="宋体" w:eastAsia="宋体" w:cs="宋体"/>
          <w:bCs/>
          <w:color w:val="auto"/>
          <w:sz w:val="24"/>
          <w:szCs w:val="22"/>
          <w:lang w:val="en-US" w:eastAsia="zh-CN" w:bidi="ar-SA"/>
        </w:rPr>
        <w:t>型钢起拔宜采用专用液压起拔机；</w:t>
      </w:r>
      <w:bookmarkEnd w:id="520"/>
      <w:bookmarkEnd w:id="521"/>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hint="eastAsia" w:ascii="宋体" w:hAnsi="宋体" w:eastAsia="宋体" w:cs="宋体"/>
          <w:bCs/>
          <w:color w:val="auto"/>
          <w:sz w:val="24"/>
          <w:szCs w:val="22"/>
          <w:lang w:val="en-US" w:eastAsia="zh-CN" w:bidi="ar-SA"/>
        </w:rPr>
      </w:pPr>
      <w:r>
        <w:rPr>
          <w:rFonts w:hint="eastAsia" w:ascii="Times New Roman" w:hAnsi="Times New Roman" w:cs="Times New Roman"/>
          <w:b/>
          <w:color w:val="auto"/>
          <w:sz w:val="24"/>
          <w:szCs w:val="22"/>
          <w:lang w:val="en-US" w:eastAsia="zh-CN" w:bidi="ar-SA"/>
        </w:rPr>
        <w:t>4</w:t>
      </w:r>
      <w:r>
        <w:rPr>
          <w:rFonts w:hint="eastAsia" w:ascii="宋体" w:hAnsi="宋体" w:eastAsia="宋体" w:cs="宋体"/>
          <w:bCs/>
          <w:color w:val="auto"/>
          <w:sz w:val="24"/>
          <w:szCs w:val="22"/>
          <w:lang w:val="en-US" w:eastAsia="zh-CN" w:bidi="ar-SA"/>
        </w:rPr>
        <w:t>型钢拔出后留下的空隙应及时注浆填充，并应编制包括浆液配比、注浆工艺、拔除顺序等内容的专项方案。</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1" w:firstLineChars="200"/>
        <w:textAlignment w:val="auto"/>
        <w:rPr>
          <w:rFonts w:hint="eastAsia" w:ascii="宋体" w:hAnsi="宋体" w:eastAsia="宋体" w:cs="宋体"/>
          <w:bCs/>
          <w:color w:val="auto"/>
          <w:sz w:val="24"/>
          <w:szCs w:val="22"/>
          <w:lang w:val="en-US" w:eastAsia="zh-CN" w:bidi="ar-SA"/>
        </w:rPr>
      </w:pPr>
      <w:bookmarkStart w:id="522" w:name="_Toc4385"/>
      <w:bookmarkStart w:id="523" w:name="_Toc11979"/>
      <w:r>
        <w:rPr>
          <w:rFonts w:hint="eastAsia" w:ascii="Times New Roman" w:hAnsi="Times New Roman" w:cs="Times New Roman"/>
          <w:b/>
          <w:color w:val="auto"/>
          <w:sz w:val="24"/>
          <w:szCs w:val="22"/>
          <w:lang w:val="en-US" w:eastAsia="zh-CN" w:bidi="ar-SA"/>
        </w:rPr>
        <w:t>5</w:t>
      </w:r>
      <w:r>
        <w:rPr>
          <w:rFonts w:hint="eastAsia" w:ascii="Times New Roman" w:hAnsi="Times New Roman" w:cs="Times New Roman"/>
          <w:b w:val="0"/>
          <w:bCs/>
          <w:color w:val="auto"/>
          <w:sz w:val="24"/>
          <w:szCs w:val="22"/>
          <w:lang w:val="en-US" w:eastAsia="zh-CN" w:bidi="ar-SA"/>
        </w:rPr>
        <w:t>周</w:t>
      </w:r>
      <w:r>
        <w:rPr>
          <w:rFonts w:hint="eastAsia" w:ascii="宋体" w:hAnsi="宋体" w:eastAsia="宋体" w:cs="宋体"/>
          <w:bCs/>
          <w:color w:val="auto"/>
          <w:sz w:val="24"/>
          <w:szCs w:val="22"/>
          <w:lang w:val="en-US" w:eastAsia="zh-CN" w:bidi="ar-SA"/>
        </w:rPr>
        <w:t>边环境条件复杂、支护要求高的基坑工程，型钢不宜回收。</w:t>
      </w:r>
      <w:bookmarkEnd w:id="522"/>
      <w:bookmarkEnd w:id="523"/>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8.3.40 </w:t>
      </w:r>
      <w:r>
        <w:rPr>
          <w:rFonts w:hint="eastAsia" w:ascii="Times New Roman" w:hAnsi="Times New Roman" w:cs="Times New Roman"/>
          <w:bCs/>
          <w:color w:val="auto"/>
          <w:sz w:val="24"/>
          <w:szCs w:val="22"/>
          <w:lang w:val="en-US" w:eastAsia="zh-CN" w:bidi="ar-SA"/>
        </w:rPr>
        <w:t>对环境保护要求高的基坑工程，宜选择挤土量小的搅拌机头，并应通过试成桩及其监测结果调整施工参数。当邻近保护对象时，搅拌下沉速度宜控制在0. 5m/min~0. 8m/min,提升速度宜控制在lm/min内；喷浆压力不宜大于0. 8MPa。</w:t>
      </w:r>
    </w:p>
    <w:p>
      <w:pPr>
        <w:pStyle w:val="46"/>
        <w:spacing w:after="0" w:line="360" w:lineRule="auto"/>
        <w:ind w:left="0" w:leftChars="0" w:firstLine="0" w:firstLineChars="0"/>
        <w:rPr>
          <w:rFonts w:hint="eastAsia" w:ascii="Times New Roman" w:hAnsi="Times New Roman" w:cs="Times New Roman"/>
          <w:b w:val="0"/>
          <w:bCs/>
          <w:color w:val="auto"/>
          <w:sz w:val="24"/>
          <w:szCs w:val="22"/>
          <w:lang w:val="en-US" w:eastAsia="zh-CN" w:bidi="ar-SA"/>
        </w:rPr>
      </w:pPr>
      <w:bookmarkStart w:id="524" w:name="_Toc17890"/>
      <w:bookmarkStart w:id="525" w:name="_Toc5946"/>
      <w:r>
        <w:rPr>
          <w:rFonts w:hint="eastAsia" w:ascii="Times New Roman" w:hAnsi="Times New Roman" w:cs="Times New Roman"/>
          <w:b/>
          <w:color w:val="auto"/>
          <w:sz w:val="24"/>
          <w:szCs w:val="22"/>
          <w:lang w:val="en-US" w:eastAsia="zh-CN" w:bidi="ar-SA"/>
        </w:rPr>
        <w:t xml:space="preserve">8.3.41 </w:t>
      </w:r>
      <w:r>
        <w:rPr>
          <w:rFonts w:hint="eastAsia" w:ascii="Times New Roman" w:hAnsi="Times New Roman" w:cs="Times New Roman"/>
          <w:b w:val="0"/>
          <w:bCs/>
          <w:color w:val="auto"/>
          <w:sz w:val="24"/>
          <w:szCs w:val="22"/>
          <w:lang w:val="en-US" w:eastAsia="zh-CN" w:bidi="ar-SA"/>
        </w:rPr>
        <w:t>型钢水泥土搅拌墙检查与验收包括：</w:t>
      </w:r>
      <w:bookmarkEnd w:id="524"/>
      <w:bookmarkEnd w:id="525"/>
    </w:p>
    <w:p>
      <w:pPr>
        <w:pStyle w:val="4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Times New Roman" w:hAnsi="Times New Roman" w:cs="Times New Roman"/>
          <w:bCs/>
          <w:color w:val="auto"/>
          <w:sz w:val="24"/>
          <w:szCs w:val="22"/>
          <w:lang w:val="en-US" w:eastAsia="zh-CN" w:bidi="ar-SA"/>
        </w:rPr>
      </w:pPr>
      <w:r>
        <w:rPr>
          <w:rFonts w:hint="eastAsia" w:ascii="Times New Roman" w:hAnsi="Times New Roman" w:cs="Times New Roman"/>
          <w:bCs/>
          <w:color w:val="auto"/>
          <w:sz w:val="24"/>
          <w:szCs w:val="22"/>
          <w:lang w:val="en-US" w:eastAsia="zh-CN" w:bidi="ar-SA"/>
        </w:rPr>
        <w:t>1在施工期间过程控制的内容包括：验证施工机械性能，材料质量，检查搅拌桩和型钢的定位、长度、 标高、垂直度，搅拌桩的水灰比、水泥掺量，搅拌下沉与提升速度，浆液的泵压、泵送量与喷浆均匀度，水泥土试样的制作，外加剂掺量，搅拌桩施工间歇时间及型钢的规格，拼接焊缝质量等；</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Times New Roman" w:hAnsi="Times New Roman" w:cs="Times New Roman"/>
          <w:bCs/>
          <w:color w:val="auto"/>
          <w:sz w:val="24"/>
          <w:szCs w:val="22"/>
          <w:lang w:val="en-US" w:eastAsia="zh-CN" w:bidi="ar-SA"/>
        </w:rPr>
      </w:pPr>
      <w:r>
        <w:rPr>
          <w:rFonts w:hint="eastAsia" w:ascii="Times New Roman" w:hAnsi="Times New Roman" w:cs="Times New Roman"/>
          <w:bCs/>
          <w:color w:val="auto"/>
          <w:sz w:val="24"/>
          <w:szCs w:val="22"/>
          <w:lang w:val="en-US" w:eastAsia="zh-CN" w:bidi="ar-SA"/>
        </w:rPr>
        <w:t>2在型钢水泥土搅拌墙的成墙质量验收时，主要应检查搅拌桩体的强度和搭接状况、型钢的位置偏差等；</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Times New Roman" w:hAnsi="Times New Roman" w:cs="Times New Roman"/>
          <w:bCs/>
          <w:color w:val="auto"/>
          <w:sz w:val="24"/>
          <w:szCs w:val="22"/>
          <w:lang w:val="en-US" w:eastAsia="zh-CN" w:bidi="ar-SA"/>
        </w:rPr>
      </w:pPr>
      <w:r>
        <w:rPr>
          <w:rFonts w:hint="eastAsia" w:ascii="Times New Roman" w:hAnsi="Times New Roman" w:cs="Times New Roman"/>
          <w:bCs/>
          <w:color w:val="auto"/>
          <w:sz w:val="24"/>
          <w:szCs w:val="22"/>
          <w:lang w:val="en-US" w:eastAsia="zh-CN" w:bidi="ar-SA"/>
        </w:rPr>
        <w:t>3在基坑开挖期间应检查开挖面墙体的质量，腰梁和型钢的密贴状况以及渗漏水情况等。</w:t>
      </w:r>
    </w:p>
    <w:p>
      <w:pPr>
        <w:pStyle w:val="46"/>
        <w:spacing w:after="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8.3.42  </w:t>
      </w:r>
      <w:r>
        <w:rPr>
          <w:rFonts w:hint="eastAsia" w:ascii="Times New Roman" w:hAnsi="Times New Roman" w:cs="Times New Roman"/>
          <w:bCs/>
          <w:color w:val="auto"/>
          <w:sz w:val="24"/>
          <w:szCs w:val="22"/>
          <w:lang w:val="en-US" w:eastAsia="zh-CN" w:bidi="ar-SA"/>
        </w:rPr>
        <w:t>采用型钢水泥土搅拌墙作为支护结构的基坑工程，其支撑（或锚杆）系统、土方开挖等分项工程的质量验收应按国家现行标准《建筑地基基础工程施工质量验收规范》GB 50202和 《建筑基坑支护技术规程》JGJ 120等有关规定执行。</w:t>
      </w:r>
    </w:p>
    <w:p>
      <w:pPr>
        <w:pStyle w:val="46"/>
        <w:spacing w:after="20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8.3.43 </w:t>
      </w:r>
      <w:r>
        <w:rPr>
          <w:rFonts w:hint="eastAsia" w:ascii="Times New Roman" w:hAnsi="Times New Roman" w:cs="Times New Roman"/>
          <w:bCs/>
          <w:color w:val="auto"/>
          <w:sz w:val="24"/>
          <w:szCs w:val="22"/>
          <w:lang w:val="en-US" w:eastAsia="zh-CN" w:bidi="ar-SA"/>
        </w:rPr>
        <w:t>焊接H型钢焊缝质量应符合设计要求和现行行业标准 《焊接H型钢》YB 3301和《建筑钢结构焊接技术规程》JGJ 81 的有关规定。H型钢的允许偏差应符合表8. 3.43的规定。</w:t>
      </w:r>
    </w:p>
    <w:p>
      <w:pPr>
        <w:pStyle w:val="48"/>
        <w:spacing w:after="120"/>
        <w:rPr>
          <w:color w:val="auto"/>
        </w:rPr>
      </w:pPr>
      <w:r>
        <w:rPr>
          <w:color w:val="auto"/>
        </w:rPr>
        <w:t>表</w:t>
      </w:r>
      <w:r>
        <w:rPr>
          <w:rFonts w:hint="eastAsia" w:ascii="Times New Roman" w:hAnsi="Times New Roman"/>
          <w:b/>
          <w:bCs/>
          <w:color w:val="auto"/>
          <w:lang w:bidi="en-US"/>
        </w:rPr>
        <w:t>8.</w:t>
      </w:r>
      <w:r>
        <w:rPr>
          <w:rFonts w:hint="eastAsia" w:ascii="Times New Roman" w:hAnsi="Times New Roman"/>
          <w:b/>
          <w:bCs/>
          <w:color w:val="auto"/>
          <w:lang w:val="en-US" w:eastAsia="zh-CN" w:bidi="en-US"/>
        </w:rPr>
        <w:t>3</w:t>
      </w:r>
      <w:r>
        <w:rPr>
          <w:rFonts w:hint="eastAsia" w:ascii="Times New Roman" w:hAnsi="Times New Roman"/>
          <w:b/>
          <w:bCs/>
          <w:color w:val="auto"/>
          <w:lang w:bidi="en-US"/>
        </w:rPr>
        <w:t>.4</w:t>
      </w:r>
      <w:r>
        <w:rPr>
          <w:rFonts w:hint="eastAsia" w:ascii="Times New Roman" w:hAnsi="Times New Roman"/>
          <w:b/>
          <w:bCs/>
          <w:color w:val="auto"/>
          <w:lang w:val="en-US" w:eastAsia="zh-CN" w:bidi="en-US"/>
        </w:rPr>
        <w:t>3</w:t>
      </w:r>
      <w:r>
        <w:rPr>
          <w:rFonts w:hint="eastAsia" w:ascii="Times New Roman" w:hAnsi="Times New Roman"/>
          <w:b/>
          <w:bCs/>
          <w:color w:val="auto"/>
          <w:lang w:bidi="en-US"/>
        </w:rPr>
        <w:t xml:space="preserve"> </w:t>
      </w:r>
      <w:r>
        <w:rPr>
          <w:rFonts w:ascii="Times New Roman" w:hAnsi="Times New Roman" w:eastAsia="Times New Roman"/>
          <w:b/>
          <w:bCs/>
          <w:color w:val="auto"/>
          <w:lang w:bidi="en-US"/>
        </w:rPr>
        <w:t xml:space="preserve"> H</w:t>
      </w:r>
      <w:r>
        <w:rPr>
          <w:color w:val="auto"/>
        </w:rPr>
        <w:t>型钢允许偏差</w:t>
      </w:r>
    </w:p>
    <w:tbl>
      <w:tblPr>
        <w:tblStyle w:val="32"/>
        <w:tblW w:w="0" w:type="auto"/>
        <w:jc w:val="center"/>
        <w:tblLayout w:type="fixed"/>
        <w:tblCellMar>
          <w:top w:w="0" w:type="dxa"/>
          <w:left w:w="10" w:type="dxa"/>
          <w:bottom w:w="0" w:type="dxa"/>
          <w:right w:w="10" w:type="dxa"/>
        </w:tblCellMar>
      </w:tblPr>
      <w:tblGrid>
        <w:gridCol w:w="648"/>
        <w:gridCol w:w="1277"/>
        <w:gridCol w:w="1277"/>
        <w:gridCol w:w="1277"/>
        <w:gridCol w:w="1426"/>
      </w:tblGrid>
      <w:tr>
        <w:tblPrEx>
          <w:tblCellMar>
            <w:top w:w="0" w:type="dxa"/>
            <w:left w:w="10" w:type="dxa"/>
            <w:bottom w:w="0" w:type="dxa"/>
            <w:right w:w="10" w:type="dxa"/>
          </w:tblCellMar>
        </w:tblPrEx>
        <w:trPr>
          <w:trHeight w:val="648" w:hRule="exact"/>
          <w:jc w:val="center"/>
        </w:trPr>
        <w:tc>
          <w:tcPr>
            <w:tcW w:w="648"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序号</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检查项目</w:t>
            </w:r>
          </w:p>
        </w:tc>
        <w:tc>
          <w:tcPr>
            <w:tcW w:w="1277" w:type="dxa"/>
            <w:tcBorders>
              <w:top w:val="single" w:color="auto" w:sz="4" w:space="0"/>
              <w:left w:val="single" w:color="auto" w:sz="4" w:space="0"/>
            </w:tcBorders>
            <w:shd w:val="clear" w:color="auto" w:fill="FFFFFF"/>
            <w:vAlign w:val="center"/>
          </w:tcPr>
          <w:p>
            <w:pPr>
              <w:pStyle w:val="47"/>
              <w:spacing w:after="80" w:line="240" w:lineRule="auto"/>
              <w:rPr>
                <w:color w:val="auto"/>
                <w:sz w:val="15"/>
                <w:szCs w:val="15"/>
              </w:rPr>
            </w:pPr>
            <w:r>
              <w:rPr>
                <w:color w:val="auto"/>
                <w:sz w:val="15"/>
                <w:szCs w:val="15"/>
              </w:rPr>
              <w:t>允许偏差</w:t>
            </w:r>
          </w:p>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(mm)</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检査数量</w:t>
            </w:r>
          </w:p>
        </w:tc>
        <w:tc>
          <w:tcPr>
            <w:tcW w:w="1426"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检査方法</w:t>
            </w:r>
          </w:p>
        </w:tc>
      </w:tr>
      <w:tr>
        <w:tblPrEx>
          <w:tblCellMar>
            <w:top w:w="0" w:type="dxa"/>
            <w:left w:w="10" w:type="dxa"/>
            <w:bottom w:w="0" w:type="dxa"/>
            <w:right w:w="10" w:type="dxa"/>
          </w:tblCellMar>
        </w:tblPrEx>
        <w:trPr>
          <w:trHeight w:val="398" w:hRule="exact"/>
          <w:jc w:val="center"/>
        </w:trPr>
        <w:tc>
          <w:tcPr>
            <w:tcW w:w="648"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1</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截面高度</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color w:val="auto"/>
                <w:sz w:val="15"/>
                <w:szCs w:val="15"/>
              </w:rPr>
              <w:t xml:space="preserve">土 </w:t>
            </w:r>
            <w:r>
              <w:rPr>
                <w:rFonts w:ascii="Times New Roman" w:hAnsi="Times New Roman" w:eastAsia="Times New Roman"/>
                <w:color w:val="auto"/>
                <w:sz w:val="16"/>
                <w:szCs w:val="16"/>
                <w:lang w:val="en-US" w:eastAsia="en-US" w:bidi="en-US"/>
              </w:rPr>
              <w:t xml:space="preserve">5. </w:t>
            </w:r>
            <w:r>
              <w:rPr>
                <w:rFonts w:ascii="Times New Roman" w:hAnsi="Times New Roman" w:eastAsia="Times New Roman"/>
                <w:color w:val="auto"/>
                <w:sz w:val="16"/>
                <w:szCs w:val="16"/>
              </w:rPr>
              <w:t>0</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426"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w:t>
            </w:r>
          </w:p>
        </w:tc>
      </w:tr>
      <w:tr>
        <w:tblPrEx>
          <w:tblCellMar>
            <w:top w:w="0" w:type="dxa"/>
            <w:left w:w="10" w:type="dxa"/>
            <w:bottom w:w="0" w:type="dxa"/>
            <w:right w:w="10" w:type="dxa"/>
          </w:tblCellMar>
        </w:tblPrEx>
        <w:trPr>
          <w:trHeight w:val="398" w:hRule="exact"/>
          <w:jc w:val="center"/>
        </w:trPr>
        <w:tc>
          <w:tcPr>
            <w:tcW w:w="648" w:type="dxa"/>
            <w:tcBorders>
              <w:top w:val="single" w:color="auto" w:sz="4" w:space="0"/>
              <w:left w:val="single" w:color="auto" w:sz="4" w:space="0"/>
            </w:tcBorders>
            <w:shd w:val="clear" w:color="auto" w:fill="FFFFFF"/>
            <w:vAlign w:val="center"/>
          </w:tcPr>
          <w:p>
            <w:pPr>
              <w:pStyle w:val="47"/>
              <w:spacing w:line="240" w:lineRule="auto"/>
              <w:ind w:firstLine="280"/>
              <w:jc w:val="left"/>
              <w:rPr>
                <w:color w:val="auto"/>
                <w:sz w:val="16"/>
                <w:szCs w:val="16"/>
              </w:rPr>
            </w:pPr>
            <w:r>
              <w:rPr>
                <w:rFonts w:ascii="Times New Roman" w:hAnsi="Times New Roman" w:eastAsia="Times New Roman"/>
                <w:color w:val="auto"/>
                <w:sz w:val="16"/>
                <w:szCs w:val="16"/>
              </w:rPr>
              <w:t>2</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截面宽度</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±3.0</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426"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w:t>
            </w:r>
          </w:p>
        </w:tc>
      </w:tr>
      <w:tr>
        <w:tblPrEx>
          <w:tblCellMar>
            <w:top w:w="0" w:type="dxa"/>
            <w:left w:w="10" w:type="dxa"/>
            <w:bottom w:w="0" w:type="dxa"/>
            <w:right w:w="10" w:type="dxa"/>
          </w:tblCellMar>
        </w:tblPrEx>
        <w:trPr>
          <w:trHeight w:val="403" w:hRule="exact"/>
          <w:jc w:val="center"/>
        </w:trPr>
        <w:tc>
          <w:tcPr>
            <w:tcW w:w="648" w:type="dxa"/>
            <w:tcBorders>
              <w:top w:val="single" w:color="auto" w:sz="4" w:space="0"/>
              <w:left w:val="single" w:color="auto" w:sz="4" w:space="0"/>
            </w:tcBorders>
            <w:shd w:val="clear" w:color="auto" w:fill="FFFFFF"/>
            <w:vAlign w:val="center"/>
          </w:tcPr>
          <w:p>
            <w:pPr>
              <w:pStyle w:val="47"/>
              <w:spacing w:line="240" w:lineRule="auto"/>
              <w:ind w:firstLine="280"/>
              <w:jc w:val="left"/>
              <w:rPr>
                <w:color w:val="auto"/>
                <w:sz w:val="16"/>
                <w:szCs w:val="16"/>
              </w:rPr>
            </w:pPr>
            <w:r>
              <w:rPr>
                <w:rFonts w:ascii="Times New Roman" w:hAnsi="Times New Roman" w:eastAsia="Times New Roman"/>
                <w:color w:val="auto"/>
                <w:sz w:val="16"/>
                <w:szCs w:val="16"/>
              </w:rPr>
              <w:t>3</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腹板厚度</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-1.0</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426"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用游标卡尺量</w:t>
            </w:r>
          </w:p>
        </w:tc>
      </w:tr>
      <w:tr>
        <w:tblPrEx>
          <w:tblCellMar>
            <w:top w:w="0" w:type="dxa"/>
            <w:left w:w="10" w:type="dxa"/>
            <w:bottom w:w="0" w:type="dxa"/>
            <w:right w:w="10" w:type="dxa"/>
          </w:tblCellMar>
        </w:tblPrEx>
        <w:trPr>
          <w:trHeight w:val="403" w:hRule="exact"/>
          <w:jc w:val="center"/>
        </w:trPr>
        <w:tc>
          <w:tcPr>
            <w:tcW w:w="648"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4</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翼缘板厚度</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-1.0</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426"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用游标卡尺量</w:t>
            </w:r>
          </w:p>
        </w:tc>
      </w:tr>
      <w:tr>
        <w:tblPrEx>
          <w:tblCellMar>
            <w:top w:w="0" w:type="dxa"/>
            <w:left w:w="10" w:type="dxa"/>
            <w:bottom w:w="0" w:type="dxa"/>
            <w:right w:w="10" w:type="dxa"/>
          </w:tblCellMar>
        </w:tblPrEx>
        <w:trPr>
          <w:trHeight w:val="403" w:hRule="exact"/>
          <w:jc w:val="center"/>
        </w:trPr>
        <w:tc>
          <w:tcPr>
            <w:tcW w:w="648"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5</w:t>
            </w:r>
          </w:p>
        </w:tc>
        <w:tc>
          <w:tcPr>
            <w:tcW w:w="1277" w:type="dxa"/>
            <w:tcBorders>
              <w:top w:val="single" w:color="auto" w:sz="4" w:space="0"/>
              <w:left w:val="single" w:color="auto" w:sz="4" w:space="0"/>
            </w:tcBorders>
            <w:shd w:val="clear" w:color="auto" w:fill="FFFFFF"/>
            <w:vAlign w:val="center"/>
          </w:tcPr>
          <w:p>
            <w:pPr>
              <w:pStyle w:val="47"/>
              <w:spacing w:line="240" w:lineRule="auto"/>
              <w:ind w:firstLine="300"/>
              <w:jc w:val="left"/>
              <w:rPr>
                <w:color w:val="auto"/>
                <w:sz w:val="15"/>
                <w:szCs w:val="15"/>
              </w:rPr>
            </w:pPr>
            <w:r>
              <w:rPr>
                <w:color w:val="auto"/>
                <w:sz w:val="15"/>
                <w:szCs w:val="15"/>
              </w:rPr>
              <w:t>型钢长度</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±50</w:t>
            </w:r>
          </w:p>
        </w:tc>
        <w:tc>
          <w:tcPr>
            <w:tcW w:w="1277"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426"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w:t>
            </w:r>
          </w:p>
        </w:tc>
      </w:tr>
      <w:tr>
        <w:tblPrEx>
          <w:tblCellMar>
            <w:top w:w="0" w:type="dxa"/>
            <w:left w:w="10" w:type="dxa"/>
            <w:bottom w:w="0" w:type="dxa"/>
            <w:right w:w="10" w:type="dxa"/>
          </w:tblCellMar>
        </w:tblPrEx>
        <w:trPr>
          <w:trHeight w:val="413" w:hRule="exact"/>
          <w:jc w:val="center"/>
        </w:trPr>
        <w:tc>
          <w:tcPr>
            <w:tcW w:w="648"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6</w:t>
            </w:r>
          </w:p>
        </w:tc>
        <w:tc>
          <w:tcPr>
            <w:tcW w:w="1277"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5"/>
                <w:szCs w:val="15"/>
              </w:rPr>
            </w:pPr>
            <w:r>
              <w:rPr>
                <w:color w:val="auto"/>
                <w:sz w:val="15"/>
                <w:szCs w:val="15"/>
              </w:rPr>
              <w:t>型钢挠度</w:t>
            </w:r>
          </w:p>
        </w:tc>
        <w:tc>
          <w:tcPr>
            <w:tcW w:w="1277"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L/500</w:t>
            </w:r>
          </w:p>
        </w:tc>
        <w:tc>
          <w:tcPr>
            <w:tcW w:w="1277"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4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w:t>
            </w:r>
          </w:p>
        </w:tc>
      </w:tr>
    </w:tbl>
    <w:p>
      <w:pPr>
        <w:pStyle w:val="51"/>
        <w:ind w:left="1500" w:hanging="1500" w:hangingChars="1000"/>
        <w:jc w:val="left"/>
        <w:rPr>
          <w:color w:val="auto"/>
          <w:sz w:val="15"/>
          <w:szCs w:val="15"/>
        </w:rPr>
      </w:pPr>
      <w:r>
        <w:rPr>
          <w:color w:val="auto"/>
          <w:sz w:val="15"/>
          <w:szCs w:val="15"/>
        </w:rPr>
        <w:br w:type="textWrapping"/>
      </w:r>
      <w:r>
        <w:rPr>
          <w:color w:val="auto"/>
          <w:sz w:val="15"/>
          <w:szCs w:val="15"/>
        </w:rPr>
        <w:t>注：表中</w:t>
      </w:r>
      <w:r>
        <w:rPr>
          <w:rFonts w:ascii="Times New Roman" w:hAnsi="Times New Roman" w:eastAsia="Times New Roman" w:cs="Times New Roman"/>
          <w:color w:val="auto"/>
          <w:sz w:val="16"/>
          <w:szCs w:val="16"/>
          <w:lang w:val="en-US" w:eastAsia="zh-CN" w:bidi="en-US"/>
        </w:rPr>
        <w:t>L</w:t>
      </w:r>
      <w:r>
        <w:rPr>
          <w:color w:val="auto"/>
          <w:sz w:val="15"/>
          <w:szCs w:val="15"/>
        </w:rPr>
        <w:t>为型钢长度。</w:t>
      </w:r>
    </w:p>
    <w:p>
      <w:pPr>
        <w:pStyle w:val="46"/>
        <w:spacing w:after="160" w:line="360" w:lineRule="auto"/>
        <w:ind w:left="0" w:leftChars="0" w:firstLine="0" w:firstLineChars="0"/>
        <w:rPr>
          <w:rFonts w:ascii="Times New Roman" w:hAnsi="Times New Roman" w:cs="Times New Roman"/>
          <w:bCs/>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8.3.44 </w:t>
      </w:r>
      <w:r>
        <w:rPr>
          <w:rFonts w:hint="eastAsia" w:ascii="Times New Roman" w:hAnsi="Times New Roman" w:cs="Times New Roman"/>
          <w:bCs/>
          <w:color w:val="auto"/>
          <w:sz w:val="24"/>
          <w:szCs w:val="22"/>
          <w:lang w:val="en-US" w:eastAsia="zh-CN" w:bidi="ar-SA"/>
        </w:rPr>
        <w:t>基坑开挖前应检验水泥土搅拌桩的桩身强度，强度指标应符合设计要求。水泥土搅拌桩的桩身强度宜釆用浆液试块强度试验确定，也可以采用钻取桩芯强度试验确定。桩身强度检测方法应符合下列规定：</w:t>
      </w:r>
    </w:p>
    <w:p>
      <w:pPr>
        <w:pStyle w:val="46"/>
        <w:spacing w:after="160" w:line="360" w:lineRule="auto"/>
        <w:ind w:left="0" w:firstLine="720" w:firstLineChars="300"/>
        <w:rPr>
          <w:rFonts w:ascii="Times New Roman" w:hAnsi="Times New Roman" w:cs="Times New Roman"/>
          <w:bCs/>
          <w:color w:val="auto"/>
          <w:sz w:val="24"/>
          <w:szCs w:val="22"/>
          <w:lang w:val="en-US" w:eastAsia="zh-CN" w:bidi="ar-SA"/>
        </w:rPr>
      </w:pPr>
      <w:r>
        <w:rPr>
          <w:rFonts w:hint="eastAsia" w:ascii="Times New Roman" w:hAnsi="Times New Roman" w:cs="Times New Roman"/>
          <w:bCs/>
          <w:color w:val="auto"/>
          <w:sz w:val="24"/>
          <w:szCs w:val="22"/>
          <w:lang w:val="zh-CN" w:eastAsia="zh-CN" w:bidi="ar-SA"/>
        </w:rPr>
        <w:t>1</w:t>
      </w:r>
      <w:r>
        <w:rPr>
          <w:rFonts w:hint="eastAsia" w:ascii="Times New Roman" w:hAnsi="Times New Roman" w:cs="Times New Roman"/>
          <w:bCs/>
          <w:color w:val="auto"/>
          <w:sz w:val="24"/>
          <w:szCs w:val="22"/>
          <w:lang w:val="en-US" w:eastAsia="zh-CN" w:bidi="ar-SA"/>
        </w:rPr>
        <w:t>浆液试块强度试验应取刚搅拌完成而尚未凝固的水泥土搅拌桩浆液制作试块，每台班应抽检1根桩，每根桩不应少于2个取样点，每个取样点应制作3件试块。取样点应设置在基坑坑底以上1m范围内和坑底以上最软弱土层处的搅拌桩内。试块应及时密封水下养护28d后进行无侧限抗压强度试验；</w:t>
      </w:r>
    </w:p>
    <w:p>
      <w:pPr>
        <w:pStyle w:val="46"/>
        <w:spacing w:after="160" w:line="360" w:lineRule="auto"/>
        <w:ind w:left="0" w:firstLine="720" w:firstLineChars="300"/>
        <w:rPr>
          <w:rFonts w:ascii="Times New Roman" w:hAnsi="Times New Roman" w:cs="Times New Roman"/>
          <w:bCs/>
          <w:color w:val="auto"/>
          <w:sz w:val="24"/>
          <w:szCs w:val="22"/>
          <w:lang w:val="en-US" w:eastAsia="zh-CN" w:bidi="ar-SA"/>
        </w:rPr>
      </w:pPr>
      <w:r>
        <w:rPr>
          <w:rFonts w:hint="eastAsia" w:ascii="Times New Roman" w:hAnsi="Times New Roman" w:cs="Times New Roman"/>
          <w:bCs/>
          <w:color w:val="auto"/>
          <w:sz w:val="24"/>
          <w:szCs w:val="22"/>
          <w:lang w:val="en-US" w:eastAsia="zh-CN" w:bidi="ar-SA"/>
        </w:rPr>
        <w:t>2钻取桩芯强度试验应采用地质钻机并选择可靠的取芯钻具，钻取搅拌桩施工后28d龄期的水泥土芯样，钻取的芯样应立即密封并及时进行无侧限抗压强度试验。抽检数量不应少于总桩 数的2%，且不得少于3根。每根桩的取芯数量不宜少于5组， 每组不宜少于3件试块。芯样应在全桩长范围内连续钻取的桩芯 上选取，取样点应取沿桩长不同深度和不同土层处的5点，且在基坑坑底附近应设取样点。钻取桩芯得到的试块强度，宜根据钻取桩芯过程中芯样的情况，乘以1.2-1.3的系数。钻孔取芯完成后的空隙应注浆填充。</w:t>
      </w:r>
    </w:p>
    <w:p>
      <w:pPr>
        <w:pStyle w:val="46"/>
        <w:spacing w:after="200" w:line="322" w:lineRule="exact"/>
        <w:ind w:left="0" w:firstLine="0"/>
        <w:rPr>
          <w:color w:val="auto"/>
        </w:rPr>
      </w:pPr>
      <w:r>
        <w:rPr>
          <w:rFonts w:hint="eastAsia" w:ascii="Times New Roman" w:hAnsi="Times New Roman" w:cs="Times New Roman"/>
          <w:b/>
          <w:color w:val="auto"/>
          <w:sz w:val="24"/>
          <w:szCs w:val="22"/>
          <w:lang w:val="en-US" w:eastAsia="zh-CN" w:bidi="ar-SA"/>
        </w:rPr>
        <w:t xml:space="preserve">8. 3. 45 </w:t>
      </w:r>
      <w:r>
        <w:rPr>
          <w:rFonts w:hint="eastAsia" w:ascii="Times New Roman" w:hAnsi="Times New Roman" w:cs="Times New Roman"/>
          <w:bCs/>
          <w:color w:val="auto"/>
          <w:sz w:val="24"/>
          <w:szCs w:val="22"/>
          <w:lang w:val="en-US" w:eastAsia="zh-CN" w:bidi="ar-SA"/>
        </w:rPr>
        <w:t>水泥土搅拌桩成桩质量检验标准应符合表8.3.45的规定。</w:t>
      </w:r>
    </w:p>
    <w:p>
      <w:pPr>
        <w:pStyle w:val="51"/>
        <w:ind w:firstLine="0"/>
        <w:jc w:val="center"/>
        <w:rPr>
          <w:color w:val="auto"/>
        </w:rPr>
      </w:pPr>
    </w:p>
    <w:p>
      <w:pPr>
        <w:pStyle w:val="51"/>
        <w:ind w:firstLine="0"/>
        <w:jc w:val="center"/>
        <w:rPr>
          <w:color w:val="auto"/>
        </w:rPr>
      </w:pPr>
      <w:r>
        <w:rPr>
          <w:color w:val="auto"/>
        </w:rPr>
        <w:t>表</w:t>
      </w:r>
      <w:r>
        <w:rPr>
          <w:rFonts w:hint="eastAsia" w:ascii="Times New Roman" w:hAnsi="Times New Roman" w:cs="Times New Roman"/>
          <w:b/>
          <w:bCs/>
          <w:color w:val="auto"/>
          <w:lang w:val="en-US" w:eastAsia="zh-CN" w:bidi="en-US"/>
        </w:rPr>
        <w:t>8</w:t>
      </w:r>
      <w:r>
        <w:rPr>
          <w:rFonts w:ascii="Times New Roman" w:hAnsi="Times New Roman" w:eastAsia="Times New Roman" w:cs="Times New Roman"/>
          <w:b/>
          <w:bCs/>
          <w:color w:val="auto"/>
          <w:lang w:val="en-US" w:eastAsia="zh-CN" w:bidi="en-US"/>
        </w:rPr>
        <w:t>.</w:t>
      </w:r>
      <w:r>
        <w:rPr>
          <w:rFonts w:hint="eastAsia" w:ascii="Times New Roman" w:hAnsi="Times New Roman" w:cs="Times New Roman"/>
          <w:b/>
          <w:bCs/>
          <w:color w:val="auto"/>
          <w:lang w:val="en-US" w:eastAsia="zh-CN" w:bidi="en-US"/>
        </w:rPr>
        <w:t>3</w:t>
      </w:r>
      <w:r>
        <w:rPr>
          <w:rFonts w:ascii="Times New Roman" w:hAnsi="Times New Roman" w:eastAsia="Times New Roman" w:cs="Times New Roman"/>
          <w:b/>
          <w:bCs/>
          <w:color w:val="auto"/>
          <w:lang w:val="en-US" w:eastAsia="zh-CN" w:bidi="en-US"/>
        </w:rPr>
        <w:t>.</w:t>
      </w:r>
      <w:r>
        <w:rPr>
          <w:rFonts w:hint="eastAsia" w:ascii="Times New Roman" w:hAnsi="Times New Roman" w:cs="Times New Roman"/>
          <w:b/>
          <w:bCs/>
          <w:color w:val="auto"/>
          <w:lang w:val="en-US" w:eastAsia="zh-CN" w:bidi="en-US"/>
        </w:rPr>
        <w:t>45</w:t>
      </w:r>
      <w:r>
        <w:rPr>
          <w:color w:val="auto"/>
        </w:rPr>
        <w:t>水泥土搅拌桩成桩质量检验标准</w:t>
      </w:r>
    </w:p>
    <w:tbl>
      <w:tblPr>
        <w:tblStyle w:val="32"/>
        <w:tblW w:w="0" w:type="auto"/>
        <w:jc w:val="center"/>
        <w:tblLayout w:type="fixed"/>
        <w:tblCellMar>
          <w:top w:w="0" w:type="dxa"/>
          <w:left w:w="10" w:type="dxa"/>
          <w:bottom w:w="0" w:type="dxa"/>
          <w:right w:w="10" w:type="dxa"/>
        </w:tblCellMar>
      </w:tblPr>
      <w:tblGrid>
        <w:gridCol w:w="490"/>
        <w:gridCol w:w="960"/>
        <w:gridCol w:w="1594"/>
        <w:gridCol w:w="1272"/>
        <w:gridCol w:w="1594"/>
      </w:tblGrid>
      <w:tr>
        <w:tblPrEx>
          <w:tblCellMar>
            <w:top w:w="0" w:type="dxa"/>
            <w:left w:w="10" w:type="dxa"/>
            <w:bottom w:w="0" w:type="dxa"/>
            <w:right w:w="10" w:type="dxa"/>
          </w:tblCellMar>
        </w:tblPrEx>
        <w:trPr>
          <w:trHeight w:val="494" w:hRule="exact"/>
          <w:jc w:val="center"/>
        </w:trPr>
        <w:tc>
          <w:tcPr>
            <w:tcW w:w="490"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序号</w:t>
            </w:r>
          </w:p>
        </w:tc>
        <w:tc>
          <w:tcPr>
            <w:tcW w:w="960" w:type="dxa"/>
            <w:tcBorders>
              <w:top w:val="single" w:color="auto" w:sz="4" w:space="0"/>
              <w:left w:val="single" w:color="auto" w:sz="4" w:space="0"/>
            </w:tcBorders>
            <w:shd w:val="clear" w:color="auto" w:fill="FFFFFF"/>
            <w:vAlign w:val="center"/>
          </w:tcPr>
          <w:p>
            <w:pPr>
              <w:pStyle w:val="47"/>
              <w:spacing w:line="240" w:lineRule="auto"/>
              <w:ind w:firstLine="140"/>
              <w:jc w:val="left"/>
              <w:rPr>
                <w:color w:val="auto"/>
                <w:sz w:val="15"/>
                <w:szCs w:val="15"/>
              </w:rPr>
            </w:pPr>
            <w:r>
              <w:rPr>
                <w:color w:val="auto"/>
                <w:sz w:val="15"/>
                <w:szCs w:val="15"/>
              </w:rPr>
              <w:t>检査项目</w:t>
            </w:r>
          </w:p>
        </w:tc>
        <w:tc>
          <w:tcPr>
            <w:tcW w:w="1594"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允许偏差或允许值</w:t>
            </w:r>
          </w:p>
        </w:tc>
        <w:tc>
          <w:tcPr>
            <w:tcW w:w="1272"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检查数量</w:t>
            </w:r>
          </w:p>
        </w:tc>
        <w:tc>
          <w:tcPr>
            <w:tcW w:w="1594"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检查方法</w:t>
            </w:r>
          </w:p>
        </w:tc>
      </w:tr>
      <w:tr>
        <w:tblPrEx>
          <w:tblCellMar>
            <w:top w:w="0" w:type="dxa"/>
            <w:left w:w="10" w:type="dxa"/>
            <w:bottom w:w="0" w:type="dxa"/>
            <w:right w:w="10" w:type="dxa"/>
          </w:tblCellMar>
        </w:tblPrEx>
        <w:trPr>
          <w:trHeight w:val="480" w:hRule="exact"/>
          <w:jc w:val="center"/>
        </w:trPr>
        <w:tc>
          <w:tcPr>
            <w:tcW w:w="490"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1</w:t>
            </w:r>
          </w:p>
        </w:tc>
        <w:tc>
          <w:tcPr>
            <w:tcW w:w="960" w:type="dxa"/>
            <w:tcBorders>
              <w:top w:val="single" w:color="auto" w:sz="4" w:space="0"/>
              <w:left w:val="single" w:color="auto" w:sz="4" w:space="0"/>
            </w:tcBorders>
            <w:shd w:val="clear" w:color="auto" w:fill="FFFFFF"/>
            <w:vAlign w:val="center"/>
          </w:tcPr>
          <w:p>
            <w:pPr>
              <w:pStyle w:val="47"/>
              <w:spacing w:line="240" w:lineRule="auto"/>
              <w:ind w:firstLine="140"/>
              <w:jc w:val="left"/>
              <w:rPr>
                <w:color w:val="auto"/>
                <w:sz w:val="15"/>
                <w:szCs w:val="15"/>
              </w:rPr>
            </w:pPr>
            <w:r>
              <w:rPr>
                <w:color w:val="auto"/>
                <w:sz w:val="15"/>
                <w:szCs w:val="15"/>
              </w:rPr>
              <w:t>桩底标高</w:t>
            </w:r>
          </w:p>
        </w:tc>
        <w:tc>
          <w:tcPr>
            <w:tcW w:w="1594"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+ 50mm</w:t>
            </w:r>
          </w:p>
        </w:tc>
        <w:tc>
          <w:tcPr>
            <w:tcW w:w="1272"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594"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测钻杆长度</w:t>
            </w:r>
          </w:p>
        </w:tc>
      </w:tr>
      <w:tr>
        <w:tblPrEx>
          <w:tblCellMar>
            <w:top w:w="0" w:type="dxa"/>
            <w:left w:w="10" w:type="dxa"/>
            <w:bottom w:w="0" w:type="dxa"/>
            <w:right w:w="10" w:type="dxa"/>
          </w:tblCellMar>
        </w:tblPrEx>
        <w:trPr>
          <w:trHeight w:val="485" w:hRule="exact"/>
          <w:jc w:val="center"/>
        </w:trPr>
        <w:tc>
          <w:tcPr>
            <w:tcW w:w="490"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2</w:t>
            </w:r>
          </w:p>
        </w:tc>
        <w:tc>
          <w:tcPr>
            <w:tcW w:w="960" w:type="dxa"/>
            <w:tcBorders>
              <w:top w:val="single" w:color="auto" w:sz="4" w:space="0"/>
              <w:left w:val="single" w:color="auto" w:sz="4" w:space="0"/>
            </w:tcBorders>
            <w:shd w:val="clear" w:color="auto" w:fill="FFFFFF"/>
            <w:vAlign w:val="center"/>
          </w:tcPr>
          <w:p>
            <w:pPr>
              <w:pStyle w:val="47"/>
              <w:spacing w:line="240" w:lineRule="auto"/>
              <w:ind w:firstLine="140"/>
              <w:jc w:val="left"/>
              <w:rPr>
                <w:color w:val="auto"/>
                <w:sz w:val="15"/>
                <w:szCs w:val="15"/>
              </w:rPr>
            </w:pPr>
            <w:r>
              <w:rPr>
                <w:color w:val="auto"/>
                <w:sz w:val="15"/>
                <w:szCs w:val="15"/>
              </w:rPr>
              <w:t>桩位偏差</w:t>
            </w:r>
          </w:p>
        </w:tc>
        <w:tc>
          <w:tcPr>
            <w:tcW w:w="1594"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50mm</w:t>
            </w:r>
          </w:p>
        </w:tc>
        <w:tc>
          <w:tcPr>
            <w:tcW w:w="1272"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594"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w:t>
            </w:r>
          </w:p>
        </w:tc>
      </w:tr>
      <w:tr>
        <w:tblPrEx>
          <w:tblCellMar>
            <w:top w:w="0" w:type="dxa"/>
            <w:left w:w="10" w:type="dxa"/>
            <w:bottom w:w="0" w:type="dxa"/>
            <w:right w:w="10" w:type="dxa"/>
          </w:tblCellMar>
        </w:tblPrEx>
        <w:trPr>
          <w:trHeight w:val="475" w:hRule="exact"/>
          <w:jc w:val="center"/>
        </w:trPr>
        <w:tc>
          <w:tcPr>
            <w:tcW w:w="490"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3</w:t>
            </w:r>
          </w:p>
        </w:tc>
        <w:tc>
          <w:tcPr>
            <w:tcW w:w="960"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桩径</w:t>
            </w:r>
          </w:p>
        </w:tc>
        <w:tc>
          <w:tcPr>
            <w:tcW w:w="1594"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color w:val="auto"/>
                <w:sz w:val="15"/>
                <w:szCs w:val="15"/>
                <w:lang w:val="zh-CN" w:eastAsia="zh-CN" w:bidi="zh-CN"/>
              </w:rPr>
              <w:t xml:space="preserve">士 </w:t>
            </w:r>
            <w:r>
              <w:rPr>
                <w:rFonts w:ascii="Times New Roman" w:hAnsi="Times New Roman" w:eastAsia="Times New Roman"/>
                <w:color w:val="auto"/>
                <w:sz w:val="16"/>
                <w:szCs w:val="16"/>
                <w:lang w:val="en-US" w:eastAsia="en-US" w:bidi="en-US"/>
              </w:rPr>
              <w:t>10mm</w:t>
            </w:r>
          </w:p>
        </w:tc>
        <w:tc>
          <w:tcPr>
            <w:tcW w:w="1272"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594"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用钢尺量钻头</w:t>
            </w:r>
          </w:p>
        </w:tc>
      </w:tr>
      <w:tr>
        <w:tblPrEx>
          <w:tblCellMar>
            <w:top w:w="0" w:type="dxa"/>
            <w:left w:w="10" w:type="dxa"/>
            <w:bottom w:w="0" w:type="dxa"/>
            <w:right w:w="10" w:type="dxa"/>
          </w:tblCellMar>
        </w:tblPrEx>
        <w:trPr>
          <w:trHeight w:val="494" w:hRule="exact"/>
          <w:jc w:val="center"/>
        </w:trPr>
        <w:tc>
          <w:tcPr>
            <w:tcW w:w="490"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4</w:t>
            </w:r>
          </w:p>
        </w:tc>
        <w:tc>
          <w:tcPr>
            <w:tcW w:w="960" w:type="dxa"/>
            <w:tcBorders>
              <w:top w:val="single" w:color="auto" w:sz="4" w:space="0"/>
              <w:left w:val="single" w:color="auto" w:sz="4" w:space="0"/>
              <w:bottom w:val="single" w:color="auto" w:sz="4" w:space="0"/>
            </w:tcBorders>
            <w:shd w:val="clear" w:color="auto" w:fill="FFFFFF"/>
            <w:vAlign w:val="center"/>
          </w:tcPr>
          <w:p>
            <w:pPr>
              <w:pStyle w:val="47"/>
              <w:spacing w:line="240" w:lineRule="auto"/>
              <w:ind w:firstLine="140"/>
              <w:jc w:val="left"/>
              <w:rPr>
                <w:color w:val="auto"/>
                <w:sz w:val="15"/>
                <w:szCs w:val="15"/>
              </w:rPr>
            </w:pPr>
            <w:r>
              <w:rPr>
                <w:color w:val="auto"/>
                <w:sz w:val="15"/>
                <w:szCs w:val="15"/>
              </w:rPr>
              <w:t>施工间歇</w:t>
            </w:r>
          </w:p>
        </w:tc>
        <w:tc>
          <w:tcPr>
            <w:tcW w:w="1594"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lang w:val="en-US" w:eastAsia="en-US" w:bidi="en-US"/>
              </w:rPr>
              <w:t>&lt;24h</w:t>
            </w:r>
          </w:p>
        </w:tc>
        <w:tc>
          <w:tcPr>
            <w:tcW w:w="1272"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5"/>
                <w:szCs w:val="15"/>
              </w:rPr>
            </w:pPr>
            <w:r>
              <w:rPr>
                <w:color w:val="auto"/>
                <w:sz w:val="15"/>
                <w:szCs w:val="15"/>
              </w:rPr>
              <w:t>每根</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查施工记录</w:t>
            </w:r>
          </w:p>
        </w:tc>
      </w:tr>
    </w:tbl>
    <w:p>
      <w:pPr>
        <w:pStyle w:val="46"/>
        <w:spacing w:after="160" w:line="360" w:lineRule="auto"/>
        <w:rPr>
          <w:rFonts w:ascii="Times New Roman" w:hAnsi="Times New Roman" w:cs="Times New Roman"/>
          <w:bCs/>
          <w:color w:val="auto"/>
          <w:sz w:val="24"/>
          <w:szCs w:val="22"/>
          <w:lang w:val="en-US" w:eastAsia="zh-CN" w:bidi="ar-SA"/>
        </w:rPr>
      </w:pPr>
    </w:p>
    <w:p>
      <w:pPr>
        <w:pStyle w:val="46"/>
        <w:spacing w:after="200" w:line="322" w:lineRule="exact"/>
        <w:ind w:left="0" w:firstLine="0"/>
        <w:rPr>
          <w:rFonts w:ascii="Times New Roman" w:hAnsi="Times New Roman" w:cs="Times New Roman"/>
          <w:b/>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8.3.46 </w:t>
      </w:r>
      <w:r>
        <w:rPr>
          <w:rFonts w:hint="eastAsia" w:ascii="Times New Roman" w:hAnsi="Times New Roman" w:cs="Times New Roman"/>
          <w:bCs/>
          <w:color w:val="auto"/>
          <w:sz w:val="24"/>
          <w:szCs w:val="22"/>
          <w:lang w:val="en-US" w:eastAsia="zh-CN" w:bidi="ar-SA"/>
        </w:rPr>
        <w:t>型钢插入允许偏差应符合表8.3.46的规定。</w:t>
      </w:r>
    </w:p>
    <w:p>
      <w:pPr>
        <w:pStyle w:val="48"/>
        <w:spacing w:after="80"/>
        <w:rPr>
          <w:color w:val="auto"/>
        </w:rPr>
      </w:pPr>
      <w:r>
        <w:rPr>
          <w:color w:val="auto"/>
        </w:rPr>
        <w:t>表</w:t>
      </w:r>
      <w:r>
        <w:rPr>
          <w:rFonts w:hint="eastAsia" w:ascii="Times New Roman" w:hAnsi="Times New Roman"/>
          <w:b/>
          <w:bCs/>
          <w:color w:val="auto"/>
          <w:lang w:bidi="en-US"/>
        </w:rPr>
        <w:t>8</w:t>
      </w:r>
      <w:r>
        <w:rPr>
          <w:rFonts w:ascii="Times New Roman" w:hAnsi="Times New Roman" w:eastAsia="Times New Roman"/>
          <w:b/>
          <w:bCs/>
          <w:color w:val="auto"/>
          <w:lang w:bidi="en-US"/>
        </w:rPr>
        <w:t>.</w:t>
      </w:r>
      <w:r>
        <w:rPr>
          <w:rFonts w:hint="eastAsia" w:ascii="Times New Roman" w:hAnsi="Times New Roman"/>
          <w:b/>
          <w:bCs/>
          <w:color w:val="auto"/>
          <w:lang w:val="en-US" w:eastAsia="zh-CN" w:bidi="en-US"/>
        </w:rPr>
        <w:t>3</w:t>
      </w:r>
      <w:r>
        <w:rPr>
          <w:rFonts w:ascii="Times New Roman" w:hAnsi="Times New Roman" w:eastAsia="Times New Roman"/>
          <w:b/>
          <w:bCs/>
          <w:color w:val="auto"/>
          <w:lang w:bidi="en-US"/>
        </w:rPr>
        <w:t>.</w:t>
      </w:r>
      <w:r>
        <w:rPr>
          <w:rFonts w:hint="eastAsia" w:ascii="Times New Roman" w:hAnsi="Times New Roman"/>
          <w:b/>
          <w:bCs/>
          <w:color w:val="auto"/>
          <w:lang w:bidi="en-US"/>
        </w:rPr>
        <w:t>4</w:t>
      </w:r>
      <w:r>
        <w:rPr>
          <w:rFonts w:hint="eastAsia" w:ascii="Times New Roman" w:hAnsi="Times New Roman"/>
          <w:b/>
          <w:bCs/>
          <w:color w:val="auto"/>
          <w:lang w:val="en-US" w:eastAsia="zh-CN" w:bidi="en-US"/>
        </w:rPr>
        <w:t>6</w:t>
      </w:r>
      <w:r>
        <w:rPr>
          <w:color w:val="auto"/>
        </w:rPr>
        <w:t>型钢插入允许偏差</w:t>
      </w:r>
    </w:p>
    <w:tbl>
      <w:tblPr>
        <w:tblStyle w:val="32"/>
        <w:tblW w:w="0" w:type="auto"/>
        <w:jc w:val="center"/>
        <w:tblLayout w:type="fixed"/>
        <w:tblCellMar>
          <w:top w:w="0" w:type="dxa"/>
          <w:left w:w="10" w:type="dxa"/>
          <w:bottom w:w="0" w:type="dxa"/>
          <w:right w:w="10" w:type="dxa"/>
        </w:tblCellMar>
      </w:tblPr>
      <w:tblGrid>
        <w:gridCol w:w="490"/>
        <w:gridCol w:w="1114"/>
        <w:gridCol w:w="2074"/>
        <w:gridCol w:w="802"/>
        <w:gridCol w:w="1430"/>
      </w:tblGrid>
      <w:tr>
        <w:tblPrEx>
          <w:tblCellMar>
            <w:top w:w="0" w:type="dxa"/>
            <w:left w:w="10" w:type="dxa"/>
            <w:bottom w:w="0" w:type="dxa"/>
            <w:right w:w="10" w:type="dxa"/>
          </w:tblCellMar>
        </w:tblPrEx>
        <w:trPr>
          <w:trHeight w:val="336" w:hRule="exact"/>
          <w:jc w:val="center"/>
        </w:trPr>
        <w:tc>
          <w:tcPr>
            <w:tcW w:w="490"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color w:val="auto"/>
                <w:sz w:val="15"/>
                <w:szCs w:val="15"/>
              </w:rPr>
              <w:t>序号</w:t>
            </w:r>
          </w:p>
        </w:tc>
        <w:tc>
          <w:tcPr>
            <w:tcW w:w="1114"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color w:val="auto"/>
                <w:sz w:val="15"/>
                <w:szCs w:val="15"/>
              </w:rPr>
              <w:t>检查项目</w:t>
            </w:r>
          </w:p>
        </w:tc>
        <w:tc>
          <w:tcPr>
            <w:tcW w:w="2074"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color w:val="auto"/>
                <w:sz w:val="15"/>
                <w:szCs w:val="15"/>
              </w:rPr>
              <w:t>允许偏差或允许值</w:t>
            </w:r>
          </w:p>
        </w:tc>
        <w:tc>
          <w:tcPr>
            <w:tcW w:w="802"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color w:val="auto"/>
                <w:sz w:val="15"/>
                <w:szCs w:val="15"/>
              </w:rPr>
              <w:t>检査数量</w:t>
            </w:r>
          </w:p>
        </w:tc>
        <w:tc>
          <w:tcPr>
            <w:tcW w:w="1430" w:type="dxa"/>
            <w:tcBorders>
              <w:top w:val="single" w:color="auto" w:sz="4" w:space="0"/>
              <w:left w:val="single" w:color="auto" w:sz="4" w:space="0"/>
              <w:right w:val="single" w:color="auto" w:sz="4" w:space="0"/>
            </w:tcBorders>
            <w:shd w:val="clear" w:color="auto" w:fill="FFFFFF"/>
            <w:vAlign w:val="bottom"/>
          </w:tcPr>
          <w:p>
            <w:pPr>
              <w:pStyle w:val="47"/>
              <w:spacing w:line="240" w:lineRule="auto"/>
              <w:rPr>
                <w:color w:val="auto"/>
                <w:sz w:val="15"/>
                <w:szCs w:val="15"/>
              </w:rPr>
            </w:pPr>
            <w:r>
              <w:rPr>
                <w:color w:val="auto"/>
                <w:sz w:val="15"/>
                <w:szCs w:val="15"/>
              </w:rPr>
              <w:t>检査方法</w:t>
            </w:r>
          </w:p>
        </w:tc>
      </w:tr>
      <w:tr>
        <w:tblPrEx>
          <w:tblCellMar>
            <w:top w:w="0" w:type="dxa"/>
            <w:left w:w="10" w:type="dxa"/>
            <w:bottom w:w="0" w:type="dxa"/>
            <w:right w:w="10" w:type="dxa"/>
          </w:tblCellMar>
        </w:tblPrEx>
        <w:trPr>
          <w:trHeight w:val="317" w:hRule="exact"/>
          <w:jc w:val="center"/>
        </w:trPr>
        <w:tc>
          <w:tcPr>
            <w:tcW w:w="490"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1</w:t>
            </w:r>
          </w:p>
        </w:tc>
        <w:tc>
          <w:tcPr>
            <w:tcW w:w="1114"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型钢顶标高</w:t>
            </w:r>
          </w:p>
        </w:tc>
        <w:tc>
          <w:tcPr>
            <w:tcW w:w="2074" w:type="dxa"/>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color w:val="auto"/>
                <w:sz w:val="15"/>
                <w:szCs w:val="15"/>
              </w:rPr>
              <w:t xml:space="preserve">士 </w:t>
            </w:r>
            <w:r>
              <w:rPr>
                <w:rFonts w:ascii="Times New Roman" w:hAnsi="Times New Roman" w:eastAsia="Times New Roman"/>
                <w:color w:val="auto"/>
                <w:sz w:val="16"/>
                <w:szCs w:val="16"/>
                <w:lang w:val="en-US" w:eastAsia="en-US" w:bidi="en-US"/>
              </w:rPr>
              <w:t>50mm</w:t>
            </w:r>
          </w:p>
        </w:tc>
        <w:tc>
          <w:tcPr>
            <w:tcW w:w="802" w:type="dxa"/>
            <w:tcBorders>
              <w:top w:val="single" w:color="auto" w:sz="4" w:space="0"/>
              <w:left w:val="single" w:color="auto" w:sz="4" w:space="0"/>
            </w:tcBorders>
            <w:shd w:val="clear" w:color="auto" w:fill="FFFFFF"/>
            <w:vAlign w:val="center"/>
          </w:tcPr>
          <w:p>
            <w:pPr>
              <w:pStyle w:val="47"/>
              <w:spacing w:line="240" w:lineRule="auto"/>
              <w:ind w:firstLine="220"/>
              <w:jc w:val="left"/>
              <w:rPr>
                <w:color w:val="auto"/>
                <w:sz w:val="15"/>
                <w:szCs w:val="15"/>
              </w:rPr>
            </w:pPr>
            <w:r>
              <w:rPr>
                <w:color w:val="auto"/>
                <w:sz w:val="15"/>
                <w:szCs w:val="15"/>
              </w:rPr>
              <w:t>每根</w:t>
            </w:r>
          </w:p>
        </w:tc>
        <w:tc>
          <w:tcPr>
            <w:tcW w:w="1430"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水准仪测量</w:t>
            </w:r>
          </w:p>
        </w:tc>
      </w:tr>
      <w:tr>
        <w:tblPrEx>
          <w:tblCellMar>
            <w:top w:w="0" w:type="dxa"/>
            <w:left w:w="10" w:type="dxa"/>
            <w:bottom w:w="0" w:type="dxa"/>
            <w:right w:w="10" w:type="dxa"/>
          </w:tblCellMar>
        </w:tblPrEx>
        <w:trPr>
          <w:trHeight w:val="326" w:hRule="exact"/>
          <w:jc w:val="center"/>
        </w:trPr>
        <w:tc>
          <w:tcPr>
            <w:tcW w:w="490" w:type="dxa"/>
            <w:vMerge w:val="restart"/>
            <w:tcBorders>
              <w:top w:val="single" w:color="auto" w:sz="4" w:space="0"/>
              <w:left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2</w:t>
            </w:r>
          </w:p>
        </w:tc>
        <w:tc>
          <w:tcPr>
            <w:tcW w:w="1114" w:type="dxa"/>
            <w:vMerge w:val="restart"/>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color w:val="auto"/>
                <w:sz w:val="15"/>
                <w:szCs w:val="15"/>
              </w:rPr>
              <w:t>型钢平面位置</w:t>
            </w:r>
          </w:p>
        </w:tc>
        <w:tc>
          <w:tcPr>
            <w:tcW w:w="2074" w:type="dxa"/>
            <w:tcBorders>
              <w:top w:val="single" w:color="auto" w:sz="4" w:space="0"/>
              <w:left w:val="single" w:color="auto" w:sz="4" w:space="0"/>
            </w:tcBorders>
            <w:shd w:val="clear" w:color="auto" w:fill="FFFFFF"/>
            <w:vAlign w:val="center"/>
          </w:tcPr>
          <w:p>
            <w:pPr>
              <w:pStyle w:val="47"/>
              <w:spacing w:line="240" w:lineRule="auto"/>
              <w:rPr>
                <w:color w:val="auto"/>
                <w:sz w:val="15"/>
                <w:szCs w:val="15"/>
              </w:rPr>
            </w:pPr>
            <w:r>
              <w:rPr>
                <w:rFonts w:ascii="Times New Roman" w:hAnsi="Times New Roman" w:eastAsia="Times New Roman"/>
                <w:color w:val="auto"/>
                <w:sz w:val="16"/>
                <w:szCs w:val="16"/>
                <w:lang w:val="en-US" w:eastAsia="zh-CN" w:bidi="en-US"/>
              </w:rPr>
              <w:t xml:space="preserve">50mm </w:t>
            </w:r>
            <w:r>
              <w:rPr>
                <w:color w:val="auto"/>
                <w:sz w:val="15"/>
                <w:szCs w:val="15"/>
              </w:rPr>
              <w:t>（平行于基坑边线）</w:t>
            </w:r>
          </w:p>
        </w:tc>
        <w:tc>
          <w:tcPr>
            <w:tcW w:w="802" w:type="dxa"/>
            <w:tcBorders>
              <w:top w:val="single" w:color="auto" w:sz="4" w:space="0"/>
              <w:left w:val="single" w:color="auto" w:sz="4" w:space="0"/>
            </w:tcBorders>
            <w:shd w:val="clear" w:color="auto" w:fill="FFFFFF"/>
            <w:vAlign w:val="center"/>
          </w:tcPr>
          <w:p>
            <w:pPr>
              <w:pStyle w:val="47"/>
              <w:spacing w:line="240" w:lineRule="auto"/>
              <w:ind w:firstLine="220"/>
              <w:jc w:val="left"/>
              <w:rPr>
                <w:color w:val="auto"/>
                <w:sz w:val="15"/>
                <w:szCs w:val="15"/>
              </w:rPr>
            </w:pPr>
            <w:r>
              <w:rPr>
                <w:color w:val="auto"/>
                <w:sz w:val="15"/>
                <w:szCs w:val="15"/>
              </w:rPr>
              <w:t>每根</w:t>
            </w:r>
          </w:p>
        </w:tc>
        <w:tc>
          <w:tcPr>
            <w:tcW w:w="1430"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用钢尺量</w:t>
            </w:r>
          </w:p>
        </w:tc>
      </w:tr>
      <w:tr>
        <w:trPr>
          <w:trHeight w:val="317" w:hRule="exact"/>
          <w:jc w:val="center"/>
        </w:trPr>
        <w:tc>
          <w:tcPr>
            <w:tcW w:w="490" w:type="dxa"/>
            <w:vMerge w:val="continue"/>
            <w:tcBorders>
              <w:left w:val="single" w:color="auto" w:sz="4" w:space="0"/>
            </w:tcBorders>
            <w:shd w:val="clear" w:color="auto" w:fill="FFFFFF"/>
            <w:vAlign w:val="center"/>
          </w:tcPr>
          <w:p>
            <w:pPr>
              <w:rPr>
                <w:color w:val="auto"/>
              </w:rPr>
            </w:pPr>
          </w:p>
        </w:tc>
        <w:tc>
          <w:tcPr>
            <w:tcW w:w="1114" w:type="dxa"/>
            <w:vMerge w:val="continue"/>
            <w:tcBorders>
              <w:left w:val="single" w:color="auto" w:sz="4" w:space="0"/>
            </w:tcBorders>
            <w:shd w:val="clear" w:color="auto" w:fill="FFFFFF"/>
            <w:vAlign w:val="center"/>
          </w:tcPr>
          <w:p>
            <w:pPr>
              <w:rPr>
                <w:color w:val="auto"/>
              </w:rPr>
            </w:pPr>
          </w:p>
        </w:tc>
        <w:tc>
          <w:tcPr>
            <w:tcW w:w="2074" w:type="dxa"/>
            <w:tcBorders>
              <w:top w:val="single" w:color="auto" w:sz="4" w:space="0"/>
              <w:left w:val="single" w:color="auto" w:sz="4" w:space="0"/>
            </w:tcBorders>
            <w:shd w:val="clear" w:color="auto" w:fill="FFFFFF"/>
            <w:vAlign w:val="bottom"/>
          </w:tcPr>
          <w:p>
            <w:pPr>
              <w:pStyle w:val="47"/>
              <w:spacing w:line="240" w:lineRule="auto"/>
              <w:rPr>
                <w:color w:val="auto"/>
                <w:sz w:val="15"/>
                <w:szCs w:val="15"/>
              </w:rPr>
            </w:pPr>
            <w:r>
              <w:rPr>
                <w:rFonts w:ascii="Times New Roman" w:hAnsi="Times New Roman" w:eastAsia="Times New Roman"/>
                <w:color w:val="auto"/>
                <w:sz w:val="16"/>
                <w:szCs w:val="16"/>
                <w:lang w:val="en-US" w:eastAsia="zh-CN" w:bidi="en-US"/>
              </w:rPr>
              <w:t xml:space="preserve">10mm </w:t>
            </w:r>
            <w:r>
              <w:rPr>
                <w:color w:val="auto"/>
                <w:sz w:val="15"/>
                <w:szCs w:val="15"/>
              </w:rPr>
              <w:t>（垂直于基坑边线）</w:t>
            </w:r>
          </w:p>
        </w:tc>
        <w:tc>
          <w:tcPr>
            <w:tcW w:w="802" w:type="dxa"/>
            <w:tcBorders>
              <w:top w:val="single" w:color="auto" w:sz="4" w:space="0"/>
              <w:left w:val="single" w:color="auto" w:sz="4" w:space="0"/>
            </w:tcBorders>
            <w:shd w:val="clear" w:color="auto" w:fill="FFFFFF"/>
            <w:vAlign w:val="bottom"/>
          </w:tcPr>
          <w:p>
            <w:pPr>
              <w:pStyle w:val="47"/>
              <w:spacing w:line="240" w:lineRule="auto"/>
              <w:ind w:firstLine="220"/>
              <w:jc w:val="left"/>
              <w:rPr>
                <w:color w:val="auto"/>
                <w:sz w:val="15"/>
                <w:szCs w:val="15"/>
              </w:rPr>
            </w:pPr>
            <w:r>
              <w:rPr>
                <w:color w:val="auto"/>
                <w:sz w:val="15"/>
                <w:szCs w:val="15"/>
              </w:rPr>
              <w:t>每根</w:t>
            </w:r>
          </w:p>
        </w:tc>
        <w:tc>
          <w:tcPr>
            <w:tcW w:w="1430" w:type="dxa"/>
            <w:tcBorders>
              <w:top w:val="single" w:color="auto" w:sz="4" w:space="0"/>
              <w:left w:val="single" w:color="auto" w:sz="4" w:space="0"/>
              <w:right w:val="single" w:color="auto" w:sz="4" w:space="0"/>
            </w:tcBorders>
            <w:shd w:val="clear" w:color="auto" w:fill="FFFFFF"/>
            <w:vAlign w:val="bottom"/>
          </w:tcPr>
          <w:p>
            <w:pPr>
              <w:pStyle w:val="47"/>
              <w:spacing w:line="240" w:lineRule="auto"/>
              <w:rPr>
                <w:color w:val="auto"/>
                <w:sz w:val="15"/>
                <w:szCs w:val="15"/>
              </w:rPr>
            </w:pPr>
            <w:r>
              <w:rPr>
                <w:color w:val="auto"/>
                <w:sz w:val="15"/>
                <w:szCs w:val="15"/>
              </w:rPr>
              <w:t>用钢尺量</w:t>
            </w:r>
          </w:p>
        </w:tc>
      </w:tr>
      <w:tr>
        <w:tblPrEx>
          <w:tblCellMar>
            <w:top w:w="0" w:type="dxa"/>
            <w:left w:w="10" w:type="dxa"/>
            <w:bottom w:w="0" w:type="dxa"/>
            <w:right w:w="10" w:type="dxa"/>
          </w:tblCellMar>
        </w:tblPrEx>
        <w:trPr>
          <w:trHeight w:val="336" w:hRule="exact"/>
          <w:jc w:val="center"/>
        </w:trPr>
        <w:tc>
          <w:tcPr>
            <w:tcW w:w="490"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3</w:t>
            </w:r>
          </w:p>
        </w:tc>
        <w:tc>
          <w:tcPr>
            <w:tcW w:w="1114"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5"/>
                <w:szCs w:val="15"/>
              </w:rPr>
            </w:pPr>
            <w:r>
              <w:rPr>
                <w:color w:val="auto"/>
                <w:sz w:val="15"/>
                <w:szCs w:val="15"/>
              </w:rPr>
              <w:t>形心转角</w:t>
            </w:r>
          </w:p>
        </w:tc>
        <w:tc>
          <w:tcPr>
            <w:tcW w:w="2074"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auto"/>
                <w:sz w:val="16"/>
                <w:szCs w:val="16"/>
              </w:rPr>
            </w:pPr>
            <w:r>
              <w:rPr>
                <w:rFonts w:ascii="Times New Roman" w:hAnsi="Times New Roman" w:eastAsia="Times New Roman"/>
                <w:color w:val="auto"/>
                <w:sz w:val="16"/>
                <w:szCs w:val="16"/>
              </w:rPr>
              <w:t>3°</w:t>
            </w:r>
          </w:p>
        </w:tc>
        <w:tc>
          <w:tcPr>
            <w:tcW w:w="802" w:type="dxa"/>
            <w:tcBorders>
              <w:top w:val="single" w:color="auto" w:sz="4" w:space="0"/>
              <w:left w:val="single" w:color="auto" w:sz="4" w:space="0"/>
              <w:bottom w:val="single" w:color="auto" w:sz="4" w:space="0"/>
            </w:tcBorders>
            <w:shd w:val="clear" w:color="auto" w:fill="FFFFFF"/>
            <w:vAlign w:val="center"/>
          </w:tcPr>
          <w:p>
            <w:pPr>
              <w:pStyle w:val="47"/>
              <w:spacing w:line="240" w:lineRule="auto"/>
              <w:ind w:firstLine="220"/>
              <w:jc w:val="left"/>
              <w:rPr>
                <w:color w:val="auto"/>
                <w:sz w:val="15"/>
                <w:szCs w:val="15"/>
              </w:rPr>
            </w:pPr>
            <w:r>
              <w:rPr>
                <w:color w:val="auto"/>
                <w:sz w:val="15"/>
                <w:szCs w:val="15"/>
              </w:rPr>
              <w:t>每根</w:t>
            </w:r>
          </w:p>
        </w:tc>
        <w:tc>
          <w:tcPr>
            <w:tcW w:w="143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spacing w:line="240" w:lineRule="auto"/>
              <w:rPr>
                <w:color w:val="auto"/>
                <w:sz w:val="15"/>
                <w:szCs w:val="15"/>
              </w:rPr>
            </w:pPr>
            <w:r>
              <w:rPr>
                <w:color w:val="auto"/>
                <w:sz w:val="15"/>
                <w:szCs w:val="15"/>
              </w:rPr>
              <w:t>量角器测量</w:t>
            </w:r>
          </w:p>
        </w:tc>
      </w:tr>
    </w:tbl>
    <w:p>
      <w:pPr>
        <w:widowControl w:val="0"/>
        <w:spacing w:after="79" w:line="1" w:lineRule="exact"/>
        <w:rPr>
          <w:color w:val="auto"/>
        </w:rPr>
      </w:pPr>
    </w:p>
    <w:p>
      <w:pPr>
        <w:pStyle w:val="46"/>
        <w:spacing w:after="200" w:line="322" w:lineRule="exact"/>
        <w:ind w:left="0" w:firstLine="0"/>
        <w:rPr>
          <w:rFonts w:ascii="Times New Roman" w:hAnsi="Times New Roman" w:cs="Times New Roman"/>
          <w:b/>
          <w:color w:val="auto"/>
          <w:sz w:val="24"/>
          <w:szCs w:val="22"/>
          <w:lang w:val="en-US" w:eastAsia="zh-CN" w:bidi="ar-SA"/>
        </w:rPr>
      </w:pPr>
      <w:r>
        <w:rPr>
          <w:rFonts w:hint="eastAsia" w:ascii="Times New Roman" w:hAnsi="Times New Roman" w:cs="Times New Roman"/>
          <w:b/>
          <w:color w:val="auto"/>
          <w:sz w:val="24"/>
          <w:szCs w:val="22"/>
          <w:lang w:val="en-US" w:eastAsia="zh-CN" w:bidi="ar-SA"/>
        </w:rPr>
        <w:t xml:space="preserve">8.3.47 </w:t>
      </w:r>
      <w:r>
        <w:rPr>
          <w:rFonts w:hint="eastAsia" w:ascii="Times New Roman" w:hAnsi="Times New Roman" w:cs="Times New Roman"/>
          <w:bCs/>
          <w:color w:val="auto"/>
          <w:sz w:val="24"/>
          <w:szCs w:val="22"/>
          <w:lang w:val="en-US" w:eastAsia="zh-CN" w:bidi="ar-SA"/>
        </w:rPr>
        <w:t>型钢水泥土搅拌墙验收的抽检数量不宜少于总桩数的 5%。</w:t>
      </w:r>
    </w:p>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502"/>
    <w:bookmarkEnd w:id="503"/>
    <w:bookmarkEnd w:id="504"/>
    <w:p>
      <w:pPr>
        <w:pStyle w:val="3"/>
        <w:bidi w:val="0"/>
        <w:rPr>
          <w:rFonts w:ascii="Times New Roman" w:hAnsi="Times New Roman"/>
          <w:color w:val="auto"/>
        </w:rPr>
      </w:pPr>
      <w:bookmarkStart w:id="526" w:name="_Toc10745"/>
      <w:bookmarkStart w:id="527" w:name="_Toc12166"/>
      <w:r>
        <w:rPr>
          <w:rFonts w:hint="eastAsia" w:ascii="Times New Roman" w:hAnsi="Times New Roman"/>
          <w:color w:val="auto"/>
        </w:rPr>
        <w:t>8.</w:t>
      </w:r>
      <w:r>
        <w:rPr>
          <w:rFonts w:hint="eastAsia" w:ascii="Times New Roman" w:hAnsi="Times New Roman"/>
          <w:color w:val="auto"/>
          <w:lang w:val="en-US" w:eastAsia="zh-CN"/>
        </w:rPr>
        <w:t>4</w:t>
      </w:r>
      <w:r>
        <w:rPr>
          <w:rFonts w:hint="eastAsia" w:ascii="Times New Roman" w:hAnsi="Times New Roman"/>
          <w:color w:val="auto"/>
        </w:rPr>
        <w:t xml:space="preserve">  地下连续墙</w:t>
      </w:r>
      <w:bookmarkEnd w:id="526"/>
      <w:bookmarkEnd w:id="527"/>
    </w:p>
    <w:p>
      <w:pPr>
        <w:bidi w:val="0"/>
        <w:jc w:val="center"/>
        <w:rPr>
          <w:rFonts w:hint="eastAsia" w:ascii="宋体" w:hAnsi="宋体" w:eastAsia="宋体" w:cs="宋体"/>
          <w:b/>
          <w:bCs/>
          <w:color w:val="auto"/>
          <w:sz w:val="28"/>
          <w:szCs w:val="24"/>
          <w:lang w:val="en-US" w:eastAsia="zh-CN"/>
        </w:rPr>
      </w:pPr>
      <w:r>
        <w:rPr>
          <w:rFonts w:hint="eastAsia" w:ascii="宋体" w:hAnsi="宋体" w:eastAsia="宋体" w:cs="宋体"/>
          <w:b/>
          <w:bCs/>
          <w:color w:val="auto"/>
          <w:sz w:val="28"/>
          <w:szCs w:val="24"/>
          <w:lang w:val="en-US" w:eastAsia="zh-CN"/>
        </w:rPr>
        <w:t>Ⅰ 一般规定</w:t>
      </w:r>
    </w:p>
    <w:p>
      <w:pPr>
        <w:widowControl w:val="0"/>
        <w:tabs>
          <w:tab w:val="left" w:pos="540"/>
          <w:tab w:val="left" w:pos="720"/>
        </w:tabs>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.1 </w:t>
      </w:r>
      <w:r>
        <w:rPr>
          <w:rFonts w:hint="eastAsia" w:ascii="Times New Roman" w:hAnsi="Times New Roman"/>
          <w:color w:val="auto"/>
          <w:szCs w:val="24"/>
        </w:rPr>
        <w:t>采用地下连续墙进行基坑支护</w:t>
      </w:r>
      <w:r>
        <w:rPr>
          <w:rFonts w:hint="eastAsia" w:ascii="Times New Roman" w:hAnsi="Times New Roman"/>
          <w:szCs w:val="24"/>
        </w:rPr>
        <w:t>设计施工应综合考虑以下因素：</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1 拟建场地工程地质条件和水文地质条件；</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2 地基处理方式和基础类型；</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3 基坑围护尺寸和施工场地布置；</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4 连续墙施工机械和泥浆清</w:t>
      </w:r>
      <w:r>
        <w:rPr>
          <w:rFonts w:hint="eastAsia" w:ascii="Times New Roman" w:hAnsi="Times New Roman"/>
          <w:color w:val="auto"/>
          <w:szCs w:val="24"/>
        </w:rPr>
        <w:t>运机械的行走站位</w:t>
      </w:r>
      <w:r>
        <w:rPr>
          <w:rFonts w:hint="eastAsia" w:ascii="Times New Roman" w:hAnsi="Times New Roman"/>
          <w:szCs w:val="24"/>
        </w:rPr>
        <w:t>；</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5 基坑工程施工实施工况的影响；</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6 基坑边既有建（构）筑物及地下埋藏物对基坑工程的影响。</w:t>
      </w:r>
    </w:p>
    <w:p>
      <w:pPr>
        <w:widowControl w:val="0"/>
        <w:tabs>
          <w:tab w:val="left" w:pos="540"/>
          <w:tab w:val="left" w:pos="720"/>
        </w:tabs>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.2 </w:t>
      </w:r>
      <w:r>
        <w:rPr>
          <w:rFonts w:hint="eastAsia" w:ascii="Times New Roman" w:hAnsi="Times New Roman"/>
          <w:color w:val="auto"/>
          <w:szCs w:val="24"/>
        </w:rPr>
        <w:t>地下连续墙支挡方式分为悬臂式地下连续墙支护、地下连续墙—内支撑组合支护和地下连续墙—锚杆（索）组合支护。</w:t>
      </w:r>
    </w:p>
    <w:p>
      <w:pPr>
        <w:widowControl w:val="0"/>
        <w:tabs>
          <w:tab w:val="left" w:pos="540"/>
          <w:tab w:val="left" w:pos="720"/>
        </w:tabs>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.3 </w:t>
      </w:r>
      <w:r>
        <w:rPr>
          <w:rFonts w:hint="eastAsia" w:ascii="Times New Roman" w:hAnsi="Times New Roman"/>
          <w:color w:val="auto"/>
          <w:szCs w:val="24"/>
        </w:rPr>
        <w:t>在</w:t>
      </w:r>
      <w:r>
        <w:rPr>
          <w:rFonts w:hint="eastAsia" w:ascii="Times New Roman" w:hAnsi="Times New Roman"/>
          <w:szCs w:val="24"/>
        </w:rPr>
        <w:t>基坑开挖深度低于场地稳定地下水位的情况下，地下连续墙还可兼作截水抗渗墙使用。</w:t>
      </w:r>
    </w:p>
    <w:p>
      <w:pPr>
        <w:bidi w:val="0"/>
        <w:jc w:val="center"/>
        <w:rPr>
          <w:rFonts w:hint="eastAsia" w:ascii="宋体" w:hAnsi="宋体" w:eastAsia="宋体" w:cs="宋体"/>
          <w:b/>
          <w:bCs/>
          <w:color w:val="auto"/>
          <w:sz w:val="28"/>
          <w:szCs w:val="24"/>
          <w:lang w:val="en-US" w:eastAsia="zh-CN"/>
        </w:rPr>
      </w:pPr>
      <w:r>
        <w:rPr>
          <w:rFonts w:hint="eastAsia" w:ascii="宋体" w:hAnsi="宋体" w:eastAsia="宋体" w:cs="宋体"/>
          <w:b/>
          <w:bCs/>
          <w:color w:val="auto"/>
          <w:sz w:val="28"/>
          <w:szCs w:val="24"/>
          <w:lang w:val="en-US" w:eastAsia="zh-CN"/>
        </w:rPr>
        <w:t>Ⅱ 设计计算</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.4 </w:t>
      </w:r>
      <w:r>
        <w:rPr>
          <w:rFonts w:hint="eastAsia" w:ascii="Times New Roman" w:hAnsi="Times New Roman"/>
          <w:color w:val="auto"/>
          <w:szCs w:val="24"/>
        </w:rPr>
        <w:t>地下连续墙计算与验算应包括以下内容：</w:t>
      </w:r>
    </w:p>
    <w:p>
      <w:pPr>
        <w:widowControl w:val="0"/>
        <w:tabs>
          <w:tab w:val="left" w:pos="540"/>
          <w:tab w:val="left" w:pos="720"/>
        </w:tabs>
        <w:spacing w:line="480" w:lineRule="exact"/>
        <w:ind w:firstLine="480" w:firstLineChars="200"/>
        <w:rPr>
          <w:rFonts w:hint="eastAsia" w:ascii="Times New Roman" w:hAnsi="Times New Roman"/>
          <w:color w:val="auto"/>
          <w:szCs w:val="24"/>
        </w:rPr>
      </w:pPr>
      <w:bookmarkStart w:id="528" w:name="_Toc12509"/>
      <w:bookmarkStart w:id="529" w:name="_Toc7448"/>
      <w:r>
        <w:rPr>
          <w:rFonts w:hint="eastAsia" w:ascii="Times New Roman" w:hAnsi="Times New Roman"/>
          <w:color w:val="auto"/>
          <w:szCs w:val="24"/>
        </w:rPr>
        <w:t>1 地下连续墙入土深度计算；</w:t>
      </w:r>
      <w:bookmarkEnd w:id="528"/>
      <w:bookmarkEnd w:id="529"/>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2 地下连续墙内力与变形计算宜采用弹性地基梁法，计算时应考虑支撑或锚杆的位移、施工工况、支撑刚度及周边环境对连续墙结构内力和变形的影响；</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3 地下连续墙整体稳定性验算、抗倾覆稳定性验算、坑底抗隆起稳定性验算、抗渗流稳定性验算；</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4 基坑外地表变形及土体位移的计算，必要时应提出相应的工程技术措施；</w:t>
      </w:r>
    </w:p>
    <w:p>
      <w:pPr>
        <w:widowControl w:val="0"/>
        <w:spacing w:line="480" w:lineRule="exact"/>
        <w:ind w:firstLine="480" w:firstLineChars="200"/>
        <w:rPr>
          <w:rFonts w:hint="eastAsia" w:ascii="Times New Roman" w:hAnsi="Times New Roman" w:eastAsia="宋体"/>
          <w:color w:val="auto"/>
          <w:szCs w:val="24"/>
          <w:lang w:eastAsia="zh-CN"/>
        </w:rPr>
      </w:pPr>
      <w:r>
        <w:rPr>
          <w:rFonts w:hint="eastAsia" w:ascii="Times New Roman" w:hAnsi="Times New Roman"/>
          <w:color w:val="auto"/>
          <w:szCs w:val="24"/>
        </w:rPr>
        <w:t>5 地下连续墙兼作工程主体结构时，尚应按照主体结构相关规范要求，验算永久使用阶段的结构内力和变形</w:t>
      </w:r>
      <w:r>
        <w:rPr>
          <w:rFonts w:hint="eastAsia" w:ascii="Times New Roman" w:hAnsi="Times New Roman"/>
          <w:color w:val="auto"/>
          <w:szCs w:val="24"/>
          <w:lang w:eastAsia="zh-CN"/>
        </w:rPr>
        <w:t>。</w:t>
      </w:r>
    </w:p>
    <w:p>
      <w:pPr>
        <w:widowControl w:val="0"/>
        <w:tabs>
          <w:tab w:val="left" w:pos="540"/>
          <w:tab w:val="left" w:pos="720"/>
        </w:tabs>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.5</w:t>
      </w:r>
      <w:r>
        <w:rPr>
          <w:rFonts w:hint="eastAsia" w:ascii="Times New Roman" w:hAnsi="Times New Roman"/>
          <w:szCs w:val="24"/>
        </w:rPr>
        <w:t xml:space="preserve"> 地下连续墙的常用墙厚为600mm、800mm、1000mm和1200mm。地下连续墙的厚度应按照以下条件确定：</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1 地下连续墙受力、变形和抗渗的设计计算；</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2 基坑围护尺寸和场地边界条件对墙厚的要求；</w:t>
      </w:r>
    </w:p>
    <w:p>
      <w:pPr>
        <w:widowControl w:val="0"/>
        <w:tabs>
          <w:tab w:val="left" w:pos="540"/>
          <w:tab w:val="left" w:pos="720"/>
        </w:tabs>
        <w:spacing w:line="480" w:lineRule="exact"/>
        <w:ind w:firstLine="480" w:firstLineChars="200"/>
        <w:rPr>
          <w:rFonts w:ascii="Times New Roman" w:hAnsi="Times New Roman"/>
          <w:szCs w:val="24"/>
        </w:rPr>
      </w:pPr>
      <w:r>
        <w:rPr>
          <w:rFonts w:hint="eastAsia" w:ascii="Times New Roman" w:hAnsi="Times New Roman"/>
          <w:szCs w:val="24"/>
        </w:rPr>
        <w:t>3 地下连续墙成槽工艺和成槽机械的参数规格。</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地下连续墙内力、变形计算和稳定性验算应参照排桩进行。地下连续墙正截面受弯承载力和斜截面受剪承载力计算应符合现行国家标准《混凝土结构设计规范》GB50010的相关规定。</w:t>
      </w:r>
    </w:p>
    <w:p>
      <w:pPr>
        <w:bidi w:val="0"/>
        <w:jc w:val="center"/>
        <w:rPr>
          <w:rFonts w:hint="eastAsia" w:ascii="宋体" w:hAnsi="宋体" w:eastAsia="宋体" w:cs="宋体"/>
          <w:b/>
          <w:bCs/>
          <w:color w:val="auto"/>
          <w:sz w:val="28"/>
          <w:szCs w:val="24"/>
          <w:lang w:val="en-US" w:eastAsia="zh-CN"/>
        </w:rPr>
      </w:pPr>
      <w:bookmarkStart w:id="530" w:name="_Toc28779"/>
      <w:bookmarkStart w:id="531" w:name="_Toc448"/>
      <w:r>
        <w:rPr>
          <w:rFonts w:hint="eastAsia" w:ascii="宋体" w:hAnsi="宋体" w:eastAsia="宋体" w:cs="宋体"/>
          <w:b/>
          <w:bCs/>
          <w:color w:val="auto"/>
          <w:sz w:val="28"/>
          <w:szCs w:val="24"/>
          <w:lang w:val="en-US" w:eastAsia="zh-CN"/>
        </w:rPr>
        <w:t>Ⅲ 构造要求</w:t>
      </w:r>
      <w:bookmarkEnd w:id="530"/>
      <w:bookmarkEnd w:id="531"/>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.6 </w:t>
      </w:r>
      <w:r>
        <w:rPr>
          <w:rFonts w:hint="eastAsia" w:ascii="Times New Roman" w:hAnsi="Times New Roman"/>
          <w:color w:val="auto"/>
          <w:szCs w:val="24"/>
        </w:rPr>
        <w:t>地下连续墙槽段及其长度的划分，应根据墙段的结构受力特性、成槽侧壁稳定性、环境条件和施工条件等因素综合确定。槽段的平面形状有一字形、L形、T形等。一字形槽段长度不宜大于6m，L形、T形等槽段各肢长度总和不宜大于6m，对于基坑边界土层条件复杂或相邻建（构）筑物条件复杂的施工场地，槽段长度应适度缩短。</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.7 </w:t>
      </w:r>
      <w:r>
        <w:rPr>
          <w:rFonts w:hint="eastAsia" w:ascii="Times New Roman" w:hAnsi="Times New Roman"/>
          <w:color w:val="auto"/>
          <w:szCs w:val="24"/>
        </w:rPr>
        <w:t>基坑工程的环境保护等级为一级或基坑开挖深度范围的土层中粉性土或砂土较厚时，根据成槽工艺对成槽质量的要求，可采用槽壁预加固的措施。槽壁预加固宜采用水泥土搅拌桩或等厚度水泥土搅拌墙，地下连续墙两侧应同时设置。</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.8</w:t>
      </w:r>
      <w:r>
        <w:rPr>
          <w:rFonts w:hint="eastAsia" w:ascii="Times New Roman" w:hAnsi="Times New Roman"/>
          <w:color w:val="auto"/>
          <w:szCs w:val="24"/>
        </w:rPr>
        <w:t xml:space="preserve"> 地下连续墙槽段之</w:t>
      </w:r>
      <w:r>
        <w:rPr>
          <w:rFonts w:hint="eastAsia" w:ascii="Times New Roman" w:hAnsi="Times New Roman"/>
          <w:szCs w:val="24"/>
        </w:rPr>
        <w:t>间的施工接头可分为柔性接头和刚性接头两种。地下连续墙槽段之间接头应按下列原则选用：</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1 当槽段间不传递应力时可选取柔性接头，如圆弧形接头管接头、波形管接头、楔形接头、型钢接头</w:t>
      </w:r>
      <w:r>
        <w:rPr>
          <w:rFonts w:hint="eastAsia" w:ascii="Times New Roman" w:hAnsi="Times New Roman"/>
          <w:szCs w:val="24"/>
          <w:lang w:eastAsia="zh-CN"/>
        </w:rPr>
        <w:t>；</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当地下连续墙作为主体地下结构外墙，且需要形成整体墙体时，宜采用刚性接头，并应根据实际受力状态验算槽段接头的承载力。刚性接头包括十字形穿孔钢板接头、钢筋承插式接头、十字形型钢插入式接头。</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.9</w:t>
      </w:r>
      <w:r>
        <w:rPr>
          <w:rFonts w:hint="eastAsia" w:ascii="Times New Roman" w:hAnsi="Times New Roman"/>
          <w:color w:val="auto"/>
          <w:szCs w:val="24"/>
        </w:rPr>
        <w:t xml:space="preserve"> 地下连续墙墙体应满足防渗设计要求，混凝土抗渗等级不宜小于</w:t>
      </w:r>
      <w:r>
        <w:rPr>
          <w:rFonts w:hint="eastAsia" w:ascii="Times New Roman" w:hAnsi="Times New Roman"/>
          <w:color w:val="auto"/>
          <w:szCs w:val="24"/>
          <w:u w:val="single"/>
        </w:rPr>
        <w:t>P6</w:t>
      </w:r>
      <w:r>
        <w:rPr>
          <w:rFonts w:hint="eastAsia" w:ascii="Times New Roman" w:hAnsi="Times New Roman"/>
          <w:color w:val="auto"/>
          <w:szCs w:val="24"/>
        </w:rPr>
        <w:t>级。墙体混凝土设计强度等级不应低于C30，水下浇注时混凝土强度等级应按相关规范要求提高。</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.10</w:t>
      </w:r>
      <w:r>
        <w:rPr>
          <w:rFonts w:hint="eastAsia" w:ascii="Times New Roman" w:hAnsi="Times New Roman"/>
          <w:color w:val="auto"/>
          <w:szCs w:val="24"/>
        </w:rPr>
        <w:t xml:space="preserve"> 地下连续墙纵向受力钢筋宜沿墙身两侧均匀布置，并可根据计算内力分布沿墙体深度分段配筋，但应有不低于50%纵向钢筋通长配置。纵向钢筋宜采用HRB400 、HRB500钢筋，直径不宜小于16mm，钢筋净距不宜小于75mm。水平钢筋及构造钢筋可采用HPB300或HRB400级钢筋，直径不宜小于12mm，间距宜取200mm~400mm。</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.11</w:t>
      </w:r>
      <w:r>
        <w:rPr>
          <w:rFonts w:hint="eastAsia" w:ascii="Times New Roman" w:hAnsi="Times New Roman"/>
          <w:color w:val="auto"/>
          <w:szCs w:val="24"/>
        </w:rPr>
        <w:t xml:space="preserve"> 地下连续墙应根</w:t>
      </w:r>
      <w:r>
        <w:rPr>
          <w:rFonts w:hint="eastAsia" w:ascii="Times New Roman" w:hAnsi="Times New Roman"/>
          <w:szCs w:val="24"/>
        </w:rPr>
        <w:t>据钢筋笼吊装过程中的整体稳定性和钢筋笼骨架不产生塑性变形的要求，设置纵横向起吊桁架，并应根据实测导墙标高来确定钢筋笼吊筋的长度。桁架主筋宜采用HRB400级或HRB500级钢筋，直径不宜小于20mm。</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.12</w:t>
      </w:r>
      <w:r>
        <w:rPr>
          <w:rFonts w:hint="eastAsia" w:ascii="Times New Roman" w:hAnsi="Times New Roman"/>
          <w:color w:val="auto"/>
          <w:szCs w:val="24"/>
        </w:rPr>
        <w:t xml:space="preserve"> L形槽段墙体水平钢筋锚入对边墙体内应满足锚固长度要求，且宜与对边水平钢筋焊接，转角处宜设置斜向加强钢筋。</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.13</w:t>
      </w:r>
      <w:r>
        <w:rPr>
          <w:rFonts w:hint="eastAsia" w:ascii="Times New Roman" w:hAnsi="Times New Roman"/>
          <w:color w:val="auto"/>
          <w:szCs w:val="24"/>
        </w:rPr>
        <w:t xml:space="preserve"> T形槽段外伸腹板宜设置在迎土面一侧，外伸腹板长度不宜小于成槽设备最小成槽长度。外伸腹板与翼板之间设置加强筋。</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.14</w:t>
      </w:r>
      <w:r>
        <w:rPr>
          <w:rFonts w:hint="eastAsia" w:ascii="Times New Roman" w:hAnsi="Times New Roman"/>
          <w:color w:val="auto"/>
          <w:szCs w:val="24"/>
        </w:rPr>
        <w:t xml:space="preserve"> 地下连续墙主筋保护层厚度在基坑内测不宜小于50mm，基坑外侧不宜小于70mm。</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.15</w:t>
      </w:r>
      <w:r>
        <w:rPr>
          <w:rFonts w:hint="eastAsia" w:ascii="Times New Roman" w:hAnsi="Times New Roman"/>
          <w:color w:val="auto"/>
          <w:szCs w:val="24"/>
        </w:rPr>
        <w:t xml:space="preserve"> 地下连续墙钢筋笼封头钢筋形状应与施工接头相匹配。封头钢筋与水平钢筋宜采用焊接。钢筋笼两侧的端部与接头管（箱）或相邻墙段混凝土接头面之间应留有不小于150mm的间隙，钢筋笼下端500mm长度范围内宜按1：10收成闭合状，且与槽底之间宜留有不小于500mm的间隙。</w:t>
      </w:r>
    </w:p>
    <w:p>
      <w:pPr>
        <w:widowControl w:val="0"/>
        <w:tabs>
          <w:tab w:val="left" w:pos="672"/>
          <w:tab w:val="left" w:pos="720"/>
          <w:tab w:val="left" w:pos="1620"/>
          <w:tab w:val="left" w:pos="2160"/>
          <w:tab w:val="left" w:pos="7020"/>
        </w:tabs>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.16 </w:t>
      </w:r>
      <w:r>
        <w:rPr>
          <w:rFonts w:hint="eastAsia" w:ascii="Times New Roman" w:hAnsi="Times New Roman"/>
          <w:color w:val="auto"/>
          <w:szCs w:val="24"/>
        </w:rPr>
        <w:t>地下连续墙顶部应设置钢筋混凝土冠梁将其连成整体，冠梁宽度不宜小于墙厚，高度</w:t>
      </w:r>
      <w:r>
        <w:rPr>
          <w:rFonts w:hint="eastAsia" w:ascii="Times New Roman" w:hAnsi="Times New Roman"/>
          <w:szCs w:val="24"/>
        </w:rPr>
        <w:t>不宜小于墙厚的0.6倍，冠梁宜按地下连续墙与基坑外侧平齐的原则布置。冠梁按结构受力构件设置时，墙身纵向受力钢筋伸入冠梁的锚固长度应符合现行国家标准《混凝土结构设计规范》GB50010对钢筋锚固的有关规定。当不能满足锚固长度的要求时，其钢筋末端可采取机械锚固措施。</w:t>
      </w:r>
    </w:p>
    <w:p>
      <w:pPr>
        <w:bidi w:val="0"/>
        <w:jc w:val="center"/>
        <w:rPr>
          <w:rFonts w:hint="eastAsia" w:ascii="宋体" w:hAnsi="宋体" w:eastAsia="宋体" w:cs="宋体"/>
          <w:b/>
          <w:bCs/>
          <w:sz w:val="28"/>
          <w:szCs w:val="24"/>
          <w:lang w:val="en-US" w:eastAsia="zh-CN"/>
        </w:rPr>
      </w:pPr>
      <w:r>
        <w:rPr>
          <w:rFonts w:hint="eastAsia" w:ascii="宋体" w:hAnsi="宋体" w:eastAsia="宋体" w:cs="宋体"/>
          <w:b/>
          <w:bCs/>
          <w:sz w:val="28"/>
          <w:szCs w:val="24"/>
          <w:lang w:val="en-US" w:eastAsia="zh-CN"/>
        </w:rPr>
        <w:t>Ⅳ 施工与检测</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.17</w:t>
      </w:r>
      <w:r>
        <w:rPr>
          <w:rFonts w:hint="eastAsia" w:ascii="Times New Roman" w:hAnsi="Times New Roman"/>
          <w:color w:val="auto"/>
          <w:szCs w:val="24"/>
        </w:rPr>
        <w:t xml:space="preserve"> 地下连续墙的施工应根据地质条件的适应性及基坑周围环境等因素选择成槽工艺及相应设备。地下连续墙施工前应通过成槽试验确定合适的护壁泥浆配比、施工工艺、槽壁稳定等技术参数。</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.18 </w:t>
      </w:r>
      <w:r>
        <w:rPr>
          <w:rFonts w:hint="eastAsia" w:ascii="Times New Roman" w:hAnsi="Times New Roman"/>
          <w:color w:val="auto"/>
          <w:szCs w:val="24"/>
        </w:rPr>
        <w:t>地下连</w:t>
      </w:r>
      <w:r>
        <w:rPr>
          <w:rFonts w:hint="eastAsia" w:ascii="Times New Roman" w:hAnsi="Times New Roman"/>
          <w:szCs w:val="24"/>
        </w:rPr>
        <w:t>续墙施工应设置钢筋混凝土导墙，导墙宜采用现浇钢筋混凝土结构，混凝土强度不宜低于C20，导墙施工应符合下列要求：</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导墙应采用现浇钢筋混凝土结构，导墙底部应置于坚实的土层上，高度不应小于1.5m；净距宜为设计地下连续墙厚度加宽30～50mm；导墙底标高宜低于地下连续墙设计顶标高，且不宜小于200mm；导墙外侧应采用黏性土填实；</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导墙应满足成槽设备及顶拔接头管（箱）时的强度及稳定性要求；</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遇暗浜时应进行土体加固；遇松散填土层较厚或遇有障碍物时，应进行清除并进行土体加固或做深导墙；</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导墙混凝土强度达到70%后可以拆模，拆模后应及时加设墙间支撑，并按要求控制导墙周围的施工荷载。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.19</w:t>
      </w:r>
      <w:r>
        <w:rPr>
          <w:rFonts w:hint="eastAsia" w:ascii="Times New Roman" w:hAnsi="Times New Roman"/>
          <w:color w:val="auto"/>
          <w:szCs w:val="24"/>
        </w:rPr>
        <w:t xml:space="preserve"> 护壁泥浆使用前应根据材料和地质条件进行试配，并进行室内性能试验，泥浆配合比宜按现场试验确定。泥浆拌制宜选用膨润土。新拌制的泥浆应经充分水化，贮放时间不应少于24h或添加分散剂，待膨润土或黏土充分水化后方可使用；成槽时泥浆的供应及处理系统应满足泥浆使用量的要求。单元槽段开挖结束后及钢筋笼入槽前，应对槽底泥浆、沉淀物进行置换和清除。清底1h后，槽底处的泥浆比重不大于1.2，槽底淤积厚度不大于200mm。成槽过程护壁泥浆液面应高于地下水位500mm以上，且不应低于导墙顶面300mm。</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.20</w:t>
      </w:r>
      <w:r>
        <w:rPr>
          <w:rFonts w:hint="eastAsia" w:ascii="Times New Roman" w:hAnsi="Times New Roman"/>
          <w:color w:val="auto"/>
          <w:szCs w:val="24"/>
        </w:rPr>
        <w:t xml:space="preserve"> 护壁泥浆应采用测量仪器进行检测，施工过程中应经常检测泥浆指标。</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.21</w:t>
      </w:r>
      <w:r>
        <w:rPr>
          <w:rFonts w:hint="eastAsia" w:ascii="Times New Roman" w:hAnsi="Times New Roman"/>
          <w:color w:val="auto"/>
          <w:szCs w:val="24"/>
        </w:rPr>
        <w:t xml:space="preserve"> 基坑开挖深度范围内为粉土、砂土、人工填土和湿陷性黄土时，宜采取调整泥浆配合比、槽壁预加固、预降水等措施提高槽壁稳定性。</w:t>
      </w:r>
    </w:p>
    <w:p>
      <w:pPr>
        <w:keepNext w:val="0"/>
        <w:keepLines w:val="0"/>
        <w:pageBreakBefore w:val="0"/>
        <w:widowControl/>
        <w:kinsoku/>
        <w:wordWrap/>
        <w:overflowPunct/>
        <w:topLinePunct w:val="0"/>
        <w:autoSpaceDE/>
        <w:autoSpaceDN/>
        <w:bidi w:val="0"/>
        <w:adjustRightInd/>
        <w:snapToGrid/>
        <w:spacing w:line="480" w:lineRule="exact"/>
        <w:textAlignment w:val="auto"/>
      </w:pPr>
      <w:bookmarkStart w:id="532" w:name="_Toc3370"/>
      <w:bookmarkStart w:id="533" w:name="_Toc8850"/>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.22 </w:t>
      </w:r>
      <w:r>
        <w:rPr>
          <w:rFonts w:hint="eastAsia"/>
        </w:rPr>
        <w:t>地下连续墙成槽施工应符合下列要求：</w:t>
      </w:r>
      <w:bookmarkEnd w:id="532"/>
      <w:bookmarkEnd w:id="533"/>
    </w:p>
    <w:p>
      <w:pPr>
        <w:widowControl w:val="0"/>
        <w:spacing w:line="480" w:lineRule="exact"/>
        <w:ind w:firstLine="570"/>
        <w:rPr>
          <w:rFonts w:ascii="Times New Roman" w:hAnsi="Times New Roman"/>
          <w:szCs w:val="24"/>
        </w:rPr>
      </w:pPr>
      <w:r>
        <w:rPr>
          <w:rFonts w:hint="eastAsia" w:ascii="Times New Roman" w:hAnsi="Times New Roman"/>
          <w:szCs w:val="24"/>
        </w:rPr>
        <w:t>1 单元槽段长度应根据施工现场地质条件、成槽设备、槽壁稳定等因素确定，长度宜为4m～6m；</w:t>
      </w:r>
    </w:p>
    <w:p>
      <w:pPr>
        <w:widowControl w:val="0"/>
        <w:spacing w:line="480" w:lineRule="exact"/>
        <w:ind w:firstLine="570"/>
        <w:rPr>
          <w:rFonts w:ascii="Times New Roman" w:hAnsi="Times New Roman"/>
          <w:szCs w:val="24"/>
        </w:rPr>
      </w:pPr>
      <w:r>
        <w:rPr>
          <w:rFonts w:hint="eastAsia" w:ascii="Times New Roman" w:hAnsi="Times New Roman"/>
          <w:szCs w:val="24"/>
        </w:rPr>
        <w:t>2 在土层条件复杂或相邻建（构）筑物条件复杂的施工场地单元槽段宜采用跳幅间隔施工顺序；</w:t>
      </w:r>
    </w:p>
    <w:p>
      <w:pPr>
        <w:widowControl w:val="0"/>
        <w:spacing w:line="480" w:lineRule="exact"/>
        <w:ind w:firstLine="570"/>
        <w:rPr>
          <w:rFonts w:hint="eastAsia" w:ascii="Times New Roman" w:hAnsi="Times New Roman"/>
          <w:szCs w:val="24"/>
        </w:rPr>
      </w:pPr>
      <w:bookmarkStart w:id="534" w:name="_Toc18600"/>
      <w:bookmarkStart w:id="535" w:name="_Toc27804"/>
      <w:r>
        <w:rPr>
          <w:rFonts w:hint="eastAsia" w:ascii="Times New Roman" w:hAnsi="Times New Roman"/>
          <w:szCs w:val="24"/>
        </w:rPr>
        <w:t>3 每个单元槽段的挖槽分段不宜超过3个。</w:t>
      </w:r>
      <w:bookmarkEnd w:id="534"/>
      <w:bookmarkEnd w:id="535"/>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b w:val="0"/>
          <w:bCs/>
          <w:color w:val="auto"/>
          <w:szCs w:val="24"/>
        </w:rPr>
      </w:pPr>
      <w:bookmarkStart w:id="536" w:name="_Toc17838"/>
      <w:bookmarkStart w:id="537" w:name="_Toc5165"/>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.23 </w:t>
      </w:r>
      <w:r>
        <w:rPr>
          <w:rFonts w:hint="eastAsia" w:ascii="Times New Roman" w:hAnsi="Times New Roman"/>
          <w:b w:val="0"/>
          <w:bCs/>
          <w:color w:val="auto"/>
          <w:szCs w:val="24"/>
        </w:rPr>
        <w:t>槽段接头施工应符合下列要求：</w:t>
      </w:r>
      <w:bookmarkEnd w:id="536"/>
      <w:bookmarkEnd w:id="537"/>
      <w:r>
        <w:rPr>
          <w:rFonts w:hint="eastAsia" w:ascii="Times New Roman" w:hAnsi="Times New Roman"/>
          <w:b w:val="0"/>
          <w:bCs/>
          <w:color w:val="auto"/>
          <w:szCs w:val="24"/>
        </w:rPr>
        <w:t xml:space="preserve"> </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1 接头管（箱）应满足混凝土浇筑时的强度、刚度和变形要求，能有效的阻止混凝土绕流</w:t>
      </w:r>
      <w:r>
        <w:rPr>
          <w:rFonts w:hint="eastAsia" w:ascii="Times New Roman" w:hAnsi="Times New Roman"/>
          <w:szCs w:val="24"/>
          <w:lang w:eastAsia="zh-CN"/>
        </w:rPr>
        <w:t>；</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2 混凝土槽段接头应在钢筋笼人槽前对相邻槽段混凝土端面进行清刷，刷壁次数不应少于20次，清刷后的接头不得夹泥；接头管安装时，应贴紧槽段垂直缓慢沉放至槽底</w:t>
      </w:r>
      <w:r>
        <w:rPr>
          <w:rFonts w:hint="eastAsia" w:ascii="Times New Roman" w:hAnsi="Times New Roman"/>
          <w:szCs w:val="24"/>
          <w:lang w:eastAsia="zh-CN"/>
        </w:rPr>
        <w:t>；</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3 接头管应在混凝土初凝至终凝过程中微量提动，并应根据初凝、终凝时间确定允许起拔时间和高度，按时限量起拔</w:t>
      </w:r>
      <w:r>
        <w:rPr>
          <w:rFonts w:hint="eastAsia" w:ascii="Times New Roman" w:hAnsi="Times New Roman"/>
          <w:szCs w:val="24"/>
          <w:lang w:eastAsia="zh-CN"/>
        </w:rPr>
        <w:t>；</w:t>
      </w:r>
    </w:p>
    <w:p>
      <w:pPr>
        <w:widowControl w:val="0"/>
        <w:spacing w:line="480" w:lineRule="exact"/>
        <w:ind w:firstLine="480" w:firstLineChars="200"/>
        <w:rPr>
          <w:rFonts w:hint="eastAsia" w:ascii="Times New Roman" w:hAnsi="Times New Roman"/>
          <w:szCs w:val="24"/>
        </w:rPr>
      </w:pPr>
      <w:bookmarkStart w:id="538" w:name="_Toc9737"/>
      <w:bookmarkStart w:id="539" w:name="_Toc22237"/>
      <w:r>
        <w:rPr>
          <w:rFonts w:hint="eastAsia" w:ascii="Times New Roman" w:hAnsi="Times New Roman"/>
          <w:szCs w:val="24"/>
        </w:rPr>
        <w:t>4 槽段接头防渗宜采用高压喷射注浆进行加强。</w:t>
      </w:r>
      <w:bookmarkEnd w:id="538"/>
      <w:bookmarkEnd w:id="539"/>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.24</w:t>
      </w:r>
      <w:r>
        <w:rPr>
          <w:rFonts w:hint="eastAsia" w:ascii="Times New Roman" w:hAnsi="Times New Roman"/>
          <w:color w:val="auto"/>
          <w:szCs w:val="24"/>
        </w:rPr>
        <w:t xml:space="preserve"> 地下连续墙混凝土应采用导管法浇筑，施工前导管接缝宜进行水密性试验，导管内应设置隔水栓；混凝土浇筑过程中导管埋入混凝土面以下的深度宜为2m～4m；每根导管分担的浇筑面积宜均等，导管距槽段两侧端部不宜大于1.5m；混凝土应连续浇筑，且浇筑上升速度不宜小于3m/h。</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.25</w:t>
      </w:r>
      <w:r>
        <w:rPr>
          <w:rFonts w:hint="eastAsia" w:ascii="Times New Roman" w:hAnsi="Times New Roman"/>
          <w:color w:val="auto"/>
          <w:szCs w:val="24"/>
        </w:rPr>
        <w:t xml:space="preserve"> 地下连续墙的混凝土浇筑面宜高出设计标高300mm～500mm,凿去浮浆后的墙顶混凝土强度应满足设计要求；混凝土坍落度宜为180mm～220mm，初凝时间不宜小于8h；混凝土强度应比设计墙身强度提高一等级进行配制。</w:t>
      </w:r>
    </w:p>
    <w:p>
      <w:pPr>
        <w:widowControl w:val="0"/>
        <w:spacing w:line="480" w:lineRule="exact"/>
        <w:rPr>
          <w:rFonts w:hint="eastAsia" w:ascii="Times New Roman" w:hAnsi="Times New Roman"/>
          <w:b w:val="0"/>
          <w:bCs/>
          <w:szCs w:val="24"/>
        </w:rPr>
      </w:pPr>
      <w:bookmarkStart w:id="540" w:name="_Toc3297"/>
      <w:bookmarkStart w:id="541" w:name="_Toc17243"/>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.26 </w:t>
      </w:r>
      <w:r>
        <w:rPr>
          <w:rFonts w:hint="eastAsia" w:ascii="Times New Roman" w:hAnsi="Times New Roman"/>
          <w:b w:val="0"/>
          <w:bCs/>
          <w:color w:val="auto"/>
          <w:szCs w:val="24"/>
        </w:rPr>
        <w:t>钢筋</w:t>
      </w:r>
      <w:r>
        <w:rPr>
          <w:rFonts w:hint="eastAsia" w:ascii="Times New Roman" w:hAnsi="Times New Roman"/>
          <w:b w:val="0"/>
          <w:bCs/>
          <w:szCs w:val="24"/>
        </w:rPr>
        <w:t>笼制作和吊放应符合下列要求：</w:t>
      </w:r>
      <w:bookmarkEnd w:id="540"/>
      <w:bookmarkEnd w:id="541"/>
    </w:p>
    <w:p>
      <w:pPr>
        <w:widowControl w:val="0"/>
        <w:spacing w:line="480" w:lineRule="exact"/>
        <w:ind w:firstLine="480" w:firstLineChars="200"/>
        <w:rPr>
          <w:rFonts w:ascii="Times New Roman" w:hAnsi="Times New Roman"/>
          <w:szCs w:val="24"/>
        </w:rPr>
      </w:pPr>
      <w:r>
        <w:rPr>
          <w:rFonts w:hint="eastAsia" w:ascii="Times New Roman" w:hAnsi="Times New Roman"/>
          <w:szCs w:val="24"/>
        </w:rPr>
        <w:t>1 钢筋笼制作场地应平整，平面尺寸应满足制作和拼装要求；</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采用分节吊放的钢筋笼应在制作场地进行预拼装成型；</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应设置纵横向桁架、剪力撑等加强钢筋笼整体刚度的构造措施，钢筋笼整体吊放应进行安全验算；</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应对钢筋笼吊放的机具进行安全验算；</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钢筋笼吊筋的长度宜根据导墙标高确定；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6钢筋笼应设置保护层垫块，纵向间距为3m～5m，横向设置2块～3块；定位垫板宜采用4</w:t>
      </w:r>
      <w:r>
        <w:rPr>
          <w:rFonts w:hint="eastAsia" w:ascii="Times New Roman" w:hAnsi="Times New Roman"/>
          <w:szCs w:val="24"/>
          <w:lang w:val="en-US" w:eastAsia="zh-CN"/>
        </w:rPr>
        <w:t>mm</w:t>
      </w:r>
      <w:r>
        <w:rPr>
          <w:rFonts w:hint="eastAsia" w:ascii="Times New Roman" w:hAnsi="Times New Roman"/>
          <w:szCs w:val="24"/>
        </w:rPr>
        <w:t>～6mm厚钢板制作，并与主筋焊接。钢筋笼应在刷壁、清槽、泥浆置换完成后及时入槽。</w:t>
      </w:r>
    </w:p>
    <w:p>
      <w:pPr>
        <w:widowControl w:val="0"/>
        <w:spacing w:line="480" w:lineRule="exact"/>
        <w:rPr>
          <w:rFonts w:hint="eastAsia" w:ascii="Times New Roman" w:hAnsi="Times New Roman"/>
          <w:b/>
          <w:color w:val="auto"/>
          <w:szCs w:val="24"/>
        </w:rPr>
      </w:pPr>
      <w:bookmarkStart w:id="542" w:name="_Toc32291"/>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.27 </w:t>
      </w:r>
      <w:r>
        <w:rPr>
          <w:rFonts w:hint="eastAsia" w:ascii="Times New Roman" w:hAnsi="Times New Roman"/>
          <w:b w:val="0"/>
          <w:bCs/>
          <w:color w:val="auto"/>
          <w:szCs w:val="24"/>
        </w:rPr>
        <w:t>地下连续墙的质量检测应符合下列规定：</w:t>
      </w:r>
      <w:bookmarkEnd w:id="542"/>
      <w:r>
        <w:rPr>
          <w:rFonts w:hint="eastAsia" w:ascii="Times New Roman" w:hAnsi="Times New Roman"/>
          <w:b/>
          <w:color w:val="auto"/>
          <w:szCs w:val="24"/>
        </w:rPr>
        <w:t xml:space="preserve"> </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1 应进行成槽检测，一般结构的成槽检测可抽测总槽段数的20%，且不少于10幅；当地下连续墙作为主体地下结构构件时，应对每个槽段进行成槽检测；</w:t>
      </w:r>
    </w:p>
    <w:p>
      <w:pPr>
        <w:widowControl w:val="0"/>
        <w:spacing w:line="480" w:lineRule="exact"/>
        <w:rPr>
          <w:rFonts w:ascii="Times New Roman" w:hAnsi="Times New Roman"/>
          <w:color w:val="auto"/>
          <w:szCs w:val="24"/>
        </w:rPr>
      </w:pPr>
      <w:r>
        <w:rPr>
          <w:rFonts w:hint="eastAsia" w:ascii="Times New Roman" w:hAnsi="Times New Roman"/>
          <w:color w:val="auto"/>
          <w:szCs w:val="24"/>
        </w:rPr>
        <w:t xml:space="preserve">    2 应进行槽底沉渣厚度检测；当地下连续墙作为主体地下结构构件时，应对每个槽段进行槽底沉渣厚度检测；</w:t>
      </w:r>
    </w:p>
    <w:p>
      <w:pPr>
        <w:widowControl w:val="0"/>
        <w:spacing w:line="480" w:lineRule="exact"/>
        <w:rPr>
          <w:rFonts w:ascii="Times New Roman" w:hAnsi="Times New Roman"/>
          <w:color w:val="auto"/>
          <w:szCs w:val="24"/>
        </w:rPr>
      </w:pPr>
      <w:r>
        <w:rPr>
          <w:rFonts w:hint="eastAsia" w:ascii="Times New Roman" w:hAnsi="Times New Roman"/>
          <w:color w:val="auto"/>
          <w:szCs w:val="24"/>
        </w:rPr>
        <w:t xml:space="preserve">    3 地下连续墙作为主体地下结构构件时，其质量检测尚应符合相关规范的要求。</w:t>
      </w:r>
    </w:p>
    <w:p>
      <w:pPr>
        <w:widowControl w:val="0"/>
        <w:spacing w:line="480" w:lineRule="exact"/>
        <w:rPr>
          <w:rFonts w:hint="eastAsia"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 xml:space="preserve">.28 </w:t>
      </w:r>
      <w:r>
        <w:rPr>
          <w:rFonts w:hint="eastAsia" w:ascii="Times New Roman" w:hAnsi="Times New Roman"/>
          <w:color w:val="auto"/>
          <w:szCs w:val="24"/>
        </w:rPr>
        <w:t>地下连</w:t>
      </w:r>
      <w:r>
        <w:rPr>
          <w:rFonts w:hint="eastAsia" w:ascii="Times New Roman" w:hAnsi="Times New Roman"/>
          <w:szCs w:val="24"/>
        </w:rPr>
        <w:t>续墙施工质量检测应符合表8.</w:t>
      </w:r>
      <w:r>
        <w:rPr>
          <w:rFonts w:hint="eastAsia" w:ascii="Times New Roman" w:hAnsi="Times New Roman"/>
          <w:szCs w:val="24"/>
          <w:lang w:eastAsia="zh-CN"/>
        </w:rPr>
        <w:t>4</w:t>
      </w:r>
      <w:r>
        <w:rPr>
          <w:rFonts w:hint="eastAsia" w:ascii="Times New Roman" w:hAnsi="Times New Roman"/>
          <w:szCs w:val="24"/>
        </w:rPr>
        <w:t>.28规定。</w:t>
      </w:r>
    </w:p>
    <w:p>
      <w:pPr>
        <w:widowControl w:val="0"/>
        <w:spacing w:line="480" w:lineRule="exact"/>
        <w:jc w:val="center"/>
        <w:rPr>
          <w:rFonts w:ascii="Times New Roman" w:hAnsi="Times New Roman"/>
          <w:b/>
          <w:sz w:val="21"/>
          <w:szCs w:val="21"/>
        </w:rPr>
      </w:pPr>
      <w:r>
        <w:rPr>
          <w:rFonts w:hint="eastAsia" w:ascii="Times New Roman" w:hAnsi="Times New Roman"/>
          <w:b/>
          <w:color w:val="auto"/>
          <w:sz w:val="21"/>
          <w:szCs w:val="21"/>
        </w:rPr>
        <w:t>表8.</w:t>
      </w:r>
      <w:r>
        <w:rPr>
          <w:rFonts w:hint="eastAsia" w:ascii="Times New Roman" w:hAnsi="Times New Roman"/>
          <w:b/>
          <w:color w:val="auto"/>
          <w:sz w:val="21"/>
          <w:szCs w:val="21"/>
          <w:lang w:eastAsia="zh-CN"/>
        </w:rPr>
        <w:t>4</w:t>
      </w:r>
      <w:r>
        <w:rPr>
          <w:rFonts w:hint="eastAsia" w:ascii="Times New Roman" w:hAnsi="Times New Roman"/>
          <w:b/>
          <w:color w:val="auto"/>
          <w:sz w:val="21"/>
          <w:szCs w:val="21"/>
        </w:rPr>
        <w:t>.28</w:t>
      </w:r>
      <w:r>
        <w:rPr>
          <w:rFonts w:hint="eastAsia" w:ascii="Times New Roman" w:hAnsi="Times New Roman"/>
          <w:b/>
          <w:sz w:val="21"/>
          <w:szCs w:val="21"/>
        </w:rPr>
        <w:t xml:space="preserve"> 地下连续墙质量检测标准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22"/>
        <w:gridCol w:w="3713"/>
        <w:gridCol w:w="106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00"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序号</w:t>
            </w:r>
          </w:p>
        </w:tc>
        <w:tc>
          <w:tcPr>
            <w:tcW w:w="4935" w:type="dxa"/>
            <w:gridSpan w:val="2"/>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检查项目</w:t>
            </w:r>
          </w:p>
        </w:tc>
        <w:tc>
          <w:tcPr>
            <w:tcW w:w="2940"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允许偏差或允许值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00" w:type="dxa"/>
            <w:vMerge w:val="continue"/>
            <w:vAlign w:val="center"/>
          </w:tcPr>
          <w:p>
            <w:pPr>
              <w:widowControl w:val="0"/>
              <w:jc w:val="center"/>
              <w:rPr>
                <w:rFonts w:ascii="Times New Roman" w:hAnsi="Times New Roman"/>
                <w:sz w:val="21"/>
                <w:szCs w:val="21"/>
              </w:rPr>
            </w:pPr>
          </w:p>
        </w:tc>
        <w:tc>
          <w:tcPr>
            <w:tcW w:w="4935" w:type="dxa"/>
            <w:gridSpan w:val="2"/>
            <w:vMerge w:val="continue"/>
            <w:vAlign w:val="center"/>
          </w:tcPr>
          <w:p>
            <w:pPr>
              <w:widowControl w:val="0"/>
              <w:jc w:val="center"/>
              <w:rPr>
                <w:rFonts w:ascii="Times New Roman" w:hAnsi="Times New Roman"/>
                <w:sz w:val="21"/>
                <w:szCs w:val="21"/>
              </w:rPr>
            </w:pP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单位</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1</w:t>
            </w:r>
          </w:p>
        </w:tc>
        <w:tc>
          <w:tcPr>
            <w:tcW w:w="1222"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导墙</w:t>
            </w: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宽度（设计墙厚+50）</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墙面平整度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导墙平面位置</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Align w:val="center"/>
          </w:tcPr>
          <w:p>
            <w:pPr>
              <w:widowControl w:val="0"/>
              <w:jc w:val="center"/>
              <w:rPr>
                <w:rFonts w:ascii="Times New Roman" w:hAnsi="Times New Roman"/>
                <w:sz w:val="21"/>
                <w:szCs w:val="21"/>
              </w:rPr>
            </w:pPr>
            <w:r>
              <w:rPr>
                <w:rFonts w:hint="eastAsia" w:ascii="Times New Roman" w:hAnsi="Times New Roman"/>
                <w:sz w:val="21"/>
                <w:szCs w:val="21"/>
              </w:rPr>
              <w:t>2</w:t>
            </w:r>
          </w:p>
        </w:tc>
        <w:tc>
          <w:tcPr>
            <w:tcW w:w="1222" w:type="dxa"/>
            <w:vAlign w:val="center"/>
          </w:tcPr>
          <w:p>
            <w:pPr>
              <w:widowControl w:val="0"/>
              <w:jc w:val="center"/>
              <w:rPr>
                <w:rFonts w:ascii="Times New Roman" w:hAnsi="Times New Roman"/>
                <w:sz w:val="21"/>
                <w:szCs w:val="21"/>
              </w:rPr>
            </w:pPr>
            <w:r>
              <w:rPr>
                <w:rFonts w:hint="eastAsia" w:ascii="Times New Roman" w:hAnsi="Times New Roman"/>
                <w:sz w:val="21"/>
                <w:szCs w:val="21"/>
              </w:rPr>
              <w:t>泥浆</w:t>
            </w: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清孔后泥浆比重</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3</w:t>
            </w:r>
          </w:p>
        </w:tc>
        <w:tc>
          <w:tcPr>
            <w:tcW w:w="1222"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成槽</w:t>
            </w: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垂直度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沉渣厚度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槽孔深度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4</w:t>
            </w:r>
          </w:p>
        </w:tc>
        <w:tc>
          <w:tcPr>
            <w:tcW w:w="1222"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钢筋笼</w:t>
            </w: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保护层厚度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长度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宽度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钢筋笼安装深度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主筋间距</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分布筋间距</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预埋钢筋和接驳器中心位置</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预埋件中心位置</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5</w:t>
            </w:r>
          </w:p>
        </w:tc>
        <w:tc>
          <w:tcPr>
            <w:tcW w:w="1222"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混凝土</w:t>
            </w: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坍落度</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180～220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充盈系数</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00" w:type="dxa"/>
            <w:vMerge w:val="continue"/>
            <w:vAlign w:val="center"/>
          </w:tcPr>
          <w:p>
            <w:pPr>
              <w:widowControl w:val="0"/>
              <w:jc w:val="center"/>
              <w:rPr>
                <w:rFonts w:ascii="Times New Roman" w:hAnsi="Times New Roman"/>
                <w:sz w:val="21"/>
                <w:szCs w:val="21"/>
              </w:rPr>
            </w:pPr>
          </w:p>
        </w:tc>
        <w:tc>
          <w:tcPr>
            <w:tcW w:w="1222" w:type="dxa"/>
            <w:vMerge w:val="continue"/>
            <w:vAlign w:val="center"/>
          </w:tcPr>
          <w:p>
            <w:pPr>
              <w:widowControl w:val="0"/>
              <w:jc w:val="center"/>
              <w:rPr>
                <w:rFonts w:ascii="Times New Roman" w:hAnsi="Times New Roman"/>
                <w:sz w:val="21"/>
                <w:szCs w:val="21"/>
              </w:rPr>
            </w:pPr>
          </w:p>
        </w:tc>
        <w:tc>
          <w:tcPr>
            <w:tcW w:w="3713" w:type="dxa"/>
            <w:vAlign w:val="center"/>
          </w:tcPr>
          <w:p>
            <w:pPr>
              <w:widowControl w:val="0"/>
              <w:jc w:val="center"/>
              <w:rPr>
                <w:rFonts w:ascii="Times New Roman" w:hAnsi="Times New Roman"/>
                <w:sz w:val="21"/>
                <w:szCs w:val="21"/>
              </w:rPr>
            </w:pPr>
            <w:r>
              <w:rPr>
                <w:rFonts w:hint="eastAsia" w:ascii="Times New Roman" w:hAnsi="Times New Roman"/>
                <w:sz w:val="21"/>
                <w:szCs w:val="21"/>
              </w:rPr>
              <w:t>墙顶标高</w:t>
            </w:r>
          </w:p>
        </w:tc>
        <w:tc>
          <w:tcPr>
            <w:tcW w:w="1065" w:type="dxa"/>
            <w:vAlign w:val="center"/>
          </w:tcPr>
          <w:p>
            <w:pPr>
              <w:widowControl w:val="0"/>
              <w:jc w:val="center"/>
              <w:rPr>
                <w:rFonts w:ascii="Times New Roman" w:hAnsi="Times New Roman"/>
                <w:sz w:val="21"/>
                <w:szCs w:val="21"/>
              </w:rPr>
            </w:pPr>
            <w:r>
              <w:rPr>
                <w:rFonts w:hint="eastAsia" w:ascii="Times New Roman" w:hAnsi="Times New Roman"/>
                <w:sz w:val="21"/>
                <w:szCs w:val="21"/>
              </w:rPr>
              <w:t>mm</w:t>
            </w:r>
          </w:p>
        </w:tc>
        <w:tc>
          <w:tcPr>
            <w:tcW w:w="1875" w:type="dxa"/>
            <w:vAlign w:val="center"/>
          </w:tcPr>
          <w:p>
            <w:pPr>
              <w:widowControl w:val="0"/>
              <w:jc w:val="center"/>
              <w:rPr>
                <w:rFonts w:ascii="Times New Roman" w:hAnsi="Times New Roman"/>
                <w:sz w:val="21"/>
                <w:szCs w:val="21"/>
              </w:rPr>
            </w:pPr>
            <w:r>
              <w:rPr>
                <w:rFonts w:hint="eastAsia" w:ascii="Times New Roman" w:hAnsi="Times New Roman"/>
                <w:sz w:val="21"/>
                <w:szCs w:val="21"/>
              </w:rPr>
              <w:t>±50</w:t>
            </w:r>
          </w:p>
        </w:tc>
      </w:tr>
    </w:tbl>
    <w:p>
      <w:pPr>
        <w:widowControl w:val="0"/>
        <w:rPr>
          <w:vanish/>
        </w:rPr>
      </w:pPr>
    </w:p>
    <w:tbl>
      <w:tblPr>
        <w:tblStyle w:val="32"/>
        <w:tblpPr w:leftFromText="180" w:rightFromText="180" w:vertAnchor="text" w:horzAnchor="margin" w:tblpXSpec="right" w:tblpY="27"/>
        <w:tblW w:w="0" w:type="auto"/>
        <w:tblInd w:w="0" w:type="dxa"/>
        <w:tblLayout w:type="fixed"/>
        <w:tblCellMar>
          <w:top w:w="0" w:type="dxa"/>
          <w:left w:w="108" w:type="dxa"/>
          <w:bottom w:w="0" w:type="dxa"/>
          <w:right w:w="108" w:type="dxa"/>
        </w:tblCellMar>
      </w:tblPr>
      <w:tblGrid>
        <w:gridCol w:w="886"/>
        <w:gridCol w:w="344"/>
        <w:gridCol w:w="8045"/>
      </w:tblGrid>
      <w:tr>
        <w:tblPrEx>
          <w:tblCellMar>
            <w:top w:w="0" w:type="dxa"/>
            <w:left w:w="108" w:type="dxa"/>
            <w:bottom w:w="0" w:type="dxa"/>
            <w:right w:w="108" w:type="dxa"/>
          </w:tblCellMar>
        </w:tblPrEx>
        <w:tc>
          <w:tcPr>
            <w:tcW w:w="886" w:type="dxa"/>
          </w:tcPr>
          <w:p>
            <w:pPr>
              <w:widowControl w:val="0"/>
              <w:jc w:val="right"/>
              <w:rPr>
                <w:rFonts w:ascii="Times New Roman" w:hAnsi="Times New Roman"/>
                <w:sz w:val="18"/>
                <w:szCs w:val="18"/>
              </w:rPr>
            </w:pPr>
            <w:r>
              <w:rPr>
                <w:rFonts w:hint="eastAsia" w:ascii="Times New Roman" w:hAnsi="Times New Roman"/>
                <w:sz w:val="18"/>
                <w:szCs w:val="18"/>
              </w:rPr>
              <w:t>注：</w:t>
            </w:r>
          </w:p>
        </w:tc>
        <w:tc>
          <w:tcPr>
            <w:tcW w:w="344" w:type="dxa"/>
          </w:tcPr>
          <w:p>
            <w:pPr>
              <w:widowControl w:val="0"/>
              <w:jc w:val="right"/>
              <w:rPr>
                <w:rFonts w:ascii="Times New Roman" w:hAnsi="Times New Roman"/>
                <w:sz w:val="18"/>
                <w:szCs w:val="18"/>
              </w:rPr>
            </w:pPr>
            <w:r>
              <w:rPr>
                <w:rFonts w:hint="eastAsia" w:ascii="Times New Roman" w:hAnsi="Times New Roman"/>
                <w:sz w:val="18"/>
                <w:szCs w:val="18"/>
              </w:rPr>
              <w:t>1</w:t>
            </w:r>
          </w:p>
        </w:tc>
        <w:tc>
          <w:tcPr>
            <w:tcW w:w="8045" w:type="dxa"/>
          </w:tcPr>
          <w:p>
            <w:pPr>
              <w:widowControl w:val="0"/>
              <w:rPr>
                <w:rFonts w:ascii="Times New Roman" w:hAnsi="Times New Roman"/>
                <w:sz w:val="18"/>
                <w:szCs w:val="18"/>
              </w:rPr>
            </w:pPr>
            <w:r>
              <w:rPr>
                <w:rFonts w:hint="eastAsia" w:ascii="Times New Roman" w:hAnsi="Times New Roman"/>
                <w:sz w:val="18"/>
                <w:szCs w:val="18"/>
              </w:rPr>
              <w:t>地下连续墙混凝土充盈系数为实际混凝土体积与设计墙身计算体积加实际高出</w:t>
            </w:r>
          </w:p>
          <w:p>
            <w:pPr>
              <w:widowControl w:val="0"/>
              <w:rPr>
                <w:rFonts w:hint="eastAsia" w:ascii="Times New Roman" w:hAnsi="Times New Roman" w:eastAsia="宋体"/>
                <w:sz w:val="18"/>
                <w:szCs w:val="18"/>
                <w:lang w:eastAsia="zh-CN"/>
              </w:rPr>
            </w:pPr>
            <w:r>
              <w:rPr>
                <w:rFonts w:hint="eastAsia" w:ascii="Times New Roman" w:hAnsi="Times New Roman"/>
                <w:sz w:val="18"/>
                <w:szCs w:val="18"/>
              </w:rPr>
              <w:t>部分体积之和的比值。墙顶标高应为扣除泛浆后高度</w:t>
            </w:r>
            <w:r>
              <w:rPr>
                <w:rFonts w:hint="eastAsia" w:ascii="Times New Roman" w:hAnsi="Times New Roman"/>
                <w:sz w:val="18"/>
                <w:szCs w:val="18"/>
                <w:lang w:eastAsia="zh-CN"/>
              </w:rPr>
              <w:t>；</w:t>
            </w:r>
          </w:p>
        </w:tc>
      </w:tr>
      <w:tr>
        <w:tblPrEx>
          <w:tblCellMar>
            <w:top w:w="0" w:type="dxa"/>
            <w:left w:w="108" w:type="dxa"/>
            <w:bottom w:w="0" w:type="dxa"/>
            <w:right w:w="108" w:type="dxa"/>
          </w:tblCellMar>
        </w:tblPrEx>
        <w:tc>
          <w:tcPr>
            <w:tcW w:w="886" w:type="dxa"/>
          </w:tcPr>
          <w:p>
            <w:pPr>
              <w:widowControl w:val="0"/>
              <w:jc w:val="right"/>
              <w:rPr>
                <w:rFonts w:ascii="Times New Roman" w:hAnsi="Times New Roman"/>
                <w:sz w:val="18"/>
                <w:szCs w:val="18"/>
              </w:rPr>
            </w:pPr>
          </w:p>
        </w:tc>
        <w:tc>
          <w:tcPr>
            <w:tcW w:w="344" w:type="dxa"/>
          </w:tcPr>
          <w:p>
            <w:pPr>
              <w:widowControl w:val="0"/>
              <w:jc w:val="right"/>
              <w:rPr>
                <w:rFonts w:ascii="Times New Roman" w:hAnsi="Times New Roman"/>
                <w:sz w:val="18"/>
                <w:szCs w:val="18"/>
              </w:rPr>
            </w:pPr>
            <w:r>
              <w:rPr>
                <w:rFonts w:hint="eastAsia" w:ascii="Times New Roman" w:hAnsi="Times New Roman"/>
                <w:sz w:val="18"/>
                <w:szCs w:val="18"/>
              </w:rPr>
              <w:t>2</w:t>
            </w:r>
          </w:p>
        </w:tc>
        <w:tc>
          <w:tcPr>
            <w:tcW w:w="8045" w:type="dxa"/>
          </w:tcPr>
          <w:p>
            <w:pPr>
              <w:widowControl w:val="0"/>
              <w:rPr>
                <w:rFonts w:ascii="Times New Roman" w:hAnsi="Times New Roman"/>
                <w:sz w:val="18"/>
                <w:szCs w:val="18"/>
              </w:rPr>
            </w:pPr>
            <w:r>
              <w:rPr>
                <w:rFonts w:hint="eastAsia" w:ascii="Times New Roman" w:hAnsi="Times New Roman"/>
                <w:sz w:val="18"/>
                <w:szCs w:val="18"/>
              </w:rPr>
              <w:t>墙身混凝土抗压强度试块每100m</w:t>
            </w:r>
            <w:r>
              <w:rPr>
                <w:rFonts w:hint="eastAsia" w:ascii="Times New Roman" w:hAnsi="Times New Roman"/>
                <w:sz w:val="18"/>
                <w:szCs w:val="18"/>
                <w:vertAlign w:val="superscript"/>
              </w:rPr>
              <w:t>3</w:t>
            </w:r>
            <w:r>
              <w:rPr>
                <w:rFonts w:hint="eastAsia" w:ascii="Times New Roman" w:hAnsi="Times New Roman"/>
                <w:sz w:val="18"/>
                <w:szCs w:val="18"/>
              </w:rPr>
              <w:t>混凝土不应少于1组，且每幅槽段不应少于</w:t>
            </w:r>
          </w:p>
          <w:p>
            <w:pPr>
              <w:widowControl w:val="0"/>
              <w:rPr>
                <w:rFonts w:ascii="Times New Roman" w:hAnsi="Times New Roman"/>
                <w:sz w:val="18"/>
                <w:szCs w:val="18"/>
              </w:rPr>
            </w:pPr>
            <w:r>
              <w:rPr>
                <w:rFonts w:hint="eastAsia" w:ascii="Times New Roman" w:hAnsi="Times New Roman"/>
                <w:sz w:val="18"/>
                <w:szCs w:val="18"/>
              </w:rPr>
              <w:t>1组；墙身混凝土抗渗试块每5幅槽段不应少于1组。</w:t>
            </w:r>
          </w:p>
        </w:tc>
      </w:tr>
    </w:tbl>
    <w:p>
      <w:pPr>
        <w:widowControl w:val="0"/>
        <w:ind w:firstLine="480" w:firstLineChars="200"/>
        <w:rPr>
          <w:rFonts w:ascii="Times New Roman" w:hAnsi="Times New Roman"/>
          <w:szCs w:val="24"/>
        </w:rPr>
      </w:pPr>
    </w:p>
    <w:p>
      <w:pPr>
        <w:widowControl w:val="0"/>
        <w:spacing w:line="480" w:lineRule="exact"/>
        <w:rPr>
          <w:rFonts w:hint="eastAsia"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4</w:t>
      </w:r>
      <w:r>
        <w:rPr>
          <w:rFonts w:hint="eastAsia" w:ascii="Times New Roman" w:hAnsi="Times New Roman"/>
          <w:b/>
          <w:color w:val="auto"/>
          <w:szCs w:val="24"/>
        </w:rPr>
        <w:t>.2</w:t>
      </w:r>
      <w:r>
        <w:rPr>
          <w:rFonts w:hint="eastAsia" w:ascii="Times New Roman" w:hAnsi="Times New Roman"/>
          <w:b/>
          <w:color w:val="auto"/>
          <w:szCs w:val="24"/>
          <w:lang w:val="en-US" w:eastAsia="zh-CN"/>
        </w:rPr>
        <w:t>9</w:t>
      </w:r>
      <w:r>
        <w:rPr>
          <w:rFonts w:hint="eastAsia" w:ascii="Times New Roman" w:hAnsi="Times New Roman"/>
          <w:b/>
          <w:color w:val="auto"/>
          <w:szCs w:val="24"/>
        </w:rPr>
        <w:t xml:space="preserve"> </w:t>
      </w:r>
      <w:r>
        <w:rPr>
          <w:rFonts w:hint="eastAsia" w:ascii="Times New Roman" w:hAnsi="Times New Roman"/>
          <w:color w:val="auto"/>
          <w:szCs w:val="24"/>
        </w:rPr>
        <w:t>地新拌制泥浆、循环泥浆的性能指标应分别符合表8.</w:t>
      </w:r>
      <w:r>
        <w:rPr>
          <w:rFonts w:hint="eastAsia" w:ascii="Times New Roman" w:hAnsi="Times New Roman"/>
          <w:color w:val="auto"/>
          <w:szCs w:val="24"/>
          <w:lang w:eastAsia="zh-CN"/>
        </w:rPr>
        <w:t>4</w:t>
      </w:r>
      <w:r>
        <w:rPr>
          <w:rFonts w:hint="eastAsia" w:ascii="Times New Roman" w:hAnsi="Times New Roman"/>
          <w:color w:val="auto"/>
          <w:szCs w:val="24"/>
        </w:rPr>
        <w:t>.2</w:t>
      </w:r>
      <w:r>
        <w:rPr>
          <w:rFonts w:hint="eastAsia" w:ascii="Times New Roman" w:hAnsi="Times New Roman"/>
          <w:color w:val="auto"/>
          <w:szCs w:val="24"/>
          <w:lang w:val="en-US" w:eastAsia="zh-CN"/>
        </w:rPr>
        <w:t>9-1</w:t>
      </w:r>
      <w:r>
        <w:rPr>
          <w:rFonts w:hint="eastAsia" w:ascii="Times New Roman" w:hAnsi="Times New Roman"/>
          <w:color w:val="auto"/>
          <w:szCs w:val="24"/>
        </w:rPr>
        <w:t>、8.</w:t>
      </w:r>
      <w:r>
        <w:rPr>
          <w:rFonts w:hint="eastAsia" w:ascii="Times New Roman" w:hAnsi="Times New Roman"/>
          <w:color w:val="auto"/>
          <w:szCs w:val="24"/>
          <w:lang w:eastAsia="zh-CN"/>
        </w:rPr>
        <w:t>4</w:t>
      </w:r>
      <w:r>
        <w:rPr>
          <w:rFonts w:hint="eastAsia" w:ascii="Times New Roman" w:hAnsi="Times New Roman"/>
          <w:color w:val="auto"/>
          <w:szCs w:val="24"/>
        </w:rPr>
        <w:t>.2</w:t>
      </w:r>
      <w:r>
        <w:rPr>
          <w:rFonts w:hint="eastAsia" w:ascii="Times New Roman" w:hAnsi="Times New Roman"/>
          <w:color w:val="auto"/>
          <w:szCs w:val="24"/>
          <w:lang w:val="en-US" w:eastAsia="zh-CN"/>
        </w:rPr>
        <w:t>9-2</w:t>
      </w:r>
      <w:r>
        <w:rPr>
          <w:rFonts w:hint="eastAsia" w:ascii="Times New Roman" w:hAnsi="Times New Roman"/>
          <w:color w:val="auto"/>
          <w:szCs w:val="24"/>
        </w:rPr>
        <w:t>的要求。对于特殊地质条件下的工程，泥浆性能指标可通过试验作必要调整。</w:t>
      </w:r>
    </w:p>
    <w:p>
      <w:pPr>
        <w:widowControl w:val="0"/>
        <w:spacing w:line="480" w:lineRule="exact"/>
        <w:rPr>
          <w:rFonts w:hint="eastAsia" w:ascii="Times New Roman" w:hAnsi="Times New Roman"/>
          <w:color w:val="auto"/>
          <w:szCs w:val="24"/>
        </w:rPr>
      </w:pPr>
    </w:p>
    <w:p>
      <w:pPr>
        <w:widowControl w:val="0"/>
        <w:ind w:firstLine="421" w:firstLineChars="200"/>
        <w:jc w:val="center"/>
        <w:rPr>
          <w:rFonts w:ascii="Times New Roman" w:hAnsi="Times New Roman"/>
          <w:b/>
          <w:color w:val="auto"/>
          <w:sz w:val="21"/>
          <w:szCs w:val="21"/>
        </w:rPr>
      </w:pPr>
      <w:r>
        <w:rPr>
          <w:rFonts w:hint="eastAsia" w:ascii="Times New Roman" w:hAnsi="Times New Roman"/>
          <w:b/>
          <w:color w:val="auto"/>
          <w:sz w:val="21"/>
          <w:szCs w:val="21"/>
        </w:rPr>
        <w:t>表8.</w:t>
      </w:r>
      <w:r>
        <w:rPr>
          <w:rFonts w:hint="eastAsia" w:ascii="Times New Roman" w:hAnsi="Times New Roman"/>
          <w:b/>
          <w:color w:val="auto"/>
          <w:sz w:val="21"/>
          <w:szCs w:val="21"/>
          <w:lang w:eastAsia="zh-CN"/>
        </w:rPr>
        <w:t>4</w:t>
      </w:r>
      <w:r>
        <w:rPr>
          <w:rFonts w:hint="eastAsia" w:ascii="Times New Roman" w:hAnsi="Times New Roman"/>
          <w:b/>
          <w:color w:val="auto"/>
          <w:sz w:val="21"/>
          <w:szCs w:val="21"/>
        </w:rPr>
        <w:t>.2</w:t>
      </w:r>
      <w:r>
        <w:rPr>
          <w:rFonts w:hint="eastAsia" w:ascii="Times New Roman" w:hAnsi="Times New Roman"/>
          <w:b/>
          <w:color w:val="auto"/>
          <w:sz w:val="21"/>
          <w:szCs w:val="21"/>
          <w:lang w:val="en-US" w:eastAsia="zh-CN"/>
        </w:rPr>
        <w:t>9</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1</w:t>
      </w:r>
      <w:r>
        <w:rPr>
          <w:rFonts w:hint="eastAsia" w:ascii="Times New Roman" w:hAnsi="Times New Roman"/>
          <w:b/>
          <w:color w:val="auto"/>
          <w:sz w:val="21"/>
          <w:szCs w:val="21"/>
        </w:rPr>
        <w:t xml:space="preserve"> 新拌制泥浆性能指标</w:t>
      </w:r>
    </w:p>
    <w:p>
      <w:pPr>
        <w:widowControl w:val="0"/>
        <w:rPr>
          <w:vanish/>
        </w:rPr>
      </w:pPr>
    </w:p>
    <w:tbl>
      <w:tblPr>
        <w:tblStyle w:val="32"/>
        <w:tblpPr w:leftFromText="180" w:rightFromText="180" w:vertAnchor="text" w:horzAnchor="margin" w:tblpXSpec="center" w:tblpY="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19"/>
        <w:gridCol w:w="1119"/>
        <w:gridCol w:w="2238"/>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序号</w:t>
            </w:r>
          </w:p>
        </w:tc>
        <w:tc>
          <w:tcPr>
            <w:tcW w:w="2238"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检查项目</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性能指标</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1</w:t>
            </w:r>
          </w:p>
        </w:tc>
        <w:tc>
          <w:tcPr>
            <w:tcW w:w="2238"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比重</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1.03～1.10</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泥浆比重秤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19"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2</w:t>
            </w:r>
          </w:p>
        </w:tc>
        <w:tc>
          <w:tcPr>
            <w:tcW w:w="1119"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黏度</w:t>
            </w:r>
          </w:p>
        </w:tc>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黏性土</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19S～25S</w:t>
            </w:r>
          </w:p>
        </w:tc>
        <w:tc>
          <w:tcPr>
            <w:tcW w:w="2238"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500ml/700ml漏斗法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119" w:type="dxa"/>
            <w:vMerge w:val="continue"/>
            <w:vAlign w:val="center"/>
          </w:tcPr>
          <w:p>
            <w:pPr>
              <w:widowControl w:val="0"/>
              <w:jc w:val="center"/>
              <w:rPr>
                <w:rFonts w:ascii="Times New Roman" w:hAnsi="Times New Roman"/>
                <w:sz w:val="21"/>
                <w:szCs w:val="21"/>
              </w:rPr>
            </w:pPr>
          </w:p>
        </w:tc>
        <w:tc>
          <w:tcPr>
            <w:tcW w:w="1119" w:type="dxa"/>
            <w:vMerge w:val="continue"/>
            <w:vAlign w:val="center"/>
          </w:tcPr>
          <w:p>
            <w:pPr>
              <w:widowControl w:val="0"/>
              <w:jc w:val="center"/>
              <w:rPr>
                <w:rFonts w:ascii="Times New Roman" w:hAnsi="Times New Roman"/>
                <w:sz w:val="21"/>
                <w:szCs w:val="21"/>
              </w:rPr>
            </w:pPr>
          </w:p>
        </w:tc>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砂性土</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30S～35S</w:t>
            </w:r>
          </w:p>
        </w:tc>
        <w:tc>
          <w:tcPr>
            <w:tcW w:w="2238" w:type="dxa"/>
            <w:vMerge w:val="continue"/>
            <w:vAlign w:val="center"/>
          </w:tcPr>
          <w:p>
            <w:pPr>
              <w:widowControl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3</w:t>
            </w:r>
          </w:p>
        </w:tc>
        <w:tc>
          <w:tcPr>
            <w:tcW w:w="2238"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胶体率</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＞98%</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量筒法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4</w:t>
            </w:r>
          </w:p>
        </w:tc>
        <w:tc>
          <w:tcPr>
            <w:tcW w:w="2238"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失水量</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＜30ml/30min</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失水量仪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5</w:t>
            </w:r>
          </w:p>
        </w:tc>
        <w:tc>
          <w:tcPr>
            <w:tcW w:w="2238"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泥皮厚度</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＜1mm</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失水量仪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6</w:t>
            </w:r>
          </w:p>
        </w:tc>
        <w:tc>
          <w:tcPr>
            <w:tcW w:w="2238"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PH值</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8～9</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PH试纸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19" w:type="dxa"/>
            <w:vAlign w:val="center"/>
          </w:tcPr>
          <w:p>
            <w:pPr>
              <w:widowControl w:val="0"/>
              <w:jc w:val="center"/>
              <w:rPr>
                <w:rFonts w:hint="eastAsia" w:ascii="Times New Roman" w:hAnsi="Times New Roman"/>
                <w:sz w:val="21"/>
                <w:szCs w:val="21"/>
              </w:rPr>
            </w:pPr>
          </w:p>
        </w:tc>
        <w:tc>
          <w:tcPr>
            <w:tcW w:w="2238" w:type="dxa"/>
            <w:gridSpan w:val="2"/>
            <w:vAlign w:val="center"/>
          </w:tcPr>
          <w:p>
            <w:pPr>
              <w:widowControl w:val="0"/>
              <w:jc w:val="center"/>
              <w:rPr>
                <w:rFonts w:hint="eastAsia" w:ascii="Times New Roman" w:hAnsi="Times New Roman"/>
                <w:sz w:val="21"/>
                <w:szCs w:val="21"/>
              </w:rPr>
            </w:pPr>
          </w:p>
        </w:tc>
        <w:tc>
          <w:tcPr>
            <w:tcW w:w="2238" w:type="dxa"/>
            <w:vAlign w:val="center"/>
          </w:tcPr>
          <w:p>
            <w:pPr>
              <w:widowControl w:val="0"/>
              <w:jc w:val="center"/>
              <w:rPr>
                <w:rFonts w:hint="eastAsia" w:ascii="Times New Roman" w:hAnsi="Times New Roman"/>
                <w:sz w:val="21"/>
                <w:szCs w:val="21"/>
              </w:rPr>
            </w:pPr>
          </w:p>
        </w:tc>
        <w:tc>
          <w:tcPr>
            <w:tcW w:w="2238" w:type="dxa"/>
            <w:vAlign w:val="center"/>
          </w:tcPr>
          <w:p>
            <w:pPr>
              <w:widowControl w:val="0"/>
              <w:jc w:val="center"/>
              <w:rPr>
                <w:rFonts w:hint="eastAsia" w:ascii="Times New Roman" w:hAnsi="Times New Roman"/>
                <w:sz w:val="21"/>
                <w:szCs w:val="21"/>
              </w:rPr>
            </w:pPr>
          </w:p>
        </w:tc>
      </w:tr>
    </w:tbl>
    <w:p>
      <w:pPr>
        <w:widowControl w:val="0"/>
        <w:rPr>
          <w:rFonts w:ascii="Times New Roman" w:hAnsi="Times New Roman"/>
          <w:sz w:val="21"/>
          <w:szCs w:val="21"/>
        </w:rPr>
      </w:pPr>
    </w:p>
    <w:p>
      <w:pPr>
        <w:widowControl w:val="0"/>
        <w:jc w:val="center"/>
        <w:rPr>
          <w:rFonts w:ascii="Times New Roman" w:hAnsi="Times New Roman"/>
          <w:b/>
          <w:sz w:val="21"/>
          <w:szCs w:val="21"/>
        </w:rPr>
      </w:pPr>
      <w:r>
        <w:rPr>
          <w:rFonts w:hint="eastAsia" w:ascii="Times New Roman" w:hAnsi="Times New Roman"/>
          <w:b/>
          <w:szCs w:val="24"/>
        </w:rPr>
        <w:t xml:space="preserve">      </w:t>
      </w:r>
    </w:p>
    <w:p>
      <w:pPr>
        <w:widowControl w:val="0"/>
        <w:jc w:val="center"/>
        <w:rPr>
          <w:rFonts w:ascii="Times New Roman" w:hAnsi="Times New Roman"/>
          <w:b/>
          <w:sz w:val="21"/>
          <w:szCs w:val="21"/>
        </w:rPr>
      </w:pPr>
      <w:r>
        <w:rPr>
          <w:rFonts w:hint="eastAsia" w:ascii="Times New Roman" w:hAnsi="Times New Roman"/>
          <w:b/>
          <w:sz w:val="21"/>
          <w:szCs w:val="21"/>
        </w:rPr>
        <w:t>表8.</w:t>
      </w:r>
      <w:r>
        <w:rPr>
          <w:rFonts w:hint="eastAsia" w:ascii="Times New Roman" w:hAnsi="Times New Roman"/>
          <w:b/>
          <w:color w:val="0000FF"/>
          <w:sz w:val="21"/>
          <w:szCs w:val="21"/>
          <w:lang w:eastAsia="zh-CN"/>
        </w:rPr>
        <w:t>4</w:t>
      </w:r>
      <w:r>
        <w:rPr>
          <w:rFonts w:hint="eastAsia" w:ascii="Times New Roman" w:hAnsi="Times New Roman"/>
          <w:b/>
          <w:sz w:val="21"/>
          <w:szCs w:val="21"/>
        </w:rPr>
        <w:t>.2</w:t>
      </w:r>
      <w:r>
        <w:rPr>
          <w:rFonts w:hint="eastAsia" w:ascii="Times New Roman" w:hAnsi="Times New Roman"/>
          <w:b/>
          <w:sz w:val="21"/>
          <w:szCs w:val="21"/>
          <w:lang w:val="en-US" w:eastAsia="zh-CN"/>
        </w:rPr>
        <w:t>9</w:t>
      </w:r>
      <w:r>
        <w:rPr>
          <w:rFonts w:hint="eastAsia" w:ascii="Times New Roman" w:hAnsi="Times New Roman"/>
          <w:b/>
          <w:sz w:val="21"/>
          <w:szCs w:val="21"/>
        </w:rPr>
        <w:t>-</w:t>
      </w:r>
      <w:r>
        <w:rPr>
          <w:rFonts w:hint="eastAsia" w:ascii="Times New Roman" w:hAnsi="Times New Roman"/>
          <w:b/>
          <w:sz w:val="21"/>
          <w:szCs w:val="21"/>
          <w:lang w:val="en-US" w:eastAsia="zh-CN"/>
        </w:rPr>
        <w:t>2</w:t>
      </w:r>
      <w:r>
        <w:rPr>
          <w:rFonts w:hint="eastAsia" w:ascii="Times New Roman" w:hAnsi="Times New Roman"/>
          <w:b/>
          <w:sz w:val="21"/>
          <w:szCs w:val="21"/>
        </w:rPr>
        <w:t xml:space="preserve"> 循环泥浆性能指标</w:t>
      </w:r>
    </w:p>
    <w:p>
      <w:pPr>
        <w:widowControl w:val="0"/>
        <w:rPr>
          <w:vanish/>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19"/>
        <w:gridCol w:w="1122"/>
        <w:gridCol w:w="2238"/>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序号</w:t>
            </w:r>
          </w:p>
        </w:tc>
        <w:tc>
          <w:tcPr>
            <w:tcW w:w="2241"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检查项目</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性能指标</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1</w:t>
            </w:r>
          </w:p>
        </w:tc>
        <w:tc>
          <w:tcPr>
            <w:tcW w:w="2241"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比重</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1.05～1.20</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泥浆比重秤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2</w:t>
            </w:r>
          </w:p>
        </w:tc>
        <w:tc>
          <w:tcPr>
            <w:tcW w:w="1119"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黏度</w:t>
            </w:r>
          </w:p>
        </w:tc>
        <w:tc>
          <w:tcPr>
            <w:tcW w:w="1122" w:type="dxa"/>
            <w:vAlign w:val="center"/>
          </w:tcPr>
          <w:p>
            <w:pPr>
              <w:widowControl w:val="0"/>
              <w:jc w:val="center"/>
              <w:rPr>
                <w:rFonts w:ascii="Times New Roman" w:hAnsi="Times New Roman"/>
                <w:sz w:val="21"/>
                <w:szCs w:val="21"/>
              </w:rPr>
            </w:pPr>
            <w:r>
              <w:rPr>
                <w:rFonts w:hint="eastAsia" w:ascii="Times New Roman" w:hAnsi="Times New Roman"/>
                <w:sz w:val="21"/>
                <w:szCs w:val="21"/>
              </w:rPr>
              <w:t>黏性土</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19S～30S</w:t>
            </w:r>
          </w:p>
        </w:tc>
        <w:tc>
          <w:tcPr>
            <w:tcW w:w="2238"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500ml/700ml漏斗法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Merge w:val="continue"/>
            <w:vAlign w:val="center"/>
          </w:tcPr>
          <w:p>
            <w:pPr>
              <w:widowControl w:val="0"/>
              <w:jc w:val="center"/>
              <w:rPr>
                <w:rFonts w:ascii="Times New Roman" w:hAnsi="Times New Roman"/>
                <w:sz w:val="21"/>
                <w:szCs w:val="21"/>
              </w:rPr>
            </w:pPr>
          </w:p>
        </w:tc>
        <w:tc>
          <w:tcPr>
            <w:tcW w:w="1119" w:type="dxa"/>
            <w:vMerge w:val="continue"/>
            <w:vAlign w:val="center"/>
          </w:tcPr>
          <w:p>
            <w:pPr>
              <w:widowControl w:val="0"/>
              <w:jc w:val="center"/>
              <w:rPr>
                <w:rFonts w:ascii="Times New Roman" w:hAnsi="Times New Roman"/>
                <w:sz w:val="21"/>
                <w:szCs w:val="21"/>
              </w:rPr>
            </w:pPr>
          </w:p>
        </w:tc>
        <w:tc>
          <w:tcPr>
            <w:tcW w:w="1122" w:type="dxa"/>
            <w:vAlign w:val="center"/>
          </w:tcPr>
          <w:p>
            <w:pPr>
              <w:widowControl w:val="0"/>
              <w:jc w:val="center"/>
              <w:rPr>
                <w:rFonts w:ascii="Times New Roman" w:hAnsi="Times New Roman"/>
                <w:sz w:val="21"/>
                <w:szCs w:val="21"/>
              </w:rPr>
            </w:pPr>
            <w:r>
              <w:rPr>
                <w:rFonts w:hint="eastAsia" w:ascii="Times New Roman" w:hAnsi="Times New Roman"/>
                <w:sz w:val="21"/>
                <w:szCs w:val="21"/>
              </w:rPr>
              <w:t>砂性土</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30S～40S</w:t>
            </w:r>
          </w:p>
        </w:tc>
        <w:tc>
          <w:tcPr>
            <w:tcW w:w="2238" w:type="dxa"/>
            <w:vMerge w:val="continue"/>
            <w:vAlign w:val="center"/>
          </w:tcPr>
          <w:p>
            <w:pPr>
              <w:widowControl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3</w:t>
            </w:r>
          </w:p>
        </w:tc>
        <w:tc>
          <w:tcPr>
            <w:tcW w:w="2241"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胶体率</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＞98%</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量筒法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4</w:t>
            </w:r>
          </w:p>
        </w:tc>
        <w:tc>
          <w:tcPr>
            <w:tcW w:w="2241"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失水量</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＜30ml/30min</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失水量仪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5</w:t>
            </w:r>
          </w:p>
        </w:tc>
        <w:tc>
          <w:tcPr>
            <w:tcW w:w="2241"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泥皮厚度</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＜1mm～3mm</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失水量仪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Align w:val="center"/>
          </w:tcPr>
          <w:p>
            <w:pPr>
              <w:widowControl w:val="0"/>
              <w:jc w:val="center"/>
              <w:rPr>
                <w:rFonts w:ascii="Times New Roman" w:hAnsi="Times New Roman"/>
                <w:sz w:val="21"/>
                <w:szCs w:val="21"/>
              </w:rPr>
            </w:pPr>
            <w:r>
              <w:rPr>
                <w:rFonts w:hint="eastAsia" w:ascii="Times New Roman" w:hAnsi="Times New Roman"/>
                <w:sz w:val="21"/>
                <w:szCs w:val="21"/>
              </w:rPr>
              <w:t>6</w:t>
            </w:r>
          </w:p>
        </w:tc>
        <w:tc>
          <w:tcPr>
            <w:tcW w:w="2241"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PH值</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8～10</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PH试纸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7</w:t>
            </w:r>
          </w:p>
        </w:tc>
        <w:tc>
          <w:tcPr>
            <w:tcW w:w="1119"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含砂率</w:t>
            </w:r>
          </w:p>
        </w:tc>
        <w:tc>
          <w:tcPr>
            <w:tcW w:w="1122" w:type="dxa"/>
            <w:vAlign w:val="center"/>
          </w:tcPr>
          <w:p>
            <w:pPr>
              <w:widowControl w:val="0"/>
              <w:jc w:val="center"/>
              <w:rPr>
                <w:rFonts w:ascii="Times New Roman" w:hAnsi="Times New Roman"/>
                <w:sz w:val="21"/>
                <w:szCs w:val="21"/>
              </w:rPr>
            </w:pPr>
            <w:r>
              <w:rPr>
                <w:rFonts w:hint="eastAsia" w:ascii="Times New Roman" w:hAnsi="Times New Roman"/>
                <w:sz w:val="21"/>
                <w:szCs w:val="21"/>
              </w:rPr>
              <w:t>黏性土</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＜4%</w:t>
            </w:r>
          </w:p>
        </w:tc>
        <w:tc>
          <w:tcPr>
            <w:tcW w:w="2238" w:type="dxa"/>
            <w:vMerge w:val="restart"/>
            <w:vAlign w:val="center"/>
          </w:tcPr>
          <w:p>
            <w:pPr>
              <w:widowControl w:val="0"/>
              <w:jc w:val="center"/>
              <w:rPr>
                <w:rFonts w:ascii="Times New Roman" w:hAnsi="Times New Roman"/>
                <w:sz w:val="21"/>
                <w:szCs w:val="21"/>
              </w:rPr>
            </w:pPr>
            <w:r>
              <w:rPr>
                <w:rFonts w:hint="eastAsia" w:ascii="Times New Roman" w:hAnsi="Times New Roman"/>
                <w:sz w:val="21"/>
                <w:szCs w:val="21"/>
              </w:rPr>
              <w:t>洗砂瓶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vMerge w:val="continue"/>
            <w:vAlign w:val="center"/>
          </w:tcPr>
          <w:p>
            <w:pPr>
              <w:widowControl w:val="0"/>
              <w:jc w:val="center"/>
              <w:rPr>
                <w:rFonts w:ascii="Times New Roman" w:hAnsi="Times New Roman"/>
                <w:sz w:val="21"/>
                <w:szCs w:val="21"/>
              </w:rPr>
            </w:pPr>
          </w:p>
        </w:tc>
        <w:tc>
          <w:tcPr>
            <w:tcW w:w="1119" w:type="dxa"/>
            <w:vMerge w:val="continue"/>
            <w:vAlign w:val="center"/>
          </w:tcPr>
          <w:p>
            <w:pPr>
              <w:widowControl w:val="0"/>
              <w:jc w:val="center"/>
              <w:rPr>
                <w:rFonts w:ascii="Times New Roman" w:hAnsi="Times New Roman"/>
                <w:sz w:val="21"/>
                <w:szCs w:val="21"/>
              </w:rPr>
            </w:pPr>
          </w:p>
        </w:tc>
        <w:tc>
          <w:tcPr>
            <w:tcW w:w="1122" w:type="dxa"/>
            <w:vAlign w:val="center"/>
          </w:tcPr>
          <w:p>
            <w:pPr>
              <w:widowControl w:val="0"/>
              <w:jc w:val="center"/>
              <w:rPr>
                <w:rFonts w:ascii="Times New Roman" w:hAnsi="Times New Roman"/>
                <w:sz w:val="21"/>
                <w:szCs w:val="21"/>
              </w:rPr>
            </w:pPr>
            <w:r>
              <w:rPr>
                <w:rFonts w:hint="eastAsia" w:ascii="Times New Roman" w:hAnsi="Times New Roman"/>
                <w:sz w:val="21"/>
                <w:szCs w:val="21"/>
              </w:rPr>
              <w:t>砂性土</w:t>
            </w:r>
          </w:p>
        </w:tc>
        <w:tc>
          <w:tcPr>
            <w:tcW w:w="2238" w:type="dxa"/>
            <w:vAlign w:val="center"/>
          </w:tcPr>
          <w:p>
            <w:pPr>
              <w:widowControl w:val="0"/>
              <w:jc w:val="center"/>
              <w:rPr>
                <w:rFonts w:ascii="Times New Roman" w:hAnsi="Times New Roman"/>
                <w:sz w:val="21"/>
                <w:szCs w:val="21"/>
              </w:rPr>
            </w:pPr>
            <w:r>
              <w:rPr>
                <w:rFonts w:hint="eastAsia" w:ascii="Times New Roman" w:hAnsi="Times New Roman"/>
                <w:sz w:val="21"/>
                <w:szCs w:val="21"/>
              </w:rPr>
              <w:t>＜7%</w:t>
            </w:r>
          </w:p>
        </w:tc>
        <w:tc>
          <w:tcPr>
            <w:tcW w:w="2238" w:type="dxa"/>
            <w:vMerge w:val="continue"/>
            <w:vAlign w:val="center"/>
          </w:tcPr>
          <w:p>
            <w:pPr>
              <w:widowControl w:val="0"/>
              <w:jc w:val="center"/>
              <w:rPr>
                <w:rFonts w:ascii="Times New Roman" w:hAnsi="Times New Roman"/>
                <w:sz w:val="21"/>
                <w:szCs w:val="21"/>
              </w:rPr>
            </w:pPr>
          </w:p>
        </w:tc>
      </w:tr>
    </w:tbl>
    <w:p>
      <w:r>
        <w:br w:type="page"/>
      </w:r>
    </w:p>
    <w:p>
      <w:pPr>
        <w:pStyle w:val="3"/>
        <w:bidi w:val="0"/>
      </w:pPr>
      <w:bookmarkStart w:id="543" w:name="_Toc27114"/>
      <w:bookmarkStart w:id="544" w:name="_Toc13105"/>
      <w:bookmarkStart w:id="545" w:name="_Toc10550"/>
      <w:r>
        <w:t>8.</w:t>
      </w:r>
      <w:r>
        <w:rPr>
          <w:rFonts w:hint="eastAsia"/>
          <w:lang w:val="en-US" w:eastAsia="zh-CN"/>
        </w:rPr>
        <w:t>5</w:t>
      </w:r>
      <w:r>
        <w:rPr>
          <w:rFonts w:hint="eastAsia"/>
        </w:rPr>
        <w:t xml:space="preserve">  锚杆</w:t>
      </w:r>
      <w:bookmarkEnd w:id="543"/>
      <w:bookmarkEnd w:id="544"/>
      <w:bookmarkEnd w:id="545"/>
    </w:p>
    <w:p>
      <w:pPr>
        <w:bidi w:val="0"/>
        <w:jc w:val="center"/>
        <w:rPr>
          <w:rFonts w:hint="eastAsia" w:ascii="宋体" w:hAnsi="宋体" w:eastAsia="宋体" w:cs="宋体"/>
          <w:b/>
          <w:bCs/>
          <w:kern w:val="2"/>
          <w:sz w:val="28"/>
          <w:szCs w:val="24"/>
          <w:lang w:val="en-US" w:eastAsia="zh-CN" w:bidi="ar-SA"/>
        </w:rPr>
      </w:pPr>
      <w:bookmarkStart w:id="546" w:name="_Toc29001"/>
      <w:bookmarkStart w:id="547" w:name="_Toc244"/>
      <w:r>
        <w:rPr>
          <w:rFonts w:hint="eastAsia" w:ascii="宋体" w:hAnsi="宋体" w:eastAsia="宋体" w:cs="宋体"/>
          <w:b/>
          <w:bCs/>
          <w:kern w:val="2"/>
          <w:sz w:val="28"/>
          <w:szCs w:val="24"/>
          <w:lang w:val="en-US" w:eastAsia="zh-CN" w:bidi="ar-SA"/>
        </w:rPr>
        <w:t>I  一般规定</w:t>
      </w:r>
      <w:bookmarkEnd w:id="546"/>
      <w:bookmarkEnd w:id="547"/>
    </w:p>
    <w:p>
      <w:pPr>
        <w:widowControl w:val="0"/>
        <w:spacing w:line="480" w:lineRule="exact"/>
        <w:rPr>
          <w:rFonts w:ascii="Times New Roman" w:hAnsi="Times New Roman"/>
          <w:bCs/>
          <w:szCs w:val="24"/>
        </w:rPr>
      </w:pPr>
      <w:bookmarkStart w:id="548" w:name="_Toc388643561"/>
      <w:bookmarkStart w:id="549" w:name="_Toc388643444"/>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.1 </w:t>
      </w:r>
      <w:r>
        <w:rPr>
          <w:rFonts w:hint="eastAsia" w:ascii="Times New Roman" w:hAnsi="Times New Roman"/>
          <w:bCs/>
          <w:szCs w:val="24"/>
        </w:rPr>
        <w:t>锚拉结构宜采用钢绞线锚杆；承载力较低时，也可采用钢筋锚杆；当环境保护不允许在支护结构使用功能完成后锚杆杆体滞留于基坑周边地层内时，应采用可拆芯钢绞线锚杆。</w:t>
      </w:r>
    </w:p>
    <w:p>
      <w:pPr>
        <w:widowControl w:val="0"/>
        <w:spacing w:line="480" w:lineRule="exact"/>
        <w:rPr>
          <w:rFonts w:ascii="Times New Roman" w:hAnsi="Times New Roman"/>
          <w:bCs/>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.2 </w:t>
      </w:r>
      <w:r>
        <w:rPr>
          <w:rFonts w:hint="eastAsia" w:ascii="Times New Roman" w:hAnsi="Times New Roman"/>
          <w:color w:val="auto"/>
          <w:szCs w:val="24"/>
        </w:rPr>
        <w:t>锚杆</w:t>
      </w:r>
      <w:r>
        <w:rPr>
          <w:rFonts w:hint="eastAsia" w:ascii="Times New Roman" w:hAnsi="Times New Roman"/>
          <w:bCs/>
          <w:color w:val="auto"/>
          <w:szCs w:val="24"/>
        </w:rPr>
        <w:t>成</w:t>
      </w:r>
      <w:r>
        <w:rPr>
          <w:rFonts w:hint="eastAsia" w:ascii="Times New Roman" w:hAnsi="Times New Roman"/>
          <w:bCs/>
          <w:szCs w:val="24"/>
        </w:rPr>
        <w:t>孔的排土量不应超过锚杆体积；上方存在变形要求严格的建筑物或构筑物时，不宜采用扩大头锚杆，并应加大锚杆间距；锚杆末端不宜设在建筑物或构筑物下方。</w:t>
      </w:r>
    </w:p>
    <w:p>
      <w:pPr>
        <w:widowControl w:val="0"/>
        <w:spacing w:line="480" w:lineRule="exact"/>
        <w:rPr>
          <w:rFonts w:hint="eastAsia" w:ascii="Times New Roman" w:hAnsi="Times New Roman"/>
          <w:b w:val="0"/>
          <w:bCs w:val="0"/>
          <w:szCs w:val="24"/>
        </w:rPr>
      </w:pPr>
      <w:bookmarkStart w:id="550" w:name="_Toc14059"/>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.3 </w:t>
      </w:r>
      <w:r>
        <w:rPr>
          <w:rFonts w:hint="eastAsia" w:ascii="Times New Roman" w:hAnsi="Times New Roman"/>
          <w:b w:val="0"/>
          <w:bCs w:val="0"/>
          <w:szCs w:val="24"/>
        </w:rPr>
        <w:t>锚杆注浆宜采用二次压力注浆工艺。</w:t>
      </w:r>
      <w:bookmarkEnd w:id="550"/>
    </w:p>
    <w:p>
      <w:pPr>
        <w:widowControl w:val="0"/>
        <w:spacing w:line="480" w:lineRule="exact"/>
        <w:rPr>
          <w:rFonts w:ascii="Times New Roman" w:hAnsi="Times New Roman"/>
          <w:bCs/>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.4 </w:t>
      </w:r>
      <w:r>
        <w:rPr>
          <w:rFonts w:hint="eastAsia" w:ascii="Times New Roman" w:hAnsi="Times New Roman"/>
          <w:bCs/>
          <w:szCs w:val="24"/>
        </w:rPr>
        <w:t>锚杆锚固段不宜设置在淤泥、淤泥质土及松散填土层内。</w:t>
      </w:r>
    </w:p>
    <w:p>
      <w:pPr>
        <w:widowControl w:val="0"/>
        <w:spacing w:line="480" w:lineRule="exact"/>
        <w:rPr>
          <w:rFonts w:ascii="Times New Roman" w:hAnsi="Times New Roman"/>
          <w:bCs/>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.5</w:t>
      </w:r>
      <w:r>
        <w:rPr>
          <w:rFonts w:hint="eastAsia" w:ascii="Times New Roman" w:hAnsi="Times New Roman"/>
          <w:bCs/>
          <w:szCs w:val="24"/>
        </w:rPr>
        <w:t xml:space="preserve"> 在复杂地质条件下，应通过现场试验确定锚杆的适用性。</w:t>
      </w:r>
    </w:p>
    <w:p>
      <w:pPr>
        <w:bidi w:val="0"/>
        <w:jc w:val="center"/>
        <w:rPr>
          <w:rFonts w:hint="eastAsia" w:ascii="宋体" w:hAnsi="宋体" w:eastAsia="宋体" w:cs="宋体"/>
          <w:b/>
          <w:bCs/>
          <w:kern w:val="2"/>
          <w:sz w:val="28"/>
          <w:szCs w:val="24"/>
          <w:lang w:val="en-US" w:eastAsia="zh-CN" w:bidi="ar-SA"/>
        </w:rPr>
      </w:pPr>
      <w:r>
        <w:rPr>
          <w:rFonts w:hint="eastAsia" w:ascii="宋体" w:hAnsi="宋体" w:eastAsia="宋体" w:cs="宋体"/>
          <w:b/>
          <w:bCs/>
          <w:kern w:val="2"/>
          <w:sz w:val="28"/>
          <w:szCs w:val="24"/>
          <w:lang w:val="en-US" w:eastAsia="zh-CN" w:bidi="ar-SA"/>
        </w:rPr>
        <w:t>II  设计计算</w:t>
      </w:r>
    </w:p>
    <w:p>
      <w:pPr>
        <w:widowControl w:val="0"/>
        <w:spacing w:line="480" w:lineRule="exact"/>
        <w:rPr>
          <w:rFonts w:ascii="Times New Roman" w:hAnsi="Times New Roman"/>
          <w:kern w:val="0"/>
          <w:szCs w:val="24"/>
        </w:rPr>
      </w:pPr>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.6</w:t>
      </w:r>
      <w:r>
        <w:rPr>
          <w:rFonts w:hint="eastAsia" w:ascii="Times New Roman" w:hAnsi="Times New Roman"/>
          <w:kern w:val="0"/>
          <w:szCs w:val="24"/>
        </w:rPr>
        <w:t xml:space="preserve"> </w:t>
      </w:r>
      <w:r>
        <w:rPr>
          <w:rFonts w:ascii="Times New Roman" w:hAnsi="Times New Roman"/>
          <w:kern w:val="0"/>
          <w:szCs w:val="24"/>
        </w:rPr>
        <w:t>锚杆</w:t>
      </w:r>
      <w:r>
        <w:rPr>
          <w:rFonts w:hint="eastAsia" w:ascii="Times New Roman" w:hAnsi="Times New Roman"/>
          <w:kern w:val="0"/>
          <w:szCs w:val="24"/>
        </w:rPr>
        <w:t>的极限抗拔承载力</w:t>
      </w:r>
      <w:r>
        <w:rPr>
          <w:rFonts w:ascii="Times New Roman" w:hAnsi="Times New Roman"/>
          <w:kern w:val="0"/>
          <w:szCs w:val="24"/>
        </w:rPr>
        <w:t>应符合</w:t>
      </w:r>
      <w:r>
        <w:rPr>
          <w:rFonts w:hint="eastAsia" w:ascii="Times New Roman" w:hAnsi="Times New Roman"/>
          <w:kern w:val="0"/>
          <w:szCs w:val="24"/>
        </w:rPr>
        <w:t>下式要求</w:t>
      </w:r>
      <w:r>
        <w:rPr>
          <w:rFonts w:ascii="Times New Roman" w:hAnsi="Times New Roman"/>
          <w:kern w:val="0"/>
          <w:szCs w:val="24"/>
        </w:rPr>
        <w:t>：</w:t>
      </w:r>
    </w:p>
    <w:tbl>
      <w:tblPr>
        <w:tblStyle w:val="32"/>
        <w:tblW w:w="0" w:type="auto"/>
        <w:tblInd w:w="0" w:type="dxa"/>
        <w:tblLayout w:type="fixed"/>
        <w:tblCellMar>
          <w:top w:w="0" w:type="dxa"/>
          <w:left w:w="108" w:type="dxa"/>
          <w:bottom w:w="0" w:type="dxa"/>
          <w:right w:w="108" w:type="dxa"/>
        </w:tblCellMar>
      </w:tblPr>
      <w:tblGrid>
        <w:gridCol w:w="5193"/>
        <w:gridCol w:w="4661"/>
      </w:tblGrid>
      <w:tr>
        <w:tblPrEx>
          <w:tblCellMar>
            <w:top w:w="0" w:type="dxa"/>
            <w:left w:w="108" w:type="dxa"/>
            <w:bottom w:w="0" w:type="dxa"/>
            <w:right w:w="108" w:type="dxa"/>
          </w:tblCellMar>
        </w:tblPrEx>
        <w:tc>
          <w:tcPr>
            <w:tcW w:w="5193" w:type="dxa"/>
          </w:tcPr>
          <w:p>
            <w:pPr>
              <w:widowControl w:val="0"/>
              <w:jc w:val="right"/>
              <w:rPr>
                <w:rFonts w:ascii="Times New Roman" w:hAnsi="Times New Roman"/>
                <w:kern w:val="0"/>
                <w:position w:val="-30"/>
                <w:szCs w:val="24"/>
              </w:rPr>
            </w:pPr>
            <w:r>
              <w:rPr>
                <w:rFonts w:ascii="Times New Roman" w:hAnsi="Times New Roman"/>
                <w:kern w:val="0"/>
                <w:position w:val="-28"/>
                <w:szCs w:val="24"/>
              </w:rPr>
              <w:object>
                <v:shape id="_x0000_i1134" o:spt="75" type="#_x0000_t75" style="height:34pt;width:46.7pt;" o:ole="t" filled="f" coordsize="21600,21600">
                  <v:path/>
                  <v:fill on="f" focussize="0,0"/>
                  <v:stroke/>
                  <v:imagedata r:id="rId421" o:title=""/>
                  <o:lock v:ext="edit" aspectratio="t"/>
                  <w10:wrap type="none"/>
                  <w10:anchorlock/>
                </v:shape>
                <o:OLEObject Type="Embed" ProgID="Equation.3" ShapeID="_x0000_i1134" DrawAspect="Content" ObjectID="_1468075834" r:id="rId420">
                  <o:LockedField>false</o:LockedField>
                </o:OLEObject>
              </w:object>
            </w:r>
          </w:p>
        </w:tc>
        <w:tc>
          <w:tcPr>
            <w:tcW w:w="4661" w:type="dxa"/>
          </w:tcPr>
          <w:p>
            <w:pPr>
              <w:widowControl w:val="0"/>
              <w:spacing w:line="720" w:lineRule="auto"/>
              <w:jc w:val="right"/>
              <w:rPr>
                <w:rFonts w:ascii="Times New Roman" w:hAnsi="Times New Roman"/>
                <w:color w:val="FF0000"/>
                <w:kern w:val="0"/>
                <w:position w:val="-30"/>
                <w:szCs w:val="24"/>
              </w:rPr>
            </w:pPr>
            <w:r>
              <w:rPr>
                <w:rFonts w:hint="eastAsia" w:ascii="Times New Roman" w:hAnsi="Times New Roman"/>
                <w:szCs w:val="24"/>
              </w:rPr>
              <w:t>（8.</w:t>
            </w:r>
            <w:r>
              <w:rPr>
                <w:rFonts w:hint="eastAsia" w:ascii="Times New Roman" w:hAnsi="Times New Roman"/>
                <w:szCs w:val="24"/>
                <w:lang w:eastAsia="zh-CN"/>
              </w:rPr>
              <w:t>5</w:t>
            </w:r>
            <w:r>
              <w:rPr>
                <w:rFonts w:hint="eastAsia" w:ascii="Times New Roman" w:hAnsi="Times New Roman"/>
                <w:szCs w:val="24"/>
              </w:rPr>
              <w:t>.6）</w:t>
            </w:r>
          </w:p>
        </w:tc>
      </w:tr>
    </w:tbl>
    <w:p>
      <w:pPr>
        <w:widowControl w:val="0"/>
        <w:spacing w:line="480" w:lineRule="exact"/>
        <w:ind w:left="1560" w:hanging="1560" w:hangingChars="650"/>
        <w:rPr>
          <w:rFonts w:ascii="Times New Roman" w:hAnsi="Times New Roman"/>
          <w:szCs w:val="24"/>
        </w:rPr>
      </w:pPr>
      <w:r>
        <w:rPr>
          <w:rFonts w:hint="eastAsia" w:ascii="Times New Roman" w:hAnsi="Times New Roman"/>
          <w:szCs w:val="24"/>
        </w:rPr>
        <w:t>式中：</w:t>
      </w:r>
      <w:r>
        <w:rPr>
          <w:rFonts w:hint="eastAsia" w:ascii="Times New Roman" w:hAnsi="Times New Roman"/>
          <w:position w:val="-12"/>
          <w:szCs w:val="24"/>
        </w:rPr>
        <w:object>
          <v:shape id="_x0000_i1135" o:spt="75" type="#_x0000_t75" style="height:18.2pt;width:15.8pt;" o:ole="t" filled="f" coordsize="21600,21600">
            <v:path/>
            <v:fill on="f" focussize="0,0"/>
            <v:stroke/>
            <v:imagedata r:id="rId423" o:title=""/>
            <o:lock v:ext="edit" aspectratio="t"/>
            <w10:wrap type="none"/>
            <w10:anchorlock/>
          </v:shape>
          <o:OLEObject Type="Embed" ProgID="Equation.3" ShapeID="_x0000_i1135" DrawAspect="Content" ObjectID="_1468075835" r:id="rId422">
            <o:LockedField>false</o:LockedField>
          </o:OLEObject>
        </w:object>
      </w:r>
      <w:r>
        <w:rPr>
          <w:rFonts w:ascii="Times New Roman" w:hAnsi="Times New Roman"/>
          <w:szCs w:val="24"/>
        </w:rPr>
        <w:t>——锚</w:t>
      </w:r>
      <w:r>
        <w:rPr>
          <w:rFonts w:hint="eastAsia" w:ascii="Times New Roman" w:hAnsi="Times New Roman"/>
          <w:szCs w:val="24"/>
        </w:rPr>
        <w:t>杆抗拔安全系数；安全等级为一级、二级、三级的基坑工程，</w:t>
      </w:r>
      <w:r>
        <w:rPr>
          <w:rFonts w:hint="eastAsia" w:ascii="Times New Roman" w:hAnsi="Times New Roman"/>
          <w:position w:val="-12"/>
          <w:szCs w:val="24"/>
        </w:rPr>
        <w:object>
          <v:shape id="_x0000_i1136" o:spt="75" type="#_x0000_t75" style="height:18.2pt;width:15.8pt;" o:ole="t" filled="f" coordsize="21600,21600">
            <v:path/>
            <v:fill on="f" focussize="0,0"/>
            <v:stroke/>
            <v:imagedata r:id="rId423" o:title=""/>
            <o:lock v:ext="edit" aspectratio="t"/>
            <w10:wrap type="none"/>
            <w10:anchorlock/>
          </v:shape>
          <o:OLEObject Type="Embed" ProgID="Equation.3" ShapeID="_x0000_i1136" DrawAspect="Content" ObjectID="_1468075836" r:id="rId424">
            <o:LockedField>false</o:LockedField>
          </o:OLEObject>
        </w:object>
      </w:r>
      <w:r>
        <w:rPr>
          <w:rFonts w:hint="eastAsia" w:ascii="Times New Roman" w:hAnsi="Times New Roman"/>
          <w:szCs w:val="24"/>
        </w:rPr>
        <w:t>分别不应小于1.8、1.6、1.4；</w:t>
      </w:r>
    </w:p>
    <w:p>
      <w:pPr>
        <w:widowControl w:val="0"/>
        <w:spacing w:line="480" w:lineRule="exact"/>
        <w:ind w:firstLine="720" w:firstLineChars="300"/>
        <w:rPr>
          <w:rFonts w:ascii="Times New Roman" w:hAnsi="Times New Roman"/>
          <w:szCs w:val="24"/>
        </w:rPr>
      </w:pPr>
      <w:r>
        <w:rPr>
          <w:rFonts w:hint="eastAsia" w:ascii="Times New Roman" w:hAnsi="Times New Roman"/>
          <w:i/>
          <w:color w:val="FF0000"/>
          <w:position w:val="-10"/>
          <w:szCs w:val="24"/>
        </w:rPr>
        <w:object>
          <v:shape id="_x0000_i1137" o:spt="75" type="#_x0000_t75" style="height:16.6pt;width:16.6pt;" o:ole="t" filled="f" coordsize="21600,21600">
            <v:path/>
            <v:fill on="f" focussize="0,0"/>
            <v:stroke/>
            <v:imagedata r:id="rId426" o:title=""/>
            <o:lock v:ext="edit" aspectratio="t"/>
            <w10:wrap type="none"/>
            <w10:anchorlock/>
          </v:shape>
          <o:OLEObject Type="Embed" ProgID="Equation.3" ShapeID="_x0000_i1137" DrawAspect="Content" ObjectID="_1468075837" r:id="rId425">
            <o:LockedField>false</o:LockedField>
          </o:OLEObject>
        </w:object>
      </w:r>
      <w:r>
        <w:rPr>
          <w:rFonts w:ascii="Times New Roman" w:hAnsi="Times New Roman"/>
        </w:rPr>
        <w:t>——</w:t>
      </w:r>
      <w:r>
        <w:rPr>
          <w:rFonts w:ascii="Times New Roman" w:hAnsi="Times New Roman"/>
          <w:szCs w:val="24"/>
        </w:rPr>
        <w:t>锚</w:t>
      </w:r>
      <w:r>
        <w:rPr>
          <w:rFonts w:hint="eastAsia" w:ascii="Times New Roman" w:hAnsi="Times New Roman"/>
          <w:szCs w:val="24"/>
        </w:rPr>
        <w:t>杆轴向拉力标准值(kN)；</w:t>
      </w:r>
    </w:p>
    <w:p>
      <w:pPr>
        <w:widowControl w:val="0"/>
        <w:spacing w:line="480" w:lineRule="exact"/>
        <w:ind w:firstLine="720" w:firstLineChars="300"/>
        <w:rPr>
          <w:rFonts w:ascii="Times New Roman" w:hAnsi="Times New Roman"/>
          <w:szCs w:val="24"/>
        </w:rPr>
      </w:pPr>
      <w:r>
        <w:rPr>
          <w:rFonts w:hint="eastAsia" w:ascii="Times New Roman" w:hAnsi="Times New Roman"/>
          <w:i/>
          <w:color w:val="FF0000"/>
          <w:position w:val="-10"/>
          <w:szCs w:val="24"/>
        </w:rPr>
        <w:object>
          <v:shape id="_x0000_i1138" o:spt="75" type="#_x0000_t75" style="height:16.6pt;width:15.8pt;" o:ole="t" filled="f" coordsize="21600,21600">
            <v:path/>
            <v:fill on="f" focussize="0,0"/>
            <v:stroke/>
            <v:imagedata r:id="rId428" o:title=""/>
            <o:lock v:ext="edit" aspectratio="t"/>
            <w10:wrap type="none"/>
            <w10:anchorlock/>
          </v:shape>
          <o:OLEObject Type="Embed" ProgID="Equation.3" ShapeID="_x0000_i1138" DrawAspect="Content" ObjectID="_1468075838" r:id="rId427">
            <o:LockedField>false</o:LockedField>
          </o:OLEObject>
        </w:object>
      </w:r>
      <w:r>
        <w:rPr>
          <w:rFonts w:ascii="Times New Roman" w:hAnsi="Times New Roman"/>
          <w:szCs w:val="24"/>
        </w:rPr>
        <w:t>——</w:t>
      </w:r>
      <w:r>
        <w:rPr>
          <w:rFonts w:hint="eastAsia" w:ascii="Times New Roman" w:hAnsi="Times New Roman"/>
          <w:szCs w:val="24"/>
        </w:rPr>
        <w:t>锚杆极限抗拔承载力标准值(kN)。</w:t>
      </w:r>
    </w:p>
    <w:p>
      <w:pPr>
        <w:widowControl w:val="0"/>
        <w:tabs>
          <w:tab w:val="left" w:pos="658"/>
          <w:tab w:val="left" w:pos="1078"/>
          <w:tab w:val="left" w:pos="1274"/>
          <w:tab w:val="left" w:pos="1800"/>
          <w:tab w:val="left" w:pos="2520"/>
          <w:tab w:val="left" w:pos="4680"/>
          <w:tab w:val="left" w:pos="7020"/>
        </w:tabs>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5</w:t>
      </w:r>
      <w:r>
        <w:rPr>
          <w:rFonts w:hint="eastAsia" w:ascii="Times New Roman" w:hAnsi="Times New Roman"/>
          <w:b/>
          <w:szCs w:val="24"/>
        </w:rPr>
        <w:t xml:space="preserve">.7 </w:t>
      </w:r>
      <w:r>
        <w:rPr>
          <w:rFonts w:hint="eastAsia" w:ascii="Times New Roman" w:hAnsi="Times New Roman"/>
          <w:szCs w:val="24"/>
        </w:rPr>
        <w:t>锚杆的轴向拉力标准值应按下式计算：</w:t>
      </w:r>
    </w:p>
    <w:tbl>
      <w:tblPr>
        <w:tblStyle w:val="32"/>
        <w:tblW w:w="0" w:type="auto"/>
        <w:tblInd w:w="0" w:type="dxa"/>
        <w:tblLayout w:type="fixed"/>
        <w:tblCellMar>
          <w:top w:w="0" w:type="dxa"/>
          <w:left w:w="108" w:type="dxa"/>
          <w:bottom w:w="0" w:type="dxa"/>
          <w:right w:w="108" w:type="dxa"/>
        </w:tblCellMar>
      </w:tblPr>
      <w:tblGrid>
        <w:gridCol w:w="5493"/>
        <w:gridCol w:w="4361"/>
      </w:tblGrid>
      <w:tr>
        <w:tblPrEx>
          <w:tblCellMar>
            <w:top w:w="0" w:type="dxa"/>
            <w:left w:w="108" w:type="dxa"/>
            <w:bottom w:w="0" w:type="dxa"/>
            <w:right w:w="108" w:type="dxa"/>
          </w:tblCellMar>
        </w:tblPrEx>
        <w:tc>
          <w:tcPr>
            <w:tcW w:w="5493" w:type="dxa"/>
            <w:vAlign w:val="center"/>
          </w:tcPr>
          <w:p>
            <w:pPr>
              <w:widowControl w:val="0"/>
              <w:tabs>
                <w:tab w:val="left" w:pos="658"/>
                <w:tab w:val="left" w:pos="1078"/>
                <w:tab w:val="left" w:pos="1274"/>
                <w:tab w:val="left" w:pos="1800"/>
                <w:tab w:val="left" w:pos="2520"/>
                <w:tab w:val="left" w:pos="4680"/>
                <w:tab w:val="left" w:pos="7020"/>
              </w:tabs>
              <w:jc w:val="right"/>
              <w:rPr>
                <w:rFonts w:ascii="Times New Roman" w:hAnsi="Times New Roman"/>
                <w:position w:val="-30"/>
                <w:szCs w:val="24"/>
              </w:rPr>
            </w:pPr>
            <w:r>
              <w:rPr>
                <w:rFonts w:ascii="Times New Roman" w:hAnsi="Times New Roman"/>
                <w:position w:val="-30"/>
                <w:szCs w:val="24"/>
              </w:rPr>
              <w:object>
                <v:shape id="_x0000_i1139" o:spt="75" type="#_x0000_t75" style="height:34pt;width:68.85pt;" o:ole="t" filled="f" coordsize="21600,21600">
                  <v:path/>
                  <v:fill on="f" focussize="0,0"/>
                  <v:stroke/>
                  <v:imagedata r:id="rId430" o:title=""/>
                  <o:lock v:ext="edit" aspectratio="t"/>
                  <w10:wrap type="none"/>
                  <w10:anchorlock/>
                </v:shape>
                <o:OLEObject Type="Embed" ProgID="Equation.3" ShapeID="_x0000_i1139" DrawAspect="Content" ObjectID="_1468075839" r:id="rId429">
                  <o:LockedField>false</o:LockedField>
                </o:OLEObject>
              </w:object>
            </w:r>
          </w:p>
        </w:tc>
        <w:tc>
          <w:tcPr>
            <w:tcW w:w="4361" w:type="dxa"/>
            <w:vAlign w:val="center"/>
          </w:tcPr>
          <w:p>
            <w:pPr>
              <w:widowControl w:val="0"/>
              <w:tabs>
                <w:tab w:val="left" w:pos="658"/>
                <w:tab w:val="left" w:pos="1078"/>
                <w:tab w:val="left" w:pos="1274"/>
                <w:tab w:val="left" w:pos="1800"/>
                <w:tab w:val="left" w:pos="2520"/>
                <w:tab w:val="left" w:pos="4680"/>
                <w:tab w:val="left" w:pos="7020"/>
              </w:tabs>
              <w:jc w:val="right"/>
              <w:rPr>
                <w:rFonts w:ascii="Times New Roman" w:hAnsi="Times New Roman"/>
                <w:position w:val="-30"/>
                <w:szCs w:val="24"/>
              </w:rPr>
            </w:pPr>
            <w:r>
              <w:rPr>
                <w:rFonts w:hint="eastAsia" w:ascii="Times New Roman" w:hAnsi="Times New Roman"/>
                <w:szCs w:val="24"/>
              </w:rPr>
              <w:t>（8.</w:t>
            </w:r>
            <w:r>
              <w:rPr>
                <w:rFonts w:hint="eastAsia" w:ascii="Times New Roman" w:hAnsi="Times New Roman"/>
                <w:szCs w:val="24"/>
                <w:lang w:eastAsia="zh-CN"/>
              </w:rPr>
              <w:t>5</w:t>
            </w:r>
            <w:r>
              <w:rPr>
                <w:rFonts w:hint="eastAsia" w:ascii="Times New Roman" w:hAnsi="Times New Roman"/>
                <w:szCs w:val="24"/>
              </w:rPr>
              <w:t>.7）</w:t>
            </w:r>
          </w:p>
        </w:tc>
      </w:tr>
    </w:tbl>
    <w:p>
      <w:pPr>
        <w:widowControl w:val="0"/>
        <w:tabs>
          <w:tab w:val="left" w:pos="658"/>
          <w:tab w:val="left" w:pos="1078"/>
          <w:tab w:val="left" w:pos="1274"/>
          <w:tab w:val="left" w:pos="1800"/>
          <w:tab w:val="left" w:pos="2520"/>
          <w:tab w:val="left" w:pos="4680"/>
          <w:tab w:val="left" w:pos="7020"/>
        </w:tabs>
        <w:spacing w:line="480" w:lineRule="exact"/>
        <w:rPr>
          <w:rFonts w:ascii="Times New Roman" w:hAnsi="Times New Roman"/>
          <w:szCs w:val="24"/>
        </w:rPr>
      </w:pPr>
      <w:r>
        <w:rPr>
          <w:rFonts w:hint="eastAsia" w:ascii="Times New Roman" w:hAnsi="Times New Roman"/>
          <w:szCs w:val="24"/>
        </w:rPr>
        <w:t>式中：</w:t>
      </w:r>
      <w:r>
        <w:rPr>
          <w:rFonts w:hint="eastAsia" w:ascii="Times New Roman" w:hAnsi="Times New Roman"/>
          <w:i/>
          <w:color w:val="FF0000"/>
          <w:position w:val="-10"/>
          <w:szCs w:val="24"/>
        </w:rPr>
        <w:object>
          <v:shape id="_x0000_i1140" o:spt="75" type="#_x0000_t75" style="height:16.6pt;width:16.6pt;" o:ole="t" filled="f" coordsize="21600,21600">
            <v:path/>
            <v:fill on="f" focussize="0,0"/>
            <v:stroke/>
            <v:imagedata r:id="rId426" o:title=""/>
            <o:lock v:ext="edit" aspectratio="t"/>
            <w10:wrap type="none"/>
            <w10:anchorlock/>
          </v:shape>
          <o:OLEObject Type="Embed" ProgID="Equation.3" ShapeID="_x0000_i1140" DrawAspect="Content" ObjectID="_1468075840" r:id="rId431">
            <o:LockedField>false</o:LockedField>
          </o:OLEObject>
        </w:object>
      </w:r>
      <w:r>
        <w:rPr>
          <w:rFonts w:ascii="Times New Roman" w:hAnsi="Times New Roman"/>
          <w:szCs w:val="24"/>
        </w:rPr>
        <w:t>——</w:t>
      </w:r>
      <w:r>
        <w:rPr>
          <w:rFonts w:hint="eastAsia" w:ascii="Times New Roman" w:hAnsi="Times New Roman"/>
          <w:szCs w:val="24"/>
        </w:rPr>
        <w:t>锚杆的轴向拉力标准值(kN)；</w:t>
      </w:r>
    </w:p>
    <w:p>
      <w:pPr>
        <w:widowControl w:val="0"/>
        <w:tabs>
          <w:tab w:val="left" w:pos="870"/>
          <w:tab w:val="left" w:pos="1274"/>
          <w:tab w:val="left" w:pos="1800"/>
          <w:tab w:val="left" w:pos="2520"/>
          <w:tab w:val="left" w:pos="4680"/>
          <w:tab w:val="left" w:pos="7020"/>
        </w:tabs>
        <w:spacing w:line="480" w:lineRule="exact"/>
        <w:ind w:left="1574" w:leftChars="328" w:hanging="787" w:hangingChars="328"/>
        <w:rPr>
          <w:rFonts w:ascii="Times New Roman" w:hAnsi="Times New Roman"/>
          <w:szCs w:val="24"/>
        </w:rPr>
      </w:pPr>
      <w:r>
        <w:rPr>
          <w:rFonts w:hint="eastAsia" w:ascii="Times New Roman" w:hAnsi="Times New Roman"/>
          <w:i/>
          <w:position w:val="-10"/>
          <w:szCs w:val="24"/>
        </w:rPr>
        <w:object>
          <v:shape id="_x0000_i1141" o:spt="75" type="#_x0000_t75" style="height:16.6pt;width:15.05pt;" o:ole="t" filled="f" coordsize="21600,21600">
            <v:path/>
            <v:fill on="f" focussize="0,0"/>
            <v:stroke/>
            <v:imagedata r:id="rId433" o:title=""/>
            <o:lock v:ext="edit" aspectratio="t"/>
            <w10:wrap type="none"/>
            <w10:anchorlock/>
          </v:shape>
          <o:OLEObject Type="Embed" ProgID="Equation.3" ShapeID="_x0000_i1141" DrawAspect="Content" ObjectID="_1468075841" r:id="rId432">
            <o:LockedField>false</o:LockedField>
          </o:OLEObject>
        </w:object>
      </w:r>
      <w:r>
        <w:rPr>
          <w:rFonts w:ascii="Times New Roman" w:hAnsi="Times New Roman"/>
          <w:szCs w:val="24"/>
        </w:rPr>
        <w:t>——</w:t>
      </w:r>
      <w:r>
        <w:rPr>
          <w:rFonts w:hint="eastAsia" w:ascii="Times New Roman" w:hAnsi="Times New Roman"/>
          <w:szCs w:val="24"/>
        </w:rPr>
        <w:t>挡土构件计算宽度内的弹性支点水平反力(kN)，按</w:t>
      </w:r>
      <w:r>
        <w:rPr>
          <w:rFonts w:hint="eastAsia" w:ascii="Times New Roman" w:hAnsi="Times New Roman"/>
          <w:szCs w:val="24"/>
          <w:lang w:eastAsia="zh-CN"/>
        </w:rPr>
        <w:t>本标准</w:t>
      </w:r>
      <w:r>
        <w:rPr>
          <w:rFonts w:hint="eastAsia" w:ascii="Times New Roman" w:hAnsi="Times New Roman"/>
          <w:szCs w:val="24"/>
        </w:rPr>
        <w:t>第8.1.13条的规定确定；</w:t>
      </w:r>
    </w:p>
    <w:p>
      <w:pPr>
        <w:widowControl w:val="0"/>
        <w:tabs>
          <w:tab w:val="left" w:pos="870"/>
          <w:tab w:val="left" w:pos="1274"/>
          <w:tab w:val="left" w:pos="1800"/>
          <w:tab w:val="left" w:pos="2520"/>
          <w:tab w:val="left" w:pos="4680"/>
          <w:tab w:val="left" w:pos="7020"/>
        </w:tabs>
        <w:spacing w:line="480" w:lineRule="exact"/>
        <w:ind w:firstLine="960" w:firstLineChars="400"/>
        <w:rPr>
          <w:rFonts w:ascii="Times New Roman" w:hAnsi="Times New Roman"/>
          <w:szCs w:val="24"/>
        </w:rPr>
      </w:pPr>
      <w:r>
        <w:rPr>
          <w:rFonts w:hint="eastAsia" w:ascii="Times New Roman" w:hAnsi="Times New Roman"/>
          <w:i/>
          <w:szCs w:val="24"/>
        </w:rPr>
        <w:t>S</w:t>
      </w:r>
      <w:r>
        <w:rPr>
          <w:rFonts w:ascii="Times New Roman" w:hAnsi="Times New Roman"/>
          <w:szCs w:val="24"/>
        </w:rPr>
        <w:t>——</w:t>
      </w:r>
      <w:r>
        <w:rPr>
          <w:rFonts w:hint="eastAsia" w:ascii="Times New Roman" w:hAnsi="Times New Roman"/>
          <w:szCs w:val="24"/>
        </w:rPr>
        <w:t>锚杆水平间距(m)；</w:t>
      </w:r>
    </w:p>
    <w:p>
      <w:pPr>
        <w:widowControl w:val="0"/>
        <w:tabs>
          <w:tab w:val="left" w:pos="870"/>
          <w:tab w:val="left" w:pos="1274"/>
          <w:tab w:val="left" w:pos="1800"/>
          <w:tab w:val="left" w:pos="2520"/>
          <w:tab w:val="left" w:pos="4680"/>
          <w:tab w:val="left" w:pos="7020"/>
        </w:tabs>
        <w:spacing w:line="480" w:lineRule="exact"/>
        <w:ind w:firstLine="840" w:firstLineChars="350"/>
        <w:rPr>
          <w:rFonts w:ascii="Times New Roman" w:hAnsi="Times New Roman"/>
          <w:szCs w:val="24"/>
        </w:rPr>
      </w:pPr>
      <w:r>
        <w:rPr>
          <w:rFonts w:hint="eastAsia" w:ascii="Times New Roman" w:hAnsi="Times New Roman"/>
          <w:i/>
          <w:position w:val="-12"/>
          <w:szCs w:val="24"/>
        </w:rPr>
        <w:object>
          <v:shape id="_x0000_i1142" o:spt="75" type="#_x0000_t75" style="height:18.2pt;width:13.45pt;" o:ole="t" filled="f" coordsize="21600,21600">
            <v:path/>
            <v:fill on="f" focussize="0,0"/>
            <v:stroke/>
            <v:imagedata r:id="rId435" o:title=""/>
            <o:lock v:ext="edit" aspectratio="t"/>
            <w10:wrap type="none"/>
            <w10:anchorlock/>
          </v:shape>
          <o:OLEObject Type="Embed" ProgID="Equation.3" ShapeID="_x0000_i1142" DrawAspect="Content" ObjectID="_1468075842" r:id="rId434">
            <o:LockedField>false</o:LockedField>
          </o:OLEObject>
        </w:object>
      </w:r>
      <w:r>
        <w:rPr>
          <w:rFonts w:ascii="Times New Roman" w:hAnsi="Times New Roman"/>
          <w:szCs w:val="24"/>
        </w:rPr>
        <w:t>——</w:t>
      </w:r>
      <w:r>
        <w:rPr>
          <w:rFonts w:hint="eastAsia" w:ascii="Times New Roman" w:hAnsi="Times New Roman"/>
          <w:szCs w:val="24"/>
        </w:rPr>
        <w:t>挡土结构计算宽度(m)；</w:t>
      </w:r>
    </w:p>
    <w:p>
      <w:pPr>
        <w:widowControl w:val="0"/>
        <w:tabs>
          <w:tab w:val="left" w:pos="658"/>
          <w:tab w:val="left" w:pos="1078"/>
          <w:tab w:val="left" w:pos="1274"/>
          <w:tab w:val="left" w:pos="1800"/>
          <w:tab w:val="left" w:pos="2520"/>
          <w:tab w:val="left" w:pos="4680"/>
          <w:tab w:val="left" w:pos="7020"/>
        </w:tabs>
        <w:spacing w:line="480" w:lineRule="exact"/>
        <w:ind w:firstLine="840" w:firstLineChars="350"/>
        <w:rPr>
          <w:rFonts w:ascii="Times New Roman" w:hAnsi="Times New Roman"/>
          <w:szCs w:val="24"/>
        </w:rPr>
      </w:pPr>
      <w:r>
        <w:rPr>
          <w:rFonts w:ascii="Times New Roman" w:hAnsi="Times New Roman"/>
          <w:position w:val="-6"/>
          <w:szCs w:val="24"/>
        </w:rPr>
        <w:object>
          <v:shape id="_x0000_i1143" o:spt="75" type="#_x0000_t75" style="height:11.1pt;width:11.85pt;" o:ole="t" filled="f" coordsize="21600,21600">
            <v:path/>
            <v:fill on="f" focussize="0,0"/>
            <v:stroke/>
            <v:imagedata r:id="rId437" o:title=""/>
            <o:lock v:ext="edit" aspectratio="t"/>
            <w10:wrap type="none"/>
            <w10:anchorlock/>
          </v:shape>
          <o:OLEObject Type="Embed" ProgID="Equation.3" ShapeID="_x0000_i1143" DrawAspect="Content" ObjectID="_1468075843" r:id="rId436">
            <o:LockedField>false</o:LockedField>
          </o:OLEObject>
        </w:object>
      </w:r>
      <w:r>
        <w:rPr>
          <w:rFonts w:ascii="Times New Roman" w:hAnsi="Times New Roman"/>
          <w:szCs w:val="24"/>
        </w:rPr>
        <w:t>——</w:t>
      </w:r>
      <w:r>
        <w:rPr>
          <w:rFonts w:hint="eastAsia" w:ascii="Times New Roman" w:hAnsi="Times New Roman"/>
          <w:szCs w:val="24"/>
        </w:rPr>
        <w:t>锚杆倾角(</w:t>
      </w:r>
      <w:r>
        <w:rPr>
          <w:rFonts w:ascii="Times New Roman" w:hAnsi="Times New Roman"/>
        </w:rPr>
        <w:t>°</w:t>
      </w:r>
      <w:r>
        <w:rPr>
          <w:rFonts w:hint="eastAsia" w:ascii="Times New Roman" w:hAnsi="Times New Roman"/>
          <w:szCs w:val="24"/>
        </w:rPr>
        <w:t>)。</w:t>
      </w:r>
    </w:p>
    <w:p>
      <w:pPr>
        <w:widowControl w:val="0"/>
        <w:spacing w:line="480" w:lineRule="exact"/>
        <w:rPr>
          <w:rFonts w:hint="eastAsia" w:ascii="Times New Roman" w:hAnsi="Times New Roman"/>
          <w:b w:val="0"/>
          <w:bCs w:val="0"/>
          <w:szCs w:val="24"/>
        </w:rPr>
      </w:pPr>
      <w:bookmarkStart w:id="551" w:name="_Toc20458"/>
      <w:bookmarkStart w:id="552" w:name="_Toc7148"/>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.8 </w:t>
      </w:r>
      <w:r>
        <w:rPr>
          <w:rFonts w:hint="eastAsia" w:ascii="Times New Roman" w:hAnsi="Times New Roman"/>
          <w:b w:val="0"/>
          <w:bCs w:val="0"/>
          <w:szCs w:val="24"/>
        </w:rPr>
        <w:t>锚杆极限抗拔承载力应按下列规定确定：</w:t>
      </w:r>
      <w:bookmarkEnd w:id="551"/>
      <w:bookmarkEnd w:id="552"/>
    </w:p>
    <w:p>
      <w:pPr>
        <w:widowControl w:val="0"/>
        <w:spacing w:line="480" w:lineRule="exact"/>
        <w:ind w:firstLine="420"/>
        <w:rPr>
          <w:rFonts w:hint="eastAsia" w:ascii="Times New Roman" w:hAnsi="Times New Roman" w:eastAsia="宋体"/>
          <w:szCs w:val="24"/>
          <w:lang w:eastAsia="zh-CN"/>
        </w:rPr>
      </w:pPr>
      <w:r>
        <w:rPr>
          <w:rFonts w:hint="eastAsia" w:ascii="Times New Roman" w:hAnsi="Times New Roman"/>
          <w:szCs w:val="24"/>
        </w:rPr>
        <w:t>1 锚杆极限抗拔承载力应通过抗拔试验确定，试验方法应符合</w:t>
      </w:r>
      <w:r>
        <w:rPr>
          <w:rFonts w:hint="eastAsia" w:ascii="Times New Roman" w:hAnsi="Times New Roman"/>
          <w:szCs w:val="24"/>
          <w:lang w:eastAsia="zh-CN"/>
        </w:rPr>
        <w:t>本标准</w:t>
      </w:r>
      <w:r>
        <w:rPr>
          <w:rFonts w:ascii="Times New Roman" w:hAnsi="Times New Roman"/>
          <w:szCs w:val="24"/>
        </w:rPr>
        <w:t>附录</w:t>
      </w:r>
      <w:r>
        <w:rPr>
          <w:rFonts w:hint="eastAsia" w:ascii="Times New Roman" w:hAnsi="Times New Roman"/>
          <w:szCs w:val="24"/>
        </w:rPr>
        <w:t>A的规定</w:t>
      </w:r>
      <w:r>
        <w:rPr>
          <w:rFonts w:hint="eastAsia" w:ascii="Times New Roman" w:hAnsi="Times New Roman"/>
          <w:szCs w:val="24"/>
          <w:lang w:eastAsia="zh-CN"/>
        </w:rPr>
        <w:t>；</w:t>
      </w:r>
    </w:p>
    <w:p>
      <w:pPr>
        <w:widowControl w:val="0"/>
        <w:spacing w:line="480" w:lineRule="exact"/>
        <w:ind w:firstLine="420"/>
        <w:rPr>
          <w:rFonts w:ascii="Times New Roman" w:hAnsi="Times New Roman"/>
          <w:szCs w:val="24"/>
        </w:rPr>
      </w:pPr>
      <w:r>
        <w:rPr>
          <w:rFonts w:hint="eastAsia" w:ascii="Times New Roman" w:hAnsi="Times New Roman"/>
          <w:szCs w:val="24"/>
        </w:rPr>
        <w:t>2 锚杆极限抗拔承载力标准值也</w:t>
      </w:r>
      <w:r>
        <w:rPr>
          <w:rFonts w:ascii="Times New Roman" w:hAnsi="Times New Roman"/>
          <w:szCs w:val="24"/>
        </w:rPr>
        <w:t>可按</w:t>
      </w:r>
      <w:r>
        <w:rPr>
          <w:rFonts w:hint="eastAsia" w:ascii="Times New Roman" w:hAnsi="Times New Roman"/>
          <w:szCs w:val="24"/>
        </w:rPr>
        <w:t>下式估算</w:t>
      </w:r>
      <w:r>
        <w:rPr>
          <w:rFonts w:ascii="Times New Roman" w:hAnsi="Times New Roman"/>
          <w:szCs w:val="24"/>
        </w:rPr>
        <w:t>，</w:t>
      </w:r>
      <w:r>
        <w:rPr>
          <w:rFonts w:hint="eastAsia" w:ascii="Times New Roman" w:hAnsi="Times New Roman"/>
          <w:szCs w:val="24"/>
        </w:rPr>
        <w:t>但</w:t>
      </w:r>
      <w:r>
        <w:rPr>
          <w:rFonts w:ascii="Times New Roman" w:hAnsi="Times New Roman"/>
          <w:szCs w:val="24"/>
        </w:rPr>
        <w:t>应</w:t>
      </w:r>
      <w:r>
        <w:rPr>
          <w:rFonts w:hint="eastAsia" w:ascii="Times New Roman" w:hAnsi="Times New Roman"/>
          <w:szCs w:val="24"/>
        </w:rPr>
        <w:t>按</w:t>
      </w:r>
      <w:r>
        <w:rPr>
          <w:rFonts w:hint="eastAsia" w:ascii="Times New Roman" w:hAnsi="Times New Roman"/>
          <w:szCs w:val="24"/>
          <w:lang w:eastAsia="zh-CN"/>
        </w:rPr>
        <w:t>本标准</w:t>
      </w:r>
      <w:r>
        <w:rPr>
          <w:rFonts w:ascii="Times New Roman" w:hAnsi="Times New Roman"/>
          <w:szCs w:val="24"/>
        </w:rPr>
        <w:t>附录</w:t>
      </w:r>
      <w:r>
        <w:rPr>
          <w:rFonts w:hint="eastAsia" w:ascii="Times New Roman" w:hAnsi="Times New Roman"/>
          <w:szCs w:val="24"/>
        </w:rPr>
        <w:t>A规定的抗拔试验</w:t>
      </w:r>
      <w:r>
        <w:rPr>
          <w:rFonts w:ascii="Times New Roman" w:hAnsi="Times New Roman"/>
          <w:szCs w:val="24"/>
        </w:rPr>
        <w:t>进行</w:t>
      </w:r>
      <w:r>
        <w:rPr>
          <w:rFonts w:hint="eastAsia" w:ascii="Times New Roman" w:hAnsi="Times New Roman"/>
          <w:szCs w:val="24"/>
        </w:rPr>
        <w:t>验证</w:t>
      </w:r>
      <w:r>
        <w:rPr>
          <w:rFonts w:ascii="Times New Roman" w:hAnsi="Times New Roman"/>
          <w:szCs w:val="24"/>
        </w:rPr>
        <w:t>：</w:t>
      </w:r>
    </w:p>
    <w:tbl>
      <w:tblPr>
        <w:tblStyle w:val="32"/>
        <w:tblW w:w="0" w:type="auto"/>
        <w:tblInd w:w="0" w:type="dxa"/>
        <w:tblLayout w:type="fixed"/>
        <w:tblCellMar>
          <w:top w:w="0" w:type="dxa"/>
          <w:left w:w="108" w:type="dxa"/>
          <w:bottom w:w="0" w:type="dxa"/>
          <w:right w:w="108" w:type="dxa"/>
        </w:tblCellMar>
      </w:tblPr>
      <w:tblGrid>
        <w:gridCol w:w="5778"/>
        <w:gridCol w:w="4076"/>
      </w:tblGrid>
      <w:tr>
        <w:tblPrEx>
          <w:tblCellMar>
            <w:top w:w="0" w:type="dxa"/>
            <w:left w:w="108" w:type="dxa"/>
            <w:bottom w:w="0" w:type="dxa"/>
            <w:right w:w="108" w:type="dxa"/>
          </w:tblCellMar>
        </w:tblPrEx>
        <w:tc>
          <w:tcPr>
            <w:tcW w:w="5778" w:type="dxa"/>
          </w:tcPr>
          <w:p>
            <w:pPr>
              <w:widowControl w:val="0"/>
              <w:spacing w:line="276" w:lineRule="auto"/>
              <w:jc w:val="right"/>
              <w:rPr>
                <w:rFonts w:ascii="Times New Roman" w:hAnsi="Times New Roman"/>
                <w:color w:val="FF0000"/>
                <w:position w:val="-14"/>
                <w:szCs w:val="24"/>
              </w:rPr>
            </w:pPr>
            <w:r>
              <w:rPr>
                <w:rFonts w:ascii="宋体"/>
                <w:color w:val="FF0000"/>
                <w:position w:val="-14"/>
                <w:szCs w:val="24"/>
              </w:rPr>
              <w:object>
                <v:shape id="_x0000_i1144" o:spt="75" type="#_x0000_t75" style="height:19.8pt;width:79.1pt;" o:ole="t" filled="f" coordsize="21600,21600">
                  <v:path/>
                  <v:fill on="f" focussize="0,0"/>
                  <v:stroke/>
                  <v:imagedata r:id="rId439" o:title=""/>
                  <o:lock v:ext="edit" aspectratio="t"/>
                  <w10:wrap type="none"/>
                  <w10:anchorlock/>
                </v:shape>
                <o:OLEObject Type="Embed" ProgID="Equation.3" ShapeID="_x0000_i1144" DrawAspect="Content" ObjectID="_1468075844" r:id="rId438">
                  <o:LockedField>false</o:LockedField>
                </o:OLEObject>
              </w:object>
            </w:r>
          </w:p>
        </w:tc>
        <w:tc>
          <w:tcPr>
            <w:tcW w:w="4076" w:type="dxa"/>
          </w:tcPr>
          <w:p>
            <w:pPr>
              <w:widowControl w:val="0"/>
              <w:spacing w:line="480" w:lineRule="auto"/>
              <w:jc w:val="right"/>
              <w:rPr>
                <w:rFonts w:ascii="Times New Roman" w:hAnsi="Times New Roman"/>
                <w:position w:val="-14"/>
                <w:szCs w:val="24"/>
              </w:rPr>
            </w:pPr>
            <w:r>
              <w:rPr>
                <w:rFonts w:hint="eastAsia" w:ascii="Times New Roman" w:hAnsi="Times New Roman"/>
                <w:szCs w:val="24"/>
              </w:rPr>
              <w:t>（</w:t>
            </w:r>
            <w:r>
              <w:rPr>
                <w:rFonts w:ascii="Times New Roman" w:hAnsi="Times New Roman"/>
                <w:szCs w:val="24"/>
              </w:rPr>
              <w:t>8.</w:t>
            </w:r>
            <w:r>
              <w:rPr>
                <w:rFonts w:hint="eastAsia" w:ascii="Times New Roman" w:hAnsi="Times New Roman"/>
                <w:szCs w:val="24"/>
                <w:lang w:eastAsia="zh-CN"/>
              </w:rPr>
              <w:t>5</w:t>
            </w:r>
            <w:r>
              <w:rPr>
                <w:rFonts w:ascii="Times New Roman" w:hAnsi="Times New Roman"/>
                <w:szCs w:val="24"/>
              </w:rPr>
              <w:t>.</w:t>
            </w:r>
            <w:r>
              <w:rPr>
                <w:rFonts w:hint="eastAsia" w:ascii="Times New Roman" w:hAnsi="Times New Roman"/>
                <w:szCs w:val="24"/>
              </w:rPr>
              <w:t>8）</w:t>
            </w:r>
          </w:p>
        </w:tc>
      </w:tr>
    </w:tbl>
    <w:p>
      <w:pPr>
        <w:widowControl w:val="0"/>
        <w:spacing w:line="480" w:lineRule="exact"/>
        <w:rPr>
          <w:rFonts w:ascii="Times New Roman" w:hAnsi="Times New Roman"/>
          <w:szCs w:val="24"/>
        </w:rPr>
      </w:pPr>
      <w:r>
        <w:rPr>
          <w:rFonts w:hint="eastAsia" w:ascii="Times New Roman" w:hAnsi="Times New Roman"/>
          <w:szCs w:val="24"/>
        </w:rPr>
        <w:t xml:space="preserve">式中： </w:t>
      </w:r>
      <w:r>
        <w:rPr>
          <w:rFonts w:ascii="Times New Roman" w:hAnsi="Times New Roman"/>
          <w:i/>
          <w:szCs w:val="24"/>
        </w:rPr>
        <w:t>d</w:t>
      </w:r>
      <w:r>
        <w:rPr>
          <w:rFonts w:ascii="Times New Roman" w:hAnsi="Times New Roman"/>
          <w:szCs w:val="24"/>
        </w:rPr>
        <w:t xml:space="preserve"> </w:t>
      </w:r>
      <w:r>
        <w:rPr>
          <w:rFonts w:ascii="Times New Roman" w:hAnsi="Times New Roman"/>
        </w:rPr>
        <w:t>——</w:t>
      </w:r>
      <w:r>
        <w:rPr>
          <w:rFonts w:hint="eastAsia" w:ascii="Times New Roman" w:hAnsi="Times New Roman"/>
          <w:szCs w:val="24"/>
        </w:rPr>
        <w:t>锚杆的锚固体直径(m)；</w:t>
      </w:r>
    </w:p>
    <w:p>
      <w:pPr>
        <w:widowControl w:val="0"/>
        <w:spacing w:line="480" w:lineRule="exact"/>
        <w:ind w:left="1536" w:leftChars="350" w:hanging="696" w:hangingChars="290"/>
        <w:rPr>
          <w:rFonts w:ascii="Times New Roman" w:hAnsi="Times New Roman"/>
          <w:szCs w:val="24"/>
        </w:rPr>
      </w:pPr>
      <w:r>
        <w:rPr>
          <w:rFonts w:hint="eastAsia" w:ascii="Times New Roman" w:hAnsi="Times New Roman"/>
          <w:position w:val="-12"/>
          <w:szCs w:val="24"/>
        </w:rPr>
        <w:object>
          <v:shape id="_x0000_i1145" o:spt="75" type="#_x0000_t75" style="height:18.2pt;width:8.7pt;" o:ole="t" filled="f" coordsize="21600,21600">
            <v:path/>
            <v:fill on="f" focussize="0,0"/>
            <v:stroke/>
            <v:imagedata r:id="rId441" o:title=""/>
            <o:lock v:ext="edit" aspectratio="t"/>
            <w10:wrap type="none"/>
            <w10:anchorlock/>
          </v:shape>
          <o:OLEObject Type="Embed" ProgID="Equation.3" ShapeID="_x0000_i1145" DrawAspect="Content" ObjectID="_1468075845" r:id="rId440">
            <o:LockedField>false</o:LockedField>
          </o:OLEObject>
        </w:object>
      </w:r>
      <w:r>
        <w:rPr>
          <w:rFonts w:ascii="Times New Roman" w:hAnsi="Times New Roman"/>
        </w:rPr>
        <w:t>——</w:t>
      </w:r>
      <w:r>
        <w:rPr>
          <w:rFonts w:hint="eastAsia" w:ascii="Times New Roman" w:hAnsi="Times New Roman"/>
          <w:szCs w:val="24"/>
        </w:rPr>
        <w:t>锚杆的锚固段在第</w:t>
      </w:r>
      <w:r>
        <w:rPr>
          <w:rFonts w:ascii="Times New Roman" w:hAnsi="Times New Roman"/>
          <w:i/>
          <w:szCs w:val="24"/>
        </w:rPr>
        <w:t>i</w:t>
      </w:r>
      <w:r>
        <w:rPr>
          <w:rFonts w:hint="eastAsia" w:ascii="Times New Roman" w:hAnsi="Times New Roman"/>
          <w:szCs w:val="24"/>
        </w:rPr>
        <w:t>土层中的长度(m)；锚固段长度为锚杆在理论直线滑动面以外的长度，理论直线滑动面按</w:t>
      </w:r>
      <w:r>
        <w:rPr>
          <w:rFonts w:hint="eastAsia" w:ascii="Times New Roman" w:hAnsi="Times New Roman"/>
          <w:szCs w:val="24"/>
          <w:lang w:eastAsia="zh-CN"/>
        </w:rPr>
        <w:t>本标准</w:t>
      </w:r>
      <w:r>
        <w:rPr>
          <w:rFonts w:hint="eastAsia" w:ascii="Times New Roman" w:hAnsi="Times New Roman"/>
          <w:szCs w:val="24"/>
        </w:rPr>
        <w:t>第8.</w:t>
      </w:r>
      <w:r>
        <w:rPr>
          <w:rFonts w:hint="eastAsia" w:ascii="Times New Roman" w:hAnsi="Times New Roman"/>
          <w:szCs w:val="24"/>
          <w:lang w:val="en-US" w:eastAsia="zh-CN"/>
        </w:rPr>
        <w:t>5</w:t>
      </w:r>
      <w:r>
        <w:rPr>
          <w:rFonts w:hint="eastAsia" w:ascii="Times New Roman" w:hAnsi="Times New Roman"/>
          <w:szCs w:val="24"/>
        </w:rPr>
        <w:t>.9条的规定确定；</w:t>
      </w:r>
    </w:p>
    <w:p>
      <w:pPr>
        <w:widowControl w:val="0"/>
        <w:spacing w:line="480" w:lineRule="exact"/>
        <w:ind w:left="1558" w:leftChars="259" w:hanging="936" w:hangingChars="390"/>
        <w:rPr>
          <w:rFonts w:ascii="Times New Roman" w:hAnsi="Times New Roman"/>
          <w:szCs w:val="24"/>
        </w:rPr>
      </w:pPr>
      <w:r>
        <w:rPr>
          <w:position w:val="-14"/>
        </w:rPr>
        <w:object>
          <v:shape id="_x0000_i1146" o:spt="75" type="#_x0000_t75" style="height:19pt;width:19.8pt;" o:ole="t" filled="f" coordsize="21600,21600">
            <v:path/>
            <v:fill on="f" focussize="0,0"/>
            <v:stroke/>
            <v:imagedata r:id="rId443" o:title=""/>
            <o:lock v:ext="edit" aspectratio="t"/>
            <w10:wrap type="none"/>
            <w10:anchorlock/>
          </v:shape>
          <o:OLEObject Type="Embed" ProgID="Equation.3" ShapeID="_x0000_i1146" DrawAspect="Content" ObjectID="_1468075846" r:id="rId442">
            <o:LockedField>false</o:LockedField>
          </o:OLEObject>
        </w:object>
      </w:r>
      <w:r>
        <w:rPr>
          <w:rFonts w:ascii="Times New Roman" w:hAnsi="Times New Roman"/>
        </w:rPr>
        <w:t>——</w:t>
      </w:r>
      <w:r>
        <w:rPr>
          <w:rFonts w:hint="eastAsia" w:ascii="Times New Roman" w:hAnsi="Times New Roman"/>
          <w:szCs w:val="24"/>
        </w:rPr>
        <w:t>锚固体与第</w:t>
      </w:r>
      <w:r>
        <w:rPr>
          <w:rFonts w:ascii="Times New Roman" w:hAnsi="Times New Roman"/>
          <w:i/>
          <w:szCs w:val="24"/>
        </w:rPr>
        <w:t>i</w:t>
      </w:r>
      <w:r>
        <w:rPr>
          <w:rFonts w:hint="eastAsia" w:ascii="Times New Roman" w:hAnsi="Times New Roman"/>
          <w:szCs w:val="24"/>
        </w:rPr>
        <w:t>土层之间的极限粘结强度标准值(kPa)，应根据工程经验并结合表8.</w:t>
      </w:r>
      <w:r>
        <w:rPr>
          <w:rFonts w:hint="eastAsia" w:ascii="Times New Roman" w:hAnsi="Times New Roman"/>
          <w:szCs w:val="24"/>
          <w:lang w:eastAsia="zh-CN"/>
        </w:rPr>
        <w:t>5</w:t>
      </w:r>
      <w:r>
        <w:rPr>
          <w:rFonts w:hint="eastAsia" w:ascii="Times New Roman" w:hAnsi="Times New Roman"/>
          <w:szCs w:val="24"/>
        </w:rPr>
        <w:t>.8取值。</w:t>
      </w:r>
    </w:p>
    <w:p>
      <w:pPr>
        <w:widowControl w:val="0"/>
        <w:spacing w:line="480" w:lineRule="exact"/>
        <w:ind w:left="1457" w:leftChars="300" w:hanging="737" w:hangingChars="350"/>
        <w:jc w:val="center"/>
        <w:rPr>
          <w:rFonts w:ascii="Times New Roman" w:hAnsi="Times New Roman"/>
          <w:b/>
          <w:sz w:val="21"/>
          <w:szCs w:val="21"/>
        </w:rPr>
      </w:pPr>
      <w:r>
        <w:rPr>
          <w:rFonts w:hint="eastAsia" w:ascii="Times New Roman" w:hAnsi="Times New Roman"/>
          <w:b/>
          <w:sz w:val="21"/>
          <w:szCs w:val="21"/>
        </w:rPr>
        <w:t>表8.</w:t>
      </w:r>
      <w:r>
        <w:rPr>
          <w:rFonts w:hint="eastAsia" w:ascii="Times New Roman" w:hAnsi="Times New Roman"/>
          <w:b/>
          <w:sz w:val="21"/>
          <w:szCs w:val="21"/>
          <w:lang w:eastAsia="zh-CN"/>
        </w:rPr>
        <w:t>5</w:t>
      </w:r>
      <w:r>
        <w:rPr>
          <w:rFonts w:hint="eastAsia" w:ascii="Times New Roman" w:hAnsi="Times New Roman"/>
          <w:b/>
          <w:sz w:val="21"/>
          <w:szCs w:val="21"/>
        </w:rPr>
        <w:t>.8         锚杆的极限粘结强度标准值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97"/>
        <w:gridCol w:w="2516"/>
        <w:gridCol w:w="1977"/>
        <w:gridCol w:w="19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土的名称</w:t>
            </w:r>
          </w:p>
        </w:tc>
        <w:tc>
          <w:tcPr>
            <w:tcW w:w="2516"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土的状态或密实度</w:t>
            </w:r>
          </w:p>
        </w:tc>
        <w:tc>
          <w:tcPr>
            <w:tcW w:w="3956" w:type="dxa"/>
            <w:gridSpan w:val="2"/>
            <w:vAlign w:val="center"/>
          </w:tcPr>
          <w:p>
            <w:pPr>
              <w:widowControl w:val="0"/>
              <w:spacing w:line="360" w:lineRule="exact"/>
              <w:ind w:firstLine="120" w:firstLineChars="50"/>
              <w:jc w:val="center"/>
              <w:rPr>
                <w:rFonts w:ascii="Times New Roman" w:hAnsi="Times New Roman"/>
                <w:sz w:val="21"/>
                <w:szCs w:val="21"/>
              </w:rPr>
            </w:pPr>
            <w:r>
              <w:rPr>
                <w:color w:val="FF0000"/>
                <w:position w:val="-12"/>
              </w:rPr>
              <w:object>
                <v:shape id="_x0000_i1147" o:spt="75" type="#_x0000_t75" style="height:18.2pt;width:15.8pt;" o:ole="t" filled="f" coordsize="21600,21600">
                  <v:path/>
                  <v:fill on="f" focussize="0,0"/>
                  <v:stroke/>
                  <v:imagedata r:id="rId445" o:title=""/>
                  <o:lock v:ext="edit" aspectratio="t"/>
                  <w10:wrap type="none"/>
                  <w10:anchorlock/>
                </v:shape>
                <o:OLEObject Type="Embed" ProgID="Equation.3" ShapeID="_x0000_i1147" DrawAspect="Content" ObjectID="_1468075847" r:id="rId444">
                  <o:LockedField>false</o:LockedField>
                </o:OLEObject>
              </w:object>
            </w:r>
            <w:r>
              <w:rPr>
                <w:rFonts w:ascii="Times New Roman" w:hAnsi="Times New Roman"/>
                <w:sz w:val="21"/>
                <w:szCs w:val="21"/>
              </w:rPr>
              <w:t>(kPa)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一次常压注浆</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二次压力注浆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189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填土</w:t>
            </w:r>
          </w:p>
        </w:tc>
        <w:tc>
          <w:tcPr>
            <w:tcW w:w="2516" w:type="dxa"/>
            <w:vAlign w:val="center"/>
          </w:tcPr>
          <w:p>
            <w:pPr>
              <w:widowControl w:val="0"/>
              <w:spacing w:line="360" w:lineRule="exact"/>
              <w:ind w:firstLine="105" w:firstLineChars="50"/>
              <w:jc w:val="center"/>
              <w:rPr>
                <w:rFonts w:ascii="Times New Roman" w:hAnsi="Times New Roman"/>
                <w:sz w:val="21"/>
                <w:szCs w:val="21"/>
              </w:rPr>
            </w:pP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16～30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30～45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9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淤泥质土</w:t>
            </w:r>
          </w:p>
        </w:tc>
        <w:tc>
          <w:tcPr>
            <w:tcW w:w="2516" w:type="dxa"/>
            <w:vAlign w:val="center"/>
          </w:tcPr>
          <w:p>
            <w:pPr>
              <w:widowControl w:val="0"/>
              <w:spacing w:line="360" w:lineRule="exact"/>
              <w:ind w:firstLine="105" w:firstLineChars="50"/>
              <w:jc w:val="center"/>
              <w:rPr>
                <w:rFonts w:ascii="Times New Roman" w:hAnsi="Times New Roman"/>
                <w:sz w:val="21"/>
                <w:szCs w:val="21"/>
              </w:rPr>
            </w:pP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16～20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20～30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黏性土</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i/>
                <w:iCs/>
                <w:sz w:val="21"/>
                <w:szCs w:val="21"/>
              </w:rPr>
              <w:t>I</w:t>
            </w:r>
            <w:r>
              <w:rPr>
                <w:rFonts w:hint="eastAsia" w:ascii="Times New Roman" w:hAnsi="Times New Roman"/>
                <w:sz w:val="21"/>
                <w:szCs w:val="21"/>
                <w:vertAlign w:val="subscript"/>
              </w:rPr>
              <w:t>L</w:t>
            </w:r>
            <w:r>
              <w:rPr>
                <w:rFonts w:hint="eastAsia" w:ascii="Times New Roman" w:hAnsi="Times New Roman"/>
                <w:sz w:val="21"/>
                <w:szCs w:val="21"/>
              </w:rPr>
              <w:t>＞1</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18～30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25～45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0.75＜</w:t>
            </w:r>
            <w:r>
              <w:rPr>
                <w:rFonts w:hint="eastAsia" w:ascii="Times New Roman" w:hAnsi="Times New Roman"/>
                <w:i/>
                <w:iCs/>
                <w:sz w:val="21"/>
                <w:szCs w:val="21"/>
              </w:rPr>
              <w:t>I</w:t>
            </w:r>
            <w:r>
              <w:rPr>
                <w:rFonts w:hint="eastAsia" w:ascii="Times New Roman" w:hAnsi="Times New Roman"/>
                <w:sz w:val="21"/>
                <w:szCs w:val="21"/>
                <w:vertAlign w:val="subscript"/>
              </w:rPr>
              <w:t>L</w:t>
            </w:r>
            <w:r>
              <w:rPr>
                <w:rFonts w:hint="eastAsia" w:ascii="Times New Roman" w:hAnsi="Times New Roman"/>
                <w:sz w:val="21"/>
                <w:szCs w:val="21"/>
              </w:rPr>
              <w:t>≤1</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30～40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45～60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0.50＜</w:t>
            </w:r>
            <w:r>
              <w:rPr>
                <w:rFonts w:hint="eastAsia" w:ascii="Times New Roman" w:hAnsi="Times New Roman"/>
                <w:i/>
                <w:iCs/>
                <w:sz w:val="21"/>
                <w:szCs w:val="21"/>
              </w:rPr>
              <w:t>I</w:t>
            </w:r>
            <w:r>
              <w:rPr>
                <w:rFonts w:hint="eastAsia" w:ascii="Times New Roman" w:hAnsi="Times New Roman"/>
                <w:sz w:val="21"/>
                <w:szCs w:val="21"/>
                <w:vertAlign w:val="subscript"/>
              </w:rPr>
              <w:t>L</w:t>
            </w:r>
            <w:r>
              <w:rPr>
                <w:rFonts w:hint="eastAsia" w:ascii="Times New Roman" w:hAnsi="Times New Roman"/>
                <w:sz w:val="21"/>
                <w:szCs w:val="21"/>
              </w:rPr>
              <w:t>≤0.75</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40～53</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60～70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0.25＜</w:t>
            </w:r>
            <w:r>
              <w:rPr>
                <w:rFonts w:hint="eastAsia" w:ascii="Times New Roman" w:hAnsi="Times New Roman"/>
                <w:i/>
                <w:iCs/>
                <w:sz w:val="21"/>
                <w:szCs w:val="21"/>
              </w:rPr>
              <w:t>I</w:t>
            </w:r>
            <w:r>
              <w:rPr>
                <w:rFonts w:hint="eastAsia" w:ascii="Times New Roman" w:hAnsi="Times New Roman"/>
                <w:sz w:val="21"/>
                <w:szCs w:val="21"/>
                <w:vertAlign w:val="subscript"/>
              </w:rPr>
              <w:t>L</w:t>
            </w:r>
            <w:r>
              <w:rPr>
                <w:rFonts w:hint="eastAsia" w:ascii="Times New Roman" w:hAnsi="Times New Roman"/>
                <w:sz w:val="21"/>
                <w:szCs w:val="21"/>
              </w:rPr>
              <w:t>≤0.50</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53～65</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70～85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0＜</w:t>
            </w:r>
            <w:r>
              <w:rPr>
                <w:rFonts w:hint="eastAsia" w:ascii="Times New Roman" w:hAnsi="Times New Roman"/>
                <w:i/>
                <w:iCs/>
                <w:sz w:val="21"/>
                <w:szCs w:val="21"/>
              </w:rPr>
              <w:t>I</w:t>
            </w:r>
            <w:r>
              <w:rPr>
                <w:rFonts w:hint="eastAsia" w:ascii="Times New Roman" w:hAnsi="Times New Roman"/>
                <w:sz w:val="21"/>
                <w:szCs w:val="21"/>
                <w:vertAlign w:val="subscript"/>
              </w:rPr>
              <w:t>L</w:t>
            </w:r>
            <w:r>
              <w:rPr>
                <w:rFonts w:hint="eastAsia" w:ascii="Times New Roman" w:hAnsi="Times New Roman"/>
                <w:sz w:val="21"/>
                <w:szCs w:val="21"/>
              </w:rPr>
              <w:t>≤0.25</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65～73</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85～100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i/>
                <w:iCs/>
                <w:sz w:val="21"/>
                <w:szCs w:val="21"/>
              </w:rPr>
              <w:t>I</w:t>
            </w:r>
            <w:r>
              <w:rPr>
                <w:rFonts w:hint="eastAsia" w:ascii="Times New Roman" w:hAnsi="Times New Roman"/>
                <w:sz w:val="21"/>
                <w:szCs w:val="21"/>
                <w:vertAlign w:val="subscript"/>
              </w:rPr>
              <w:t>L</w:t>
            </w:r>
            <w:r>
              <w:rPr>
                <w:rFonts w:hint="eastAsia" w:ascii="Times New Roman" w:hAnsi="Times New Roman"/>
                <w:sz w:val="21"/>
                <w:szCs w:val="21"/>
              </w:rPr>
              <w:t>≤0</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73～90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100～130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粉土</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i/>
                <w:iCs/>
                <w:sz w:val="21"/>
                <w:szCs w:val="21"/>
              </w:rPr>
              <w:t>e</w:t>
            </w:r>
            <w:r>
              <w:rPr>
                <w:rFonts w:hint="eastAsia" w:ascii="Times New Roman" w:hAnsi="Times New Roman"/>
                <w:sz w:val="21"/>
                <w:szCs w:val="21"/>
              </w:rPr>
              <w:t>＞0.90</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22～44</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40～60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0.75≤</w:t>
            </w:r>
            <w:r>
              <w:rPr>
                <w:rFonts w:hint="eastAsia" w:ascii="Times New Roman" w:hAnsi="Times New Roman"/>
                <w:i/>
                <w:iCs/>
                <w:sz w:val="21"/>
                <w:szCs w:val="21"/>
              </w:rPr>
              <w:t>e</w:t>
            </w:r>
            <w:r>
              <w:rPr>
                <w:rFonts w:hint="eastAsia" w:ascii="Times New Roman" w:hAnsi="Times New Roman"/>
                <w:sz w:val="21"/>
                <w:szCs w:val="21"/>
              </w:rPr>
              <w:t>≤0.90</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44～64</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60～90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i/>
                <w:iCs/>
                <w:sz w:val="21"/>
                <w:szCs w:val="21"/>
              </w:rPr>
              <w:t>e</w:t>
            </w:r>
            <w:r>
              <w:rPr>
                <w:rFonts w:hint="eastAsia" w:ascii="Times New Roman" w:hAnsi="Times New Roman"/>
                <w:sz w:val="21"/>
                <w:szCs w:val="21"/>
              </w:rPr>
              <w:t>＜0.75</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64～100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80～130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粉细砂</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稍密</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22～42</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40～70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中密</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42～63</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75～110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密实</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63～85</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90～130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中砂</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稍密</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54～74</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70～100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中密</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74～90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100～130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密实</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90～120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130～170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粗砂</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稍密</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80～130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100～140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中密</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130～170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170～220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密实</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170～220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220～250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9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砾砂</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中密、密实</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190～260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240～290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4" w:hRule="atLeast"/>
          <w:jc w:val="center"/>
        </w:trPr>
        <w:tc>
          <w:tcPr>
            <w:tcW w:w="1897" w:type="dxa"/>
            <w:vMerge w:val="restart"/>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风化岩</w:t>
            </w: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全风化</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80～100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120～150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1897" w:type="dxa"/>
            <w:vMerge w:val="continue"/>
            <w:vAlign w:val="center"/>
          </w:tcPr>
          <w:p>
            <w:pPr>
              <w:widowControl w:val="0"/>
              <w:spacing w:line="360" w:lineRule="exact"/>
              <w:ind w:firstLine="105" w:firstLineChars="50"/>
              <w:jc w:val="center"/>
              <w:rPr>
                <w:rFonts w:ascii="Times New Roman" w:hAnsi="Times New Roman"/>
                <w:sz w:val="21"/>
                <w:szCs w:val="21"/>
              </w:rPr>
            </w:pPr>
          </w:p>
        </w:tc>
        <w:tc>
          <w:tcPr>
            <w:tcW w:w="2516"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强风化</w:t>
            </w:r>
          </w:p>
        </w:tc>
        <w:tc>
          <w:tcPr>
            <w:tcW w:w="1977"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150～200</w:t>
            </w:r>
          </w:p>
        </w:tc>
        <w:tc>
          <w:tcPr>
            <w:tcW w:w="1979" w:type="dxa"/>
            <w:vAlign w:val="center"/>
          </w:tcPr>
          <w:p>
            <w:pPr>
              <w:widowControl w:val="0"/>
              <w:spacing w:line="360" w:lineRule="exact"/>
              <w:ind w:firstLine="105" w:firstLineChars="50"/>
              <w:jc w:val="center"/>
              <w:rPr>
                <w:rFonts w:ascii="Times New Roman" w:hAnsi="Times New Roman"/>
                <w:sz w:val="21"/>
                <w:szCs w:val="21"/>
              </w:rPr>
            </w:pPr>
            <w:r>
              <w:rPr>
                <w:rFonts w:hint="eastAsia" w:ascii="Times New Roman" w:hAnsi="Times New Roman"/>
                <w:sz w:val="21"/>
                <w:szCs w:val="21"/>
              </w:rPr>
              <w:t>200～260</w:t>
            </w:r>
          </w:p>
        </w:tc>
      </w:tr>
    </w:tbl>
    <w:p>
      <w:pPr>
        <w:widowControl w:val="0"/>
        <w:spacing w:line="320" w:lineRule="exact"/>
        <w:ind w:left="703" w:leftChars="293"/>
        <w:rPr>
          <w:rFonts w:ascii="Times New Roman" w:hAnsi="Times New Roman"/>
          <w:sz w:val="21"/>
          <w:szCs w:val="21"/>
        </w:rPr>
      </w:pPr>
      <w:r>
        <w:rPr>
          <w:rFonts w:hint="eastAsia" w:ascii="Times New Roman" w:hAnsi="Times New Roman"/>
          <w:sz w:val="21"/>
          <w:szCs w:val="21"/>
        </w:rPr>
        <w:t>注： 1 采用泥浆护壁成孔工艺时，应按表取低值后再根据具体情况适当折减；</w:t>
      </w:r>
    </w:p>
    <w:p>
      <w:pPr>
        <w:widowControl w:val="0"/>
        <w:spacing w:line="320" w:lineRule="exact"/>
        <w:ind w:firstLine="1239" w:firstLineChars="590"/>
        <w:rPr>
          <w:rFonts w:ascii="Times New Roman" w:hAnsi="Times New Roman"/>
          <w:sz w:val="21"/>
          <w:szCs w:val="21"/>
        </w:rPr>
      </w:pPr>
      <w:r>
        <w:rPr>
          <w:rFonts w:hint="eastAsia" w:ascii="Times New Roman" w:hAnsi="Times New Roman"/>
          <w:sz w:val="21"/>
          <w:szCs w:val="21"/>
        </w:rPr>
        <w:t>2 采用套管护壁成孔工艺时，可取表中的高值；</w:t>
      </w:r>
    </w:p>
    <w:p>
      <w:pPr>
        <w:widowControl w:val="0"/>
        <w:spacing w:line="320" w:lineRule="exact"/>
        <w:ind w:firstLine="1239" w:firstLineChars="590"/>
        <w:rPr>
          <w:rFonts w:ascii="Times New Roman" w:hAnsi="Times New Roman"/>
          <w:sz w:val="21"/>
          <w:szCs w:val="21"/>
        </w:rPr>
      </w:pPr>
      <w:r>
        <w:rPr>
          <w:rFonts w:hint="eastAsia" w:ascii="Times New Roman" w:hAnsi="Times New Roman"/>
          <w:sz w:val="21"/>
          <w:szCs w:val="21"/>
        </w:rPr>
        <w:t>3 采用扩孔工艺时，可在表中数值基础上适当提高；</w:t>
      </w:r>
    </w:p>
    <w:p>
      <w:pPr>
        <w:widowControl w:val="0"/>
        <w:spacing w:line="320" w:lineRule="exact"/>
        <w:ind w:firstLine="1239" w:firstLineChars="590"/>
        <w:rPr>
          <w:rFonts w:ascii="Times New Roman" w:hAnsi="Times New Roman"/>
          <w:sz w:val="21"/>
          <w:szCs w:val="21"/>
        </w:rPr>
      </w:pPr>
      <w:r>
        <w:rPr>
          <w:rFonts w:hint="eastAsia" w:ascii="Times New Roman" w:hAnsi="Times New Roman"/>
          <w:sz w:val="21"/>
          <w:szCs w:val="21"/>
        </w:rPr>
        <w:t>4 采用二次压力分段劈裂注浆工艺时，可在表中二次压力注浆数值基础上适当提高；</w:t>
      </w:r>
    </w:p>
    <w:p>
      <w:pPr>
        <w:widowControl w:val="0"/>
        <w:spacing w:line="320" w:lineRule="exact"/>
        <w:ind w:firstLine="1239" w:firstLineChars="590"/>
        <w:rPr>
          <w:rFonts w:ascii="Times New Roman" w:hAnsi="Times New Roman"/>
          <w:sz w:val="21"/>
          <w:szCs w:val="21"/>
        </w:rPr>
      </w:pPr>
      <w:r>
        <w:rPr>
          <w:rFonts w:hint="eastAsia" w:ascii="Times New Roman" w:hAnsi="Times New Roman"/>
          <w:sz w:val="21"/>
          <w:szCs w:val="21"/>
        </w:rPr>
        <w:t>5 当砂土中的细粒含量超过总质量的30%时，按表取值后应乘以0.75的系数；</w:t>
      </w:r>
    </w:p>
    <w:p>
      <w:pPr>
        <w:widowControl w:val="0"/>
        <w:spacing w:line="320" w:lineRule="exact"/>
        <w:ind w:firstLine="1239" w:firstLineChars="590"/>
        <w:rPr>
          <w:rFonts w:ascii="Times New Roman" w:hAnsi="Times New Roman"/>
          <w:sz w:val="21"/>
          <w:szCs w:val="21"/>
        </w:rPr>
      </w:pPr>
      <w:r>
        <w:rPr>
          <w:rFonts w:hint="eastAsia" w:ascii="Times New Roman" w:hAnsi="Times New Roman"/>
          <w:sz w:val="21"/>
          <w:szCs w:val="21"/>
        </w:rPr>
        <w:t>6 对有机质含量为5%～10%的有机质土，应按表取值后适当折减；</w:t>
      </w:r>
    </w:p>
    <w:p>
      <w:pPr>
        <w:widowControl w:val="0"/>
        <w:spacing w:line="320" w:lineRule="exact"/>
        <w:ind w:firstLine="1239" w:firstLineChars="590"/>
        <w:rPr>
          <w:rFonts w:hint="eastAsia" w:ascii="Times New Roman" w:hAnsi="Times New Roman"/>
          <w:sz w:val="21"/>
          <w:szCs w:val="21"/>
        </w:rPr>
      </w:pPr>
      <w:bookmarkStart w:id="553" w:name="_Toc384"/>
      <w:bookmarkStart w:id="554" w:name="_Toc15341"/>
      <w:r>
        <w:rPr>
          <w:rFonts w:hint="eastAsia" w:ascii="Times New Roman" w:hAnsi="Times New Roman"/>
          <w:sz w:val="21"/>
          <w:szCs w:val="21"/>
        </w:rPr>
        <w:t>7 当锚杆锚固段长度大于16m时，应对表中数值适当折减。</w:t>
      </w:r>
      <w:bookmarkEnd w:id="553"/>
      <w:bookmarkEnd w:id="554"/>
    </w:p>
    <w:p>
      <w:pPr>
        <w:widowControl w:val="0"/>
        <w:tabs>
          <w:tab w:val="left" w:pos="7020"/>
        </w:tabs>
        <w:spacing w:line="480" w:lineRule="exact"/>
        <w:ind w:firstLine="480" w:firstLineChars="200"/>
        <w:rPr>
          <w:rFonts w:ascii="Times New Roman" w:hAnsi="Times New Roman"/>
          <w:szCs w:val="24"/>
        </w:rPr>
      </w:pPr>
      <w:r>
        <w:rPr>
          <w:rFonts w:hint="eastAsia" w:ascii="Times New Roman" w:hAnsi="Times New Roman"/>
          <w:szCs w:val="24"/>
        </w:rPr>
        <w:t>3 当锚杆锚固段主要位于</w:t>
      </w:r>
      <w:r>
        <w:rPr>
          <w:rFonts w:hint="eastAsia" w:ascii="宋体" w:hAnsi="宋体" w:cs="宋体"/>
          <w:szCs w:val="24"/>
        </w:rPr>
        <w:t>黏</w:t>
      </w:r>
      <w:r>
        <w:rPr>
          <w:rFonts w:ascii="Times New Roman" w:hAnsi="Times New Roman"/>
          <w:szCs w:val="24"/>
        </w:rPr>
        <w:t>土层</w:t>
      </w:r>
      <w:r>
        <w:rPr>
          <w:rFonts w:hint="eastAsia" w:ascii="Times New Roman" w:hAnsi="Times New Roman"/>
          <w:szCs w:val="24"/>
        </w:rPr>
        <w:t>、淤泥质土层、填土层时，应考虑土的蠕变对锚杆预应力损失的影响，并应根据蠕变试验确定锚杆的极限抗拔承载力。</w:t>
      </w:r>
      <w:r>
        <w:rPr>
          <w:rFonts w:ascii="Times New Roman" w:hAnsi="Times New Roman"/>
          <w:szCs w:val="24"/>
        </w:rPr>
        <w:t>锚杆</w:t>
      </w:r>
      <w:r>
        <w:rPr>
          <w:rFonts w:hint="eastAsia" w:ascii="Times New Roman" w:hAnsi="Times New Roman"/>
          <w:szCs w:val="24"/>
        </w:rPr>
        <w:t>的</w:t>
      </w:r>
      <w:r>
        <w:rPr>
          <w:rFonts w:ascii="Times New Roman" w:hAnsi="Times New Roman"/>
          <w:szCs w:val="24"/>
        </w:rPr>
        <w:t>蠕变试验</w:t>
      </w:r>
      <w:r>
        <w:rPr>
          <w:rFonts w:hint="eastAsia" w:ascii="Times New Roman" w:hAnsi="Times New Roman"/>
          <w:szCs w:val="24"/>
        </w:rPr>
        <w:t>应符合</w:t>
      </w:r>
      <w:r>
        <w:rPr>
          <w:rFonts w:ascii="Times New Roman" w:hAnsi="Times New Roman"/>
          <w:szCs w:val="24"/>
        </w:rPr>
        <w:t>按</w:t>
      </w:r>
      <w:r>
        <w:rPr>
          <w:rFonts w:hint="eastAsia" w:ascii="Times New Roman" w:hAnsi="Times New Roman"/>
          <w:szCs w:val="24"/>
          <w:lang w:eastAsia="zh-CN"/>
        </w:rPr>
        <w:t>本标准</w:t>
      </w:r>
      <w:r>
        <w:rPr>
          <w:rFonts w:ascii="Times New Roman" w:hAnsi="Times New Roman"/>
          <w:szCs w:val="24"/>
        </w:rPr>
        <w:t>附录</w:t>
      </w:r>
      <w:r>
        <w:rPr>
          <w:rFonts w:hint="eastAsia" w:ascii="Times New Roman" w:hAnsi="Times New Roman"/>
          <w:szCs w:val="24"/>
        </w:rPr>
        <w:t>A的</w:t>
      </w:r>
      <w:r>
        <w:rPr>
          <w:rFonts w:ascii="Times New Roman" w:hAnsi="Times New Roman"/>
          <w:szCs w:val="24"/>
        </w:rPr>
        <w:t>规定</w:t>
      </w:r>
      <w:r>
        <w:rPr>
          <w:rFonts w:hint="eastAsia" w:ascii="Times New Roman" w:hAnsi="Times New Roman"/>
          <w:szCs w:val="24"/>
        </w:rPr>
        <w:t>；</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当采用扩大头锚杆或锚固体直径大于250mm的锚杆时，应对土体提供的整体抗拔承载力进行验算；</w:t>
      </w:r>
    </w:p>
    <w:p>
      <w:pPr>
        <w:widowControl w:val="0"/>
        <w:tabs>
          <w:tab w:val="left" w:pos="7020"/>
        </w:tabs>
        <w:spacing w:line="480" w:lineRule="exact"/>
        <w:ind w:firstLine="480" w:firstLineChars="200"/>
        <w:rPr>
          <w:rFonts w:hint="eastAsia" w:ascii="Times New Roman" w:hAnsi="Times New Roman" w:eastAsia="宋体"/>
          <w:color w:val="auto"/>
          <w:szCs w:val="24"/>
          <w:lang w:eastAsia="zh-CN"/>
        </w:rPr>
      </w:pPr>
      <w:r>
        <w:rPr>
          <w:rFonts w:hint="eastAsia" w:ascii="Times New Roman" w:hAnsi="Times New Roman"/>
          <w:color w:val="auto"/>
          <w:szCs w:val="24"/>
        </w:rPr>
        <w:t>5 锚固段长度除应满足受力计算外，尚应满足土层锚杆锚固段长度不小于6.0m，岩石锚杆锚固段长度不小于3.0m，承压式锚杆锚固段长度不小于2.0m</w:t>
      </w:r>
      <w:r>
        <w:rPr>
          <w:rFonts w:hint="eastAsia" w:ascii="Times New Roman" w:hAnsi="Times New Roman"/>
          <w:color w:val="auto"/>
          <w:szCs w:val="24"/>
          <w:lang w:eastAsia="zh-CN"/>
        </w:rPr>
        <w:t>；</w:t>
      </w:r>
    </w:p>
    <w:p>
      <w:pPr>
        <w:widowControl w:val="0"/>
        <w:tabs>
          <w:tab w:val="left" w:pos="7020"/>
        </w:tabs>
        <w:spacing w:line="480" w:lineRule="exact"/>
        <w:ind w:firstLine="480" w:firstLineChars="200"/>
        <w:rPr>
          <w:rFonts w:hint="eastAsia" w:ascii="Times New Roman" w:hAnsi="Times New Roman"/>
          <w:szCs w:val="24"/>
        </w:rPr>
      </w:pPr>
      <w:bookmarkStart w:id="555" w:name="_Toc956"/>
      <w:bookmarkStart w:id="556" w:name="_Toc24671"/>
      <w:r>
        <w:rPr>
          <w:rFonts w:hint="eastAsia" w:ascii="Times New Roman" w:hAnsi="Times New Roman"/>
          <w:szCs w:val="24"/>
        </w:rPr>
        <w:t>6 当计算锚杆锚固段长度大于16m时，可采用荷载分散型锚杆。</w:t>
      </w:r>
      <w:bookmarkEnd w:id="555"/>
      <w:bookmarkEnd w:id="556"/>
    </w:p>
    <w:p>
      <w:pPr>
        <w:widowControl w:val="0"/>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5</w:t>
      </w:r>
      <w:r>
        <w:rPr>
          <w:rFonts w:hint="eastAsia" w:ascii="Times New Roman" w:hAnsi="Times New Roman"/>
          <w:b/>
          <w:szCs w:val="24"/>
        </w:rPr>
        <w:t>.9</w:t>
      </w:r>
      <w:r>
        <w:rPr>
          <w:rFonts w:hint="eastAsia" w:ascii="Times New Roman" w:hAnsi="Times New Roman"/>
          <w:szCs w:val="24"/>
        </w:rPr>
        <w:t xml:space="preserve"> </w:t>
      </w:r>
      <w:r>
        <w:rPr>
          <w:rFonts w:ascii="Times New Roman" w:hAnsi="Times New Roman"/>
          <w:szCs w:val="24"/>
        </w:rPr>
        <w:t>锚杆</w:t>
      </w:r>
      <w:r>
        <w:rPr>
          <w:rFonts w:hint="eastAsia" w:ascii="Times New Roman" w:hAnsi="Times New Roman"/>
          <w:szCs w:val="24"/>
        </w:rPr>
        <w:t>的非锚固段</w:t>
      </w:r>
      <w:r>
        <w:rPr>
          <w:rFonts w:ascii="Times New Roman" w:hAnsi="Times New Roman"/>
          <w:szCs w:val="24"/>
        </w:rPr>
        <w:t>长度</w:t>
      </w:r>
      <w:r>
        <w:rPr>
          <w:rFonts w:hint="eastAsia" w:ascii="Times New Roman" w:hAnsi="Times New Roman"/>
          <w:szCs w:val="24"/>
        </w:rPr>
        <w:t>应按下式确定，且不应小于5.0m（</w:t>
      </w:r>
      <w:r>
        <w:rPr>
          <w:rFonts w:ascii="Times New Roman" w:hAnsi="Times New Roman"/>
          <w:szCs w:val="24"/>
        </w:rPr>
        <w:t>图</w:t>
      </w:r>
      <w:r>
        <w:rPr>
          <w:rFonts w:hint="eastAsia" w:ascii="Times New Roman" w:hAnsi="Times New Roman"/>
          <w:szCs w:val="24"/>
        </w:rPr>
        <w:t>8.</w:t>
      </w:r>
      <w:r>
        <w:rPr>
          <w:rFonts w:hint="eastAsia" w:ascii="Times New Roman" w:hAnsi="Times New Roman"/>
          <w:szCs w:val="24"/>
          <w:lang w:val="en-US" w:eastAsia="zh-CN"/>
        </w:rPr>
        <w:t>5</w:t>
      </w:r>
      <w:r>
        <w:rPr>
          <w:rFonts w:hint="eastAsia" w:ascii="Times New Roman" w:hAnsi="Times New Roman"/>
          <w:szCs w:val="24"/>
        </w:rPr>
        <w:t>.9）：</w:t>
      </w:r>
    </w:p>
    <w:tbl>
      <w:tblPr>
        <w:tblStyle w:val="32"/>
        <w:tblW w:w="0" w:type="auto"/>
        <w:tblInd w:w="0" w:type="dxa"/>
        <w:tblLayout w:type="fixed"/>
        <w:tblCellMar>
          <w:top w:w="0" w:type="dxa"/>
          <w:left w:w="108" w:type="dxa"/>
          <w:bottom w:w="0" w:type="dxa"/>
          <w:right w:w="108" w:type="dxa"/>
        </w:tblCellMar>
      </w:tblPr>
      <w:tblGrid>
        <w:gridCol w:w="7338"/>
        <w:gridCol w:w="2516"/>
      </w:tblGrid>
      <w:tr>
        <w:tblPrEx>
          <w:tblCellMar>
            <w:top w:w="0" w:type="dxa"/>
            <w:left w:w="108" w:type="dxa"/>
            <w:bottom w:w="0" w:type="dxa"/>
            <w:right w:w="108" w:type="dxa"/>
          </w:tblCellMar>
        </w:tblPrEx>
        <w:tc>
          <w:tcPr>
            <w:tcW w:w="7338" w:type="dxa"/>
            <w:vAlign w:val="center"/>
          </w:tcPr>
          <w:p>
            <w:pPr>
              <w:widowControl w:val="0"/>
              <w:jc w:val="right"/>
              <w:rPr>
                <w:rFonts w:ascii="Times New Roman" w:hAnsi="Times New Roman"/>
                <w:position w:val="-54"/>
                <w:szCs w:val="24"/>
              </w:rPr>
            </w:pPr>
            <w:r>
              <w:rPr>
                <w:rFonts w:ascii="Times New Roman" w:hAnsi="Times New Roman"/>
                <w:position w:val="-52"/>
                <w:szCs w:val="24"/>
              </w:rPr>
              <w:object>
                <v:shape id="_x0000_i1148" o:spt="75" type="#_x0000_t75" style="height:60.15pt;width:227.85pt;" o:ole="t" filled="f" coordsize="21600,21600">
                  <v:path/>
                  <v:fill on="f" focussize="0,0"/>
                  <v:stroke/>
                  <v:imagedata r:id="rId447" o:title=""/>
                  <o:lock v:ext="edit" aspectratio="t"/>
                  <w10:wrap type="none"/>
                  <w10:anchorlock/>
                </v:shape>
                <o:OLEObject Type="Embed" ProgID="Equation.3" ShapeID="_x0000_i1148" DrawAspect="Content" ObjectID="_1468075848" r:id="rId446">
                  <o:LockedField>false</o:LockedField>
                </o:OLEObject>
              </w:object>
            </w:r>
          </w:p>
        </w:tc>
        <w:tc>
          <w:tcPr>
            <w:tcW w:w="2516" w:type="dxa"/>
            <w:vAlign w:val="center"/>
          </w:tcPr>
          <w:p>
            <w:pPr>
              <w:widowControl w:val="0"/>
              <w:spacing w:line="960" w:lineRule="auto"/>
              <w:jc w:val="right"/>
              <w:rPr>
                <w:rFonts w:ascii="Times New Roman" w:hAnsi="Times New Roman"/>
                <w:color w:val="FF0000"/>
                <w:szCs w:val="24"/>
              </w:rPr>
            </w:pPr>
            <w:r>
              <w:rPr>
                <w:rFonts w:hint="eastAsia" w:ascii="Times New Roman" w:hAnsi="Times New Roman"/>
                <w:szCs w:val="24"/>
              </w:rPr>
              <w:t>（8.</w:t>
            </w:r>
            <w:r>
              <w:rPr>
                <w:rFonts w:hint="eastAsia" w:ascii="Times New Roman" w:hAnsi="Times New Roman"/>
                <w:szCs w:val="24"/>
                <w:lang w:eastAsia="zh-CN"/>
              </w:rPr>
              <w:t>5</w:t>
            </w:r>
            <w:r>
              <w:rPr>
                <w:rFonts w:hint="eastAsia" w:ascii="Times New Roman" w:hAnsi="Times New Roman"/>
                <w:szCs w:val="24"/>
              </w:rPr>
              <w:t>.9）</w:t>
            </w:r>
          </w:p>
        </w:tc>
      </w:tr>
    </w:tbl>
    <w:p>
      <w:pPr>
        <w:widowControl w:val="0"/>
        <w:spacing w:line="480" w:lineRule="exact"/>
        <w:rPr>
          <w:rFonts w:ascii="Times New Roman" w:hAnsi="Times New Roman"/>
          <w:szCs w:val="24"/>
        </w:rPr>
      </w:pPr>
      <w:r>
        <w:rPr>
          <w:rFonts w:hint="eastAsia" w:ascii="Times New Roman" w:hAnsi="Times New Roman"/>
          <w:szCs w:val="24"/>
        </w:rPr>
        <w:t>式中：</w:t>
      </w:r>
      <w:r>
        <w:rPr>
          <w:rFonts w:hint="eastAsia" w:ascii="Times New Roman" w:hAnsi="Times New Roman"/>
          <w:position w:val="-10"/>
          <w:szCs w:val="24"/>
        </w:rPr>
        <w:object>
          <v:shape id="_x0000_i1149" o:spt="75" type="#_x0000_t75" style="height:16.6pt;width:10.3pt;" o:ole="t" filled="f" coordsize="21600,21600">
            <v:path/>
            <v:fill on="f" focussize="0,0"/>
            <v:stroke/>
            <v:imagedata r:id="rId449" o:title=""/>
            <o:lock v:ext="edit" aspectratio="t"/>
            <w10:wrap type="none"/>
            <w10:anchorlock/>
          </v:shape>
          <o:OLEObject Type="Embed" ProgID="Equation.3" ShapeID="_x0000_i1149" DrawAspect="Content" ObjectID="_1468075849" r:id="rId448">
            <o:LockedField>false</o:LockedField>
          </o:OLEObject>
        </w:object>
      </w:r>
      <w:r>
        <w:rPr>
          <w:rFonts w:ascii="Times New Roman" w:hAnsi="Times New Roman"/>
        </w:rPr>
        <w:t>——</w:t>
      </w:r>
      <w:r>
        <w:rPr>
          <w:rFonts w:ascii="Times New Roman" w:hAnsi="Times New Roman"/>
          <w:szCs w:val="24"/>
        </w:rPr>
        <w:t>锚杆</w:t>
      </w:r>
      <w:r>
        <w:rPr>
          <w:rFonts w:hint="eastAsia" w:ascii="Times New Roman" w:hAnsi="Times New Roman"/>
          <w:szCs w:val="24"/>
        </w:rPr>
        <w:t>非锚固段</w:t>
      </w:r>
      <w:r>
        <w:rPr>
          <w:rFonts w:ascii="Times New Roman" w:hAnsi="Times New Roman"/>
          <w:szCs w:val="24"/>
        </w:rPr>
        <w:t>长度</w:t>
      </w:r>
      <w:r>
        <w:rPr>
          <w:rFonts w:hint="eastAsia" w:ascii="Times New Roman" w:hAnsi="Times New Roman"/>
          <w:szCs w:val="24"/>
        </w:rPr>
        <w:t>（m）；</w:t>
      </w:r>
    </w:p>
    <w:p>
      <w:pPr>
        <w:widowControl w:val="0"/>
        <w:spacing w:line="480" w:lineRule="exact"/>
        <w:ind w:left="696" w:leftChars="290"/>
        <w:rPr>
          <w:rFonts w:ascii="Times New Roman" w:hAnsi="Times New Roman"/>
          <w:szCs w:val="24"/>
        </w:rPr>
      </w:pPr>
      <w:r>
        <w:rPr>
          <w:rFonts w:ascii="Times New Roman" w:hAnsi="Times New Roman"/>
          <w:i/>
          <w:position w:val="-6"/>
          <w:szCs w:val="24"/>
        </w:rPr>
        <w:object>
          <v:shape id="_x0000_i1150" o:spt="75" type="#_x0000_t75" style="height:11.1pt;width:11.85pt;" o:ole="t" filled="f" coordsize="21600,21600">
            <v:path/>
            <v:fill on="f" focussize="0,0"/>
            <v:stroke/>
            <v:imagedata r:id="rId451" o:title=""/>
            <o:lock v:ext="edit" aspectratio="t"/>
            <w10:wrap type="none"/>
            <w10:anchorlock/>
          </v:shape>
          <o:OLEObject Type="Embed" ProgID="Equation.3" ShapeID="_x0000_i1150" DrawAspect="Content" ObjectID="_1468075850" r:id="rId450">
            <o:LockedField>false</o:LockedField>
          </o:OLEObject>
        </w:object>
      </w:r>
      <w:r>
        <w:rPr>
          <w:rFonts w:ascii="Times New Roman" w:hAnsi="Times New Roman"/>
        </w:rPr>
        <w:t>——</w:t>
      </w:r>
      <w:r>
        <w:rPr>
          <w:rFonts w:hint="eastAsia" w:ascii="Times New Roman" w:hAnsi="Times New Roman"/>
          <w:szCs w:val="24"/>
        </w:rPr>
        <w:t>锚杆的倾角(</w:t>
      </w:r>
      <w:r>
        <w:rPr>
          <w:rFonts w:ascii="Times New Roman" w:hAnsi="Times New Roman"/>
          <w:szCs w:val="24"/>
        </w:rPr>
        <w:t>°</w:t>
      </w:r>
      <w:r>
        <w:rPr>
          <w:rFonts w:hint="eastAsia" w:ascii="Times New Roman" w:hAnsi="Times New Roman"/>
          <w:szCs w:val="24"/>
        </w:rPr>
        <w:t>)；</w:t>
      </w:r>
    </w:p>
    <w:p>
      <w:pPr>
        <w:widowControl w:val="0"/>
        <w:spacing w:line="480" w:lineRule="exact"/>
        <w:ind w:left="696" w:leftChars="290"/>
        <w:rPr>
          <w:rFonts w:ascii="Times New Roman" w:hAnsi="Times New Roman"/>
          <w:szCs w:val="24"/>
        </w:rPr>
      </w:pPr>
      <w:r>
        <w:rPr>
          <w:rFonts w:hint="eastAsia" w:ascii="Times New Roman" w:hAnsi="Times New Roman"/>
          <w:position w:val="-10"/>
          <w:szCs w:val="24"/>
        </w:rPr>
        <w:object>
          <v:shape id="_x0000_i1151" o:spt="75" type="#_x0000_t75" style="height:16.6pt;width:11.85pt;" o:ole="t" filled="f" coordsize="21600,21600">
            <v:path/>
            <v:fill on="f" focussize="0,0"/>
            <v:stroke/>
            <v:imagedata r:id="rId453" o:title=""/>
            <o:lock v:ext="edit" aspectratio="t"/>
            <w10:wrap type="none"/>
            <w10:anchorlock/>
          </v:shape>
          <o:OLEObject Type="Embed" ProgID="Equation.3" ShapeID="_x0000_i1151" DrawAspect="Content" ObjectID="_1468075851" r:id="rId452">
            <o:LockedField>false</o:LockedField>
          </o:OLEObject>
        </w:object>
      </w:r>
      <w:r>
        <w:rPr>
          <w:rFonts w:ascii="Times New Roman" w:hAnsi="Times New Roman"/>
        </w:rPr>
        <w:t>——</w:t>
      </w:r>
      <w:r>
        <w:rPr>
          <w:rFonts w:hint="eastAsia" w:ascii="Times New Roman" w:hAnsi="Times New Roman"/>
          <w:szCs w:val="24"/>
        </w:rPr>
        <w:t>锚杆的锚头中点至基坑底面的距离（m）；</w:t>
      </w:r>
    </w:p>
    <w:p>
      <w:pPr>
        <w:widowControl w:val="0"/>
        <w:spacing w:line="480" w:lineRule="exact"/>
        <w:ind w:left="1454" w:leftChars="279" w:hanging="784" w:hangingChars="327"/>
        <w:rPr>
          <w:rFonts w:ascii="Times New Roman" w:hAnsi="Times New Roman"/>
          <w:szCs w:val="24"/>
        </w:rPr>
      </w:pPr>
      <w:r>
        <w:rPr>
          <w:rFonts w:ascii="Times New Roman" w:hAnsi="Times New Roman"/>
          <w:i/>
          <w:position w:val="-10"/>
          <w:szCs w:val="24"/>
        </w:rPr>
        <w:object>
          <v:shape id="_x0000_i1152" o:spt="75" type="#_x0000_t75" style="height:16.6pt;width:13.45pt;" o:ole="t" filled="f" coordsize="21600,21600">
            <v:path/>
            <v:fill on="f" focussize="0,0"/>
            <v:stroke/>
            <v:imagedata r:id="rId455" o:title=""/>
            <o:lock v:ext="edit" aspectratio="t"/>
            <w10:wrap type="none"/>
            <w10:anchorlock/>
          </v:shape>
          <o:OLEObject Type="Embed" ProgID="Equation.3" ShapeID="_x0000_i1152" DrawAspect="Content" ObjectID="_1468075852" r:id="rId454">
            <o:LockedField>false</o:LockedField>
          </o:OLEObject>
        </w:object>
      </w:r>
      <w:r>
        <w:rPr>
          <w:rFonts w:ascii="Times New Roman" w:hAnsi="Times New Roman"/>
        </w:rPr>
        <w:t>——</w:t>
      </w:r>
      <w:r>
        <w:rPr>
          <w:rFonts w:hint="eastAsia" w:ascii="Times New Roman" w:hAnsi="Times New Roman"/>
          <w:szCs w:val="24"/>
        </w:rPr>
        <w:t>基坑底面至挡土构件嵌固段上基坑外侧主动土压力强度与基坑内侧被动土压力强度等值点O的距离（m）；对多层土地层，当存在多个等值点时应按其中最深处的等值点计算；</w:t>
      </w:r>
    </w:p>
    <w:p>
      <w:pPr>
        <w:widowControl w:val="0"/>
        <w:spacing w:line="480" w:lineRule="exact"/>
        <w:ind w:left="840" w:leftChars="350"/>
        <w:rPr>
          <w:rFonts w:ascii="Times New Roman" w:hAnsi="Times New Roman"/>
          <w:szCs w:val="24"/>
        </w:rPr>
      </w:pPr>
      <w:r>
        <w:rPr>
          <w:rFonts w:hint="eastAsia" w:ascii="Times New Roman" w:hAnsi="Times New Roman"/>
          <w:i/>
          <w:szCs w:val="24"/>
        </w:rPr>
        <w:t>d</w:t>
      </w:r>
      <w:r>
        <w:rPr>
          <w:rFonts w:ascii="Times New Roman" w:hAnsi="Times New Roman"/>
        </w:rPr>
        <w:t>——</w:t>
      </w:r>
      <w:r>
        <w:rPr>
          <w:rFonts w:hint="eastAsia" w:ascii="Times New Roman" w:hAnsi="Times New Roman"/>
          <w:szCs w:val="24"/>
        </w:rPr>
        <w:t>挡土构件的水平尺寸（m）；</w:t>
      </w:r>
    </w:p>
    <w:p>
      <w:pPr>
        <w:widowControl w:val="0"/>
        <w:spacing w:line="480" w:lineRule="exact"/>
        <w:ind w:left="720" w:leftChars="300"/>
        <w:rPr>
          <w:rFonts w:ascii="Times New Roman" w:hAnsi="Times New Roman"/>
          <w:szCs w:val="24"/>
        </w:rPr>
      </w:pPr>
      <w:r>
        <w:rPr>
          <w:position w:val="-10"/>
        </w:rPr>
        <w:object>
          <v:shape id="_x0000_i1153" o:spt="75" type="#_x0000_t75" style="height:16.6pt;width:15.8pt;" o:ole="t" filled="f" coordsize="21600,21600">
            <v:path/>
            <v:fill on="f" focussize="0,0"/>
            <v:stroke/>
            <v:imagedata r:id="rId457" o:title=""/>
            <o:lock v:ext="edit" aspectratio="t"/>
            <w10:wrap type="none"/>
            <w10:anchorlock/>
          </v:shape>
          <o:OLEObject Type="Embed" ProgID="Equation.3" ShapeID="_x0000_i1153" DrawAspect="Content" ObjectID="_1468075853" r:id="rId456">
            <o:LockedField>false</o:LockedField>
          </o:OLEObject>
        </w:object>
      </w:r>
      <w:r>
        <w:rPr>
          <w:rFonts w:ascii="Times New Roman" w:hAnsi="Times New Roman"/>
        </w:rPr>
        <w:t>——</w:t>
      </w:r>
      <w:r>
        <w:rPr>
          <w:rFonts w:hint="eastAsia" w:ascii="Times New Roman" w:hAnsi="Times New Roman"/>
          <w:szCs w:val="24"/>
        </w:rPr>
        <w:t>O点以上各土层按厚度加权的等效内摩擦角(</w:t>
      </w:r>
      <w:r>
        <w:rPr>
          <w:rFonts w:ascii="Times New Roman" w:hAnsi="Times New Roman"/>
          <w:szCs w:val="24"/>
        </w:rPr>
        <w:t>°</w:t>
      </w:r>
      <w:r>
        <w:rPr>
          <w:rFonts w:hint="eastAsia" w:ascii="Times New Roman" w:hAnsi="Times New Roman"/>
          <w:szCs w:val="24"/>
        </w:rPr>
        <w:t>)。</w:t>
      </w:r>
    </w:p>
    <w:p>
      <w:pPr>
        <w:widowControl w:val="0"/>
        <w:spacing w:line="480" w:lineRule="exact"/>
        <w:ind w:firstLine="840" w:firstLineChars="350"/>
        <w:rPr>
          <w:rFonts w:ascii="Times New Roman" w:hAnsi="Times New Roman"/>
          <w:szCs w:val="24"/>
        </w:rPr>
      </w:pPr>
      <w:r>
        <w:drawing>
          <wp:anchor distT="0" distB="0" distL="114300" distR="114300" simplePos="0" relativeHeight="251662336" behindDoc="1" locked="0" layoutInCell="1" allowOverlap="1">
            <wp:simplePos x="0" y="0"/>
            <wp:positionH relativeFrom="column">
              <wp:posOffset>1625600</wp:posOffset>
            </wp:positionH>
            <wp:positionV relativeFrom="paragraph">
              <wp:posOffset>104775</wp:posOffset>
            </wp:positionV>
            <wp:extent cx="2994025" cy="2583815"/>
            <wp:effectExtent l="0" t="0" r="8255" b="6985"/>
            <wp:wrapTight wrapText="bothSides">
              <wp:wrapPolygon>
                <wp:start x="0" y="0"/>
                <wp:lineTo x="0" y="21531"/>
                <wp:lineTo x="21440" y="21531"/>
                <wp:lineTo x="21440" y="0"/>
                <wp:lineTo x="0" y="0"/>
              </wp:wrapPolygon>
            </wp:wrapTight>
            <wp:docPr id="357" name="图片 3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true" noChangeArrowheads="true"/>
                    </pic:cNvPicPr>
                  </pic:nvPicPr>
                  <pic:blipFill>
                    <a:blip r:embed="rId458">
                      <a:extLst>
                        <a:ext uri="{28A0092B-C50C-407E-A947-70E740481C1C}">
                          <a14:useLocalDpi xmlns:a14="http://schemas.microsoft.com/office/drawing/2010/main" val="false"/>
                        </a:ext>
                      </a:extLst>
                    </a:blip>
                    <a:srcRect/>
                    <a:stretch>
                      <a:fillRect/>
                    </a:stretch>
                  </pic:blipFill>
                  <pic:spPr>
                    <a:xfrm>
                      <a:off x="0" y="0"/>
                      <a:ext cx="2994025" cy="2583815"/>
                    </a:xfrm>
                    <a:prstGeom prst="rect">
                      <a:avLst/>
                    </a:prstGeom>
                    <a:noFill/>
                    <a:ln>
                      <a:noFill/>
                    </a:ln>
                  </pic:spPr>
                </pic:pic>
              </a:graphicData>
            </a:graphic>
          </wp:anchor>
        </w:drawing>
      </w: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rPr>
          <w:rFonts w:ascii="Times New Roman" w:hAnsi="Times New Roman"/>
          <w:szCs w:val="24"/>
        </w:rPr>
      </w:pPr>
    </w:p>
    <w:p>
      <w:pPr>
        <w:widowControl w:val="0"/>
        <w:spacing w:line="480" w:lineRule="exact"/>
        <w:jc w:val="center"/>
        <w:rPr>
          <w:rFonts w:ascii="Times New Roman" w:hAnsi="Times New Roman"/>
          <w:sz w:val="21"/>
          <w:szCs w:val="21"/>
        </w:rPr>
      </w:pPr>
      <w:r>
        <w:rPr>
          <w:rFonts w:hint="eastAsia" w:ascii="Times New Roman" w:hAnsi="Times New Roman"/>
          <w:sz w:val="21"/>
          <w:szCs w:val="21"/>
        </w:rPr>
        <w:t>1－挡土构件；2－锚杆；3－理论直线滑动面</w:t>
      </w:r>
    </w:p>
    <w:p>
      <w:pPr>
        <w:bidi w:val="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图8.</w:t>
      </w:r>
      <w:r>
        <w:rPr>
          <w:rFonts w:hint="eastAsia" w:asciiTheme="minorEastAsia" w:hAnsiTheme="minorEastAsia" w:eastAsiaTheme="minorEastAsia" w:cstheme="minorEastAsia"/>
          <w:b/>
          <w:bCs/>
          <w:sz w:val="21"/>
          <w:szCs w:val="21"/>
          <w:lang w:eastAsia="zh-CN"/>
        </w:rPr>
        <w:t>5</w:t>
      </w:r>
      <w:r>
        <w:rPr>
          <w:rFonts w:hint="eastAsia" w:asciiTheme="minorEastAsia" w:hAnsiTheme="minorEastAsia" w:eastAsiaTheme="minorEastAsia" w:cstheme="minorEastAsia"/>
          <w:b/>
          <w:bCs/>
          <w:sz w:val="21"/>
          <w:szCs w:val="21"/>
        </w:rPr>
        <w:t>.9  理论直线滑动面</w:t>
      </w:r>
    </w:p>
    <w:p>
      <w:pPr>
        <w:widowControl w:val="0"/>
        <w:spacing w:line="480" w:lineRule="exact"/>
        <w:rPr>
          <w:rFonts w:hint="eastAsia" w:ascii="Times New Roman" w:hAnsi="Times New Roman"/>
          <w:b w:val="0"/>
          <w:bCs/>
          <w:szCs w:val="24"/>
        </w:rPr>
      </w:pPr>
      <w:bookmarkStart w:id="557" w:name="_Toc16584"/>
      <w:bookmarkStart w:id="558" w:name="_Toc11472"/>
      <w:r>
        <w:rPr>
          <w:rFonts w:hint="eastAsia" w:ascii="Times New Roman" w:hAnsi="Times New Roman"/>
          <w:b/>
          <w:szCs w:val="24"/>
        </w:rPr>
        <w:t>8.</w:t>
      </w:r>
      <w:r>
        <w:rPr>
          <w:rFonts w:hint="eastAsia" w:ascii="Times New Roman" w:hAnsi="Times New Roman"/>
          <w:b/>
          <w:szCs w:val="24"/>
          <w:lang w:eastAsia="zh-CN"/>
        </w:rPr>
        <w:t>5</w:t>
      </w:r>
      <w:r>
        <w:rPr>
          <w:rFonts w:hint="eastAsia" w:ascii="Times New Roman" w:hAnsi="Times New Roman"/>
          <w:b/>
          <w:szCs w:val="24"/>
        </w:rPr>
        <w:t xml:space="preserve">.10 </w:t>
      </w:r>
      <w:r>
        <w:rPr>
          <w:rFonts w:hint="eastAsia" w:ascii="Times New Roman" w:hAnsi="Times New Roman"/>
          <w:b w:val="0"/>
          <w:bCs/>
          <w:szCs w:val="24"/>
        </w:rPr>
        <w:t>锚杆杆体的受拉承载力应符合下式规定：</w:t>
      </w:r>
      <w:bookmarkEnd w:id="557"/>
      <w:bookmarkEnd w:id="558"/>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276" w:lineRule="auto"/>
              <w:jc w:val="right"/>
              <w:rPr>
                <w:rFonts w:ascii="Times New Roman" w:hAnsi="Times New Roman"/>
                <w:bCs/>
                <w:position w:val="-14"/>
                <w:szCs w:val="24"/>
              </w:rPr>
            </w:pPr>
            <w:r>
              <w:rPr>
                <w:rFonts w:ascii="Times New Roman" w:hAnsi="Times New Roman"/>
                <w:bCs/>
                <w:position w:val="-14"/>
                <w:szCs w:val="24"/>
              </w:rPr>
              <w:object>
                <v:shape id="_x0000_i1154" o:spt="75" type="#_x0000_t75" style="height:19pt;width:53.8pt;" o:ole="t" filled="f" coordsize="21600,21600">
                  <v:path/>
                  <v:fill on="f" focussize="0,0"/>
                  <v:stroke/>
                  <v:imagedata r:id="rId460" o:title=""/>
                  <o:lock v:ext="edit" aspectratio="t"/>
                  <w10:wrap type="none"/>
                  <w10:anchorlock/>
                </v:shape>
                <o:OLEObject Type="Embed" ProgID="Equation.3" ShapeID="_x0000_i1154" DrawAspect="Content" ObjectID="_1468075854" r:id="rId459">
                  <o:LockedField>false</o:LockedField>
                </o:OLEObject>
              </w:object>
            </w:r>
          </w:p>
        </w:tc>
        <w:tc>
          <w:tcPr>
            <w:tcW w:w="4927" w:type="dxa"/>
          </w:tcPr>
          <w:p>
            <w:pPr>
              <w:widowControl w:val="0"/>
              <w:spacing w:line="480" w:lineRule="auto"/>
              <w:jc w:val="right"/>
              <w:rPr>
                <w:rFonts w:ascii="Times New Roman" w:hAnsi="Times New Roman"/>
                <w:bCs/>
                <w:position w:val="-14"/>
                <w:szCs w:val="24"/>
              </w:rPr>
            </w:pPr>
            <w:r>
              <w:rPr>
                <w:rFonts w:hint="eastAsia" w:ascii="Times New Roman" w:hAnsi="Times New Roman"/>
                <w:bCs/>
                <w:szCs w:val="24"/>
              </w:rPr>
              <w:t>（8.</w:t>
            </w:r>
            <w:r>
              <w:rPr>
                <w:rFonts w:hint="eastAsia" w:ascii="Times New Roman" w:hAnsi="Times New Roman"/>
                <w:bCs/>
                <w:szCs w:val="24"/>
                <w:lang w:eastAsia="zh-CN"/>
              </w:rPr>
              <w:t>5</w:t>
            </w:r>
            <w:r>
              <w:rPr>
                <w:rFonts w:hint="eastAsia" w:ascii="Times New Roman" w:hAnsi="Times New Roman"/>
                <w:bCs/>
                <w:szCs w:val="24"/>
              </w:rPr>
              <w:t>.10）</w:t>
            </w:r>
          </w:p>
        </w:tc>
      </w:tr>
    </w:tbl>
    <w:p>
      <w:pPr>
        <w:widowControl w:val="0"/>
        <w:spacing w:line="480" w:lineRule="exact"/>
        <w:rPr>
          <w:rFonts w:ascii="Times New Roman" w:hAnsi="Times New Roman"/>
          <w:szCs w:val="24"/>
        </w:rPr>
      </w:pPr>
      <w:r>
        <w:rPr>
          <w:rFonts w:hint="eastAsia" w:ascii="Times New Roman" w:hAnsi="Times New Roman"/>
          <w:szCs w:val="24"/>
        </w:rPr>
        <w:t>式中：</w:t>
      </w:r>
      <w:r>
        <w:rPr>
          <w:rFonts w:ascii="Times New Roman" w:hAnsi="Times New Roman"/>
          <w:i/>
          <w:szCs w:val="24"/>
        </w:rPr>
        <w:t>N</w:t>
      </w:r>
      <w:r>
        <w:rPr>
          <w:rFonts w:ascii="Times New Roman" w:hAnsi="Times New Roman"/>
        </w:rPr>
        <w:t>——</w:t>
      </w:r>
      <w:r>
        <w:rPr>
          <w:rFonts w:ascii="Times New Roman" w:hAnsi="Times New Roman"/>
          <w:szCs w:val="24"/>
        </w:rPr>
        <w:t>锚</w:t>
      </w:r>
      <w:r>
        <w:rPr>
          <w:rFonts w:hint="eastAsia" w:ascii="Times New Roman" w:hAnsi="Times New Roman"/>
          <w:szCs w:val="24"/>
        </w:rPr>
        <w:t>杆轴向拉力设计值（kN），按</w:t>
      </w:r>
      <w:r>
        <w:rPr>
          <w:rFonts w:hint="eastAsia" w:ascii="Times New Roman" w:hAnsi="Times New Roman"/>
          <w:szCs w:val="24"/>
          <w:lang w:eastAsia="zh-CN"/>
        </w:rPr>
        <w:t>本标准</w:t>
      </w:r>
      <w:r>
        <w:rPr>
          <w:rFonts w:hint="eastAsia" w:ascii="Times New Roman" w:hAnsi="Times New Roman"/>
          <w:szCs w:val="24"/>
        </w:rPr>
        <w:t>第3.0.8的规定计算；</w:t>
      </w:r>
    </w:p>
    <w:p>
      <w:pPr>
        <w:widowControl w:val="0"/>
        <w:spacing w:line="480" w:lineRule="exact"/>
        <w:ind w:left="1399" w:leftChars="233" w:hanging="840" w:hangingChars="350"/>
        <w:rPr>
          <w:rFonts w:ascii="Times New Roman" w:hAnsi="Times New Roman"/>
          <w:szCs w:val="24"/>
        </w:rPr>
      </w:pPr>
      <w:r>
        <w:rPr>
          <w:rFonts w:ascii="Times New Roman" w:hAnsi="Times New Roman"/>
          <w:i/>
          <w:position w:val="-14"/>
          <w:szCs w:val="24"/>
        </w:rPr>
        <w:object>
          <v:shape id="_x0000_i1155" o:spt="75" type="#_x0000_t75" style="height:19pt;width:16.6pt;" o:ole="t" filled="f" coordsize="21600,21600">
            <v:path/>
            <v:fill on="f" focussize="0,0"/>
            <v:stroke/>
            <v:imagedata r:id="rId462" o:title=""/>
            <o:lock v:ext="edit" aspectratio="t"/>
            <w10:wrap type="none"/>
            <w10:anchorlock/>
          </v:shape>
          <o:OLEObject Type="Embed" ProgID="Equation.3" ShapeID="_x0000_i1155" DrawAspect="Content" ObjectID="_1468075855" r:id="rId461">
            <o:LockedField>false</o:LockedField>
          </o:OLEObject>
        </w:object>
      </w:r>
      <w:r>
        <w:rPr>
          <w:rFonts w:ascii="Times New Roman" w:hAnsi="Times New Roman"/>
        </w:rPr>
        <w:t>——</w:t>
      </w:r>
      <w:r>
        <w:rPr>
          <w:rFonts w:hint="eastAsia" w:ascii="Times New Roman" w:hAnsi="Times New Roman"/>
          <w:szCs w:val="24"/>
        </w:rPr>
        <w:t>预应力筋抗拉强度设计值（kPa）；当锚杆杆体采用普通钢筋时，取普通钢筋强度设计值；</w:t>
      </w:r>
    </w:p>
    <w:p>
      <w:pPr>
        <w:widowControl w:val="0"/>
        <w:spacing w:line="480" w:lineRule="exact"/>
        <w:ind w:left="600" w:leftChars="250"/>
        <w:rPr>
          <w:rFonts w:ascii="Times New Roman" w:hAnsi="Times New Roman"/>
          <w:szCs w:val="24"/>
        </w:rPr>
      </w:pPr>
      <w:r>
        <w:rPr>
          <w:rFonts w:ascii="Times New Roman" w:hAnsi="Times New Roman"/>
          <w:i/>
          <w:position w:val="-14"/>
          <w:szCs w:val="24"/>
        </w:rPr>
        <w:object>
          <v:shape id="_x0000_i1156" o:spt="75" type="#_x0000_t75" style="height:19pt;width:15.05pt;" o:ole="t" filled="f" coordsize="21600,21600">
            <v:path/>
            <v:fill on="f" focussize="0,0"/>
            <v:stroke/>
            <v:imagedata r:id="rId464" o:title=""/>
            <o:lock v:ext="edit" aspectratio="t"/>
            <w10:wrap type="none"/>
            <w10:anchorlock/>
          </v:shape>
          <o:OLEObject Type="Embed" ProgID="Equation.3" ShapeID="_x0000_i1156" DrawAspect="Content" ObjectID="_1468075856" r:id="rId463">
            <o:LockedField>false</o:LockedField>
          </o:OLEObject>
        </w:object>
      </w:r>
      <w:r>
        <w:rPr>
          <w:rFonts w:ascii="Times New Roman" w:hAnsi="Times New Roman"/>
        </w:rPr>
        <w:t>——</w:t>
      </w:r>
      <w:r>
        <w:rPr>
          <w:rFonts w:hint="eastAsia" w:ascii="Times New Roman" w:hAnsi="Times New Roman"/>
          <w:szCs w:val="24"/>
        </w:rPr>
        <w:t>预应力筋的截面面积（m</w:t>
      </w:r>
      <w:r>
        <w:rPr>
          <w:rFonts w:hint="eastAsia" w:ascii="Times New Roman" w:hAnsi="Times New Roman"/>
          <w:szCs w:val="24"/>
          <w:vertAlign w:val="superscript"/>
        </w:rPr>
        <w:t>2</w:t>
      </w:r>
      <w:r>
        <w:rPr>
          <w:rFonts w:hint="eastAsia" w:ascii="Times New Roman" w:hAnsi="Times New Roman"/>
          <w:szCs w:val="24"/>
        </w:rPr>
        <w:t>）。</w:t>
      </w:r>
    </w:p>
    <w:p>
      <w:pPr>
        <w:widowControl w:val="0"/>
        <w:spacing w:line="480" w:lineRule="exact"/>
        <w:rPr>
          <w:rFonts w:ascii="Times New Roman" w:hAnsi="Times New Roman"/>
          <w:kern w:val="0"/>
          <w:szCs w:val="24"/>
        </w:rPr>
      </w:pPr>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.11</w:t>
      </w:r>
      <w:r>
        <w:rPr>
          <w:rFonts w:ascii="Times New Roman" w:hAnsi="Times New Roman"/>
          <w:b w:val="0"/>
          <w:bCs/>
          <w:kern w:val="0"/>
          <w:szCs w:val="24"/>
        </w:rPr>
        <w:t xml:space="preserve"> </w:t>
      </w:r>
      <w:r>
        <w:rPr>
          <w:rFonts w:hint="eastAsia" w:ascii="Times New Roman" w:hAnsi="Times New Roman"/>
          <w:b w:val="0"/>
          <w:bCs/>
          <w:kern w:val="0"/>
          <w:szCs w:val="24"/>
        </w:rPr>
        <w:t>锚杆锁定值宜取锚杆轴向拉力标准值的0.75倍～0.9倍，且应与</w:t>
      </w:r>
      <w:r>
        <w:rPr>
          <w:rFonts w:hint="eastAsia" w:ascii="Times New Roman" w:hAnsi="Times New Roman"/>
          <w:b w:val="0"/>
          <w:bCs/>
          <w:kern w:val="0"/>
          <w:szCs w:val="24"/>
          <w:lang w:eastAsia="zh-CN"/>
        </w:rPr>
        <w:t>本标准</w:t>
      </w:r>
      <w:r>
        <w:rPr>
          <w:rFonts w:hint="eastAsia" w:ascii="Times New Roman" w:hAnsi="Times New Roman"/>
          <w:b w:val="0"/>
          <w:bCs/>
          <w:kern w:val="0"/>
          <w:szCs w:val="24"/>
        </w:rPr>
        <w:t>第</w:t>
      </w:r>
      <w:r>
        <w:rPr>
          <w:rFonts w:hint="eastAsia" w:ascii="Times New Roman" w:hAnsi="Times New Roman"/>
          <w:kern w:val="0"/>
          <w:szCs w:val="24"/>
        </w:rPr>
        <w:t>8.1.13条中的锚杆预加轴向拉力一致。</w:t>
      </w:r>
    </w:p>
    <w:p>
      <w:pPr>
        <w:widowControl w:val="0"/>
        <w:spacing w:line="480" w:lineRule="exact"/>
        <w:rPr>
          <w:rFonts w:hint="eastAsia" w:ascii="Times New Roman" w:hAnsi="Times New Roman"/>
          <w:b w:val="0"/>
          <w:bCs/>
          <w:szCs w:val="24"/>
        </w:rPr>
      </w:pPr>
      <w:bookmarkStart w:id="559" w:name="_Toc26730"/>
      <w:bookmarkStart w:id="560" w:name="_Toc128"/>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.12</w:t>
      </w:r>
      <w:r>
        <w:rPr>
          <w:rFonts w:hint="eastAsia" w:ascii="Times New Roman" w:hAnsi="Times New Roman"/>
          <w:b w:val="0"/>
          <w:bCs/>
          <w:szCs w:val="24"/>
        </w:rPr>
        <w:t xml:space="preserve"> 锚杆的布置应符合下列规定：</w:t>
      </w:r>
      <w:bookmarkEnd w:id="559"/>
      <w:bookmarkEnd w:id="560"/>
    </w:p>
    <w:p>
      <w:pPr>
        <w:widowControl w:val="0"/>
        <w:spacing w:line="480" w:lineRule="exact"/>
        <w:ind w:firstLine="480" w:firstLineChars="200"/>
        <w:rPr>
          <w:rFonts w:ascii="Times New Roman" w:hAnsi="Times New Roman"/>
          <w:szCs w:val="24"/>
        </w:rPr>
      </w:pPr>
      <w:r>
        <w:rPr>
          <w:rFonts w:hint="eastAsia" w:ascii="Times New Roman" w:hAnsi="Times New Roman"/>
          <w:szCs w:val="24"/>
        </w:rPr>
        <w:t>1 锚杆的</w:t>
      </w:r>
      <w:r>
        <w:rPr>
          <w:rFonts w:ascii="Times New Roman" w:hAnsi="Times New Roman"/>
          <w:szCs w:val="24"/>
        </w:rPr>
        <w:t>水平间距不宜小于1.5m</w:t>
      </w:r>
      <w:r>
        <w:rPr>
          <w:rFonts w:hint="eastAsia" w:ascii="Times New Roman" w:hAnsi="Times New Roman"/>
          <w:szCs w:val="24"/>
        </w:rPr>
        <w:t>；对多层</w:t>
      </w:r>
      <w:r>
        <w:rPr>
          <w:rFonts w:ascii="Times New Roman" w:hAnsi="Times New Roman"/>
          <w:szCs w:val="24"/>
        </w:rPr>
        <w:t>锚杆</w:t>
      </w:r>
      <w:r>
        <w:rPr>
          <w:rFonts w:hint="eastAsia" w:ascii="Times New Roman" w:hAnsi="Times New Roman"/>
          <w:szCs w:val="24"/>
        </w:rPr>
        <w:t>，其竖向</w:t>
      </w:r>
      <w:r>
        <w:rPr>
          <w:rFonts w:ascii="Times New Roman" w:hAnsi="Times New Roman"/>
          <w:szCs w:val="24"/>
        </w:rPr>
        <w:t>间距不宜小于2.0m</w:t>
      </w:r>
      <w:r>
        <w:rPr>
          <w:rFonts w:hint="eastAsia" w:ascii="Times New Roman" w:hAnsi="Times New Roman"/>
          <w:szCs w:val="24"/>
        </w:rPr>
        <w:t>；当锚杆的间距小于1.5m时，应根据群锚效应对锚杆抗拔承载力进行折减或改变相邻锚杆的倾角；</w:t>
      </w:r>
    </w:p>
    <w:p>
      <w:pPr>
        <w:widowControl w:val="0"/>
        <w:spacing w:line="480" w:lineRule="exact"/>
        <w:ind w:firstLine="480" w:firstLineChars="200"/>
        <w:rPr>
          <w:rFonts w:hint="eastAsia" w:ascii="Times New Roman" w:hAnsi="Times New Roman"/>
          <w:szCs w:val="24"/>
        </w:rPr>
      </w:pPr>
      <w:bookmarkStart w:id="561" w:name="_Toc16551"/>
      <w:bookmarkStart w:id="562" w:name="_Toc15834"/>
      <w:r>
        <w:rPr>
          <w:rFonts w:hint="eastAsia" w:ascii="Times New Roman" w:hAnsi="Times New Roman"/>
          <w:szCs w:val="24"/>
        </w:rPr>
        <w:t>2 锚杆锚固段的上覆土层厚度不宜小于4.0m；</w:t>
      </w:r>
      <w:bookmarkEnd w:id="561"/>
      <w:bookmarkEnd w:id="562"/>
    </w:p>
    <w:p>
      <w:pPr>
        <w:widowControl w:val="0"/>
        <w:spacing w:line="480" w:lineRule="exact"/>
        <w:ind w:firstLine="480" w:firstLineChars="200"/>
        <w:rPr>
          <w:rFonts w:ascii="Times New Roman" w:hAnsi="Times New Roman"/>
          <w:szCs w:val="24"/>
        </w:rPr>
      </w:pPr>
      <w:r>
        <w:rPr>
          <w:rFonts w:hint="eastAsia" w:ascii="Times New Roman" w:hAnsi="Times New Roman"/>
          <w:szCs w:val="24"/>
        </w:rPr>
        <w:t xml:space="preserve">3 </w:t>
      </w:r>
      <w:r>
        <w:rPr>
          <w:rFonts w:ascii="Times New Roman" w:hAnsi="Times New Roman"/>
          <w:szCs w:val="24"/>
        </w:rPr>
        <w:t>锚杆倾角宜</w:t>
      </w:r>
      <w:r>
        <w:rPr>
          <w:rFonts w:hint="eastAsia" w:ascii="Times New Roman" w:hAnsi="Times New Roman"/>
          <w:szCs w:val="24"/>
        </w:rPr>
        <w:t>取</w:t>
      </w:r>
      <w:r>
        <w:rPr>
          <w:rFonts w:ascii="Times New Roman" w:hAnsi="Times New Roman"/>
          <w:szCs w:val="24"/>
        </w:rPr>
        <w:t>15°</w:t>
      </w:r>
      <w:r>
        <w:rPr>
          <w:rFonts w:hint="eastAsia" w:ascii="Times New Roman" w:hAnsi="Times New Roman"/>
          <w:szCs w:val="24"/>
        </w:rPr>
        <w:t>～</w:t>
      </w:r>
      <w:r>
        <w:rPr>
          <w:rFonts w:ascii="Times New Roman" w:hAnsi="Times New Roman"/>
          <w:szCs w:val="24"/>
        </w:rPr>
        <w:t>25°，不应大于45°</w:t>
      </w:r>
      <w:r>
        <w:rPr>
          <w:rFonts w:hint="eastAsia" w:ascii="Times New Roman" w:hAnsi="Times New Roman"/>
          <w:szCs w:val="24"/>
        </w:rPr>
        <w:t>，不应小于10</w:t>
      </w:r>
      <w:r>
        <w:rPr>
          <w:rFonts w:ascii="Times New Roman" w:hAnsi="Times New Roman"/>
          <w:szCs w:val="24"/>
        </w:rPr>
        <w:t>°</w:t>
      </w:r>
      <w:r>
        <w:rPr>
          <w:rFonts w:hint="eastAsia" w:ascii="Times New Roman" w:hAnsi="Times New Roman"/>
          <w:szCs w:val="24"/>
        </w:rPr>
        <w:t>；锚杆的锚固段宜设置在强度较高的土层内；</w:t>
      </w:r>
    </w:p>
    <w:p>
      <w:pPr>
        <w:pStyle w:val="29"/>
        <w:widowControl w:val="0"/>
        <w:spacing w:before="0" w:beforeAutospacing="0" w:after="0" w:afterAutospacing="0" w:line="48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4 当锚杆上方存在天然地基的建筑物或地下构筑物时，宜避开易塌孔、变形的地层。</w:t>
      </w:r>
    </w:p>
    <w:p>
      <w:pPr>
        <w:bidi w:val="0"/>
        <w:rPr>
          <w:rFonts w:hint="eastAsia"/>
          <w:lang w:val="en-US" w:eastAsia="zh-CN"/>
        </w:rPr>
      </w:pPr>
      <w:bookmarkStart w:id="563" w:name="_Toc29246"/>
      <w:bookmarkStart w:id="564" w:name="_Toc18485"/>
      <w:r>
        <w:rPr>
          <w:rFonts w:hint="eastAsia" w:ascii="Times New Roman" w:hAnsi="Times New Roman"/>
          <w:b/>
          <w:szCs w:val="24"/>
          <w:lang w:val="en-US" w:eastAsia="zh-CN"/>
        </w:rPr>
        <w:t xml:space="preserve">8.5.13 </w:t>
      </w:r>
      <w:r>
        <w:rPr>
          <w:rFonts w:hint="eastAsia" w:ascii="Calibri" w:eastAsia="宋体"/>
          <w:lang w:val="en-US" w:eastAsia="zh-CN"/>
        </w:rPr>
        <w:t>锚杆构造及材料选用应符合下列规定：</w:t>
      </w:r>
      <w:bookmarkEnd w:id="563"/>
      <w:bookmarkEnd w:id="564"/>
    </w:p>
    <w:p>
      <w:pPr>
        <w:widowControl w:val="0"/>
        <w:spacing w:line="480" w:lineRule="exact"/>
        <w:ind w:firstLine="480" w:firstLineChars="200"/>
        <w:rPr>
          <w:rFonts w:ascii="Times New Roman" w:hAnsi="Times New Roman"/>
          <w:szCs w:val="24"/>
        </w:rPr>
      </w:pPr>
      <w:r>
        <w:rPr>
          <w:rFonts w:hint="eastAsia" w:ascii="Times New Roman" w:hAnsi="Times New Roman"/>
          <w:szCs w:val="24"/>
        </w:rPr>
        <w:t>1 锚杆成孔直径宜取100m</w:t>
      </w:r>
      <w:r>
        <w:rPr>
          <w:rFonts w:hint="eastAsia" w:ascii="Times New Roman" w:hAnsi="Times New Roman"/>
          <w:color w:val="auto"/>
          <w:szCs w:val="24"/>
        </w:rPr>
        <w:t>m～200mm；扩</w:t>
      </w:r>
      <w:r>
        <w:rPr>
          <w:rFonts w:hint="eastAsia" w:ascii="Times New Roman" w:hAnsi="Times New Roman"/>
          <w:szCs w:val="24"/>
        </w:rPr>
        <w:t xml:space="preserve">大头锚杆或扩孔锚杆最大孔径不宜大于锚杆间距的1/6； </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 xml:space="preserve">2 </w:t>
      </w:r>
      <w:r>
        <w:rPr>
          <w:rFonts w:ascii="Times New Roman" w:hAnsi="Times New Roman"/>
          <w:szCs w:val="24"/>
        </w:rPr>
        <w:t>锚杆自由段</w:t>
      </w:r>
      <w:r>
        <w:rPr>
          <w:rFonts w:hint="eastAsia" w:ascii="Times New Roman" w:hAnsi="Times New Roman"/>
          <w:szCs w:val="24"/>
        </w:rPr>
        <w:t>的</w:t>
      </w:r>
      <w:r>
        <w:rPr>
          <w:rFonts w:ascii="Times New Roman" w:hAnsi="Times New Roman"/>
          <w:szCs w:val="24"/>
        </w:rPr>
        <w:t>长度不</w:t>
      </w:r>
      <w:r>
        <w:rPr>
          <w:rFonts w:hint="eastAsia" w:ascii="Times New Roman" w:hAnsi="Times New Roman"/>
          <w:szCs w:val="24"/>
        </w:rPr>
        <w:t>应</w:t>
      </w:r>
      <w:r>
        <w:rPr>
          <w:rFonts w:ascii="Times New Roman" w:hAnsi="Times New Roman"/>
          <w:szCs w:val="24"/>
        </w:rPr>
        <w:t>小于5m</w:t>
      </w:r>
      <w:r>
        <w:rPr>
          <w:rFonts w:hint="eastAsia" w:ascii="Times New Roman" w:hAnsi="Times New Roman"/>
          <w:szCs w:val="24"/>
        </w:rPr>
        <w:t>，且穿过</w:t>
      </w:r>
      <w:r>
        <w:rPr>
          <w:rFonts w:ascii="Times New Roman" w:hAnsi="Times New Roman"/>
          <w:szCs w:val="24"/>
        </w:rPr>
        <w:t>潜在滑</w:t>
      </w:r>
      <w:r>
        <w:rPr>
          <w:rFonts w:hint="eastAsia" w:ascii="Times New Roman" w:hAnsi="Times New Roman"/>
          <w:szCs w:val="24"/>
        </w:rPr>
        <w:t>动</w:t>
      </w:r>
      <w:r>
        <w:rPr>
          <w:rFonts w:ascii="Times New Roman" w:hAnsi="Times New Roman"/>
          <w:szCs w:val="24"/>
        </w:rPr>
        <w:t>面</w:t>
      </w:r>
      <w:r>
        <w:rPr>
          <w:rFonts w:hint="eastAsia" w:ascii="Times New Roman" w:hAnsi="Times New Roman"/>
          <w:szCs w:val="24"/>
        </w:rPr>
        <w:t>进入稳定土层的长度不应小于1.5</w:t>
      </w:r>
      <w:r>
        <w:rPr>
          <w:rFonts w:ascii="Times New Roman" w:hAnsi="Times New Roman"/>
          <w:szCs w:val="24"/>
        </w:rPr>
        <w:t>m；</w:t>
      </w:r>
      <w:r>
        <w:rPr>
          <w:rFonts w:hint="eastAsia" w:ascii="Times New Roman" w:hAnsi="Times New Roman"/>
          <w:szCs w:val="24"/>
        </w:rPr>
        <w:t>杆体在自由段应设置隔离套管；</w:t>
      </w:r>
    </w:p>
    <w:p>
      <w:pPr>
        <w:widowControl w:val="0"/>
        <w:spacing w:line="480" w:lineRule="exact"/>
        <w:ind w:firstLine="480" w:firstLineChars="200"/>
        <w:rPr>
          <w:rFonts w:hint="eastAsia" w:ascii="Times New Roman" w:hAnsi="Times New Roman"/>
          <w:szCs w:val="24"/>
        </w:rPr>
      </w:pPr>
      <w:bookmarkStart w:id="565" w:name="_Toc18348"/>
      <w:bookmarkStart w:id="566" w:name="_Toc3752"/>
      <w:r>
        <w:rPr>
          <w:rFonts w:hint="eastAsia" w:ascii="Times New Roman" w:hAnsi="Times New Roman"/>
          <w:szCs w:val="24"/>
        </w:rPr>
        <w:t>3 锚杆杆体的外露长度应满足腰梁、台座尺寸及张拉锁定的要求；</w:t>
      </w:r>
      <w:bookmarkEnd w:id="565"/>
      <w:bookmarkEnd w:id="566"/>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应沿锚杆杆体全长设置定位支架；定位支架应能使相邻定位支架中点处锚杆杆体的注浆固结体保护层厚度不小于10mm，定位支架的间距宜根据锚杆杆体的组装刚度确定，对自由段宜取1.5m～2.0m；对锚固段宜取1.0m～1.5m；定位支架应能使各根钢绞线相互分离；</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锚杆杆体用钢绞线应符合现行国家标准《预应力混凝土用钢绞线》GB/T5224的有关规定；</w:t>
      </w:r>
    </w:p>
    <w:p>
      <w:pPr>
        <w:widowControl w:val="0"/>
        <w:spacing w:line="480" w:lineRule="exact"/>
        <w:ind w:firstLine="480" w:firstLineChars="200"/>
        <w:rPr>
          <w:rFonts w:hint="eastAsia" w:ascii="Times New Roman" w:hAnsi="Times New Roman"/>
          <w:szCs w:val="24"/>
        </w:rPr>
      </w:pPr>
      <w:bookmarkStart w:id="567" w:name="_Toc29204"/>
      <w:bookmarkStart w:id="568" w:name="_Toc20438"/>
      <w:r>
        <w:rPr>
          <w:rFonts w:hint="eastAsia" w:ascii="Times New Roman" w:hAnsi="Times New Roman"/>
          <w:szCs w:val="24"/>
        </w:rPr>
        <w:t>6 钢筋锚杆的杆体宜选用HRB400、HRB500螺纹钢筋；</w:t>
      </w:r>
      <w:bookmarkEnd w:id="567"/>
      <w:bookmarkEnd w:id="568"/>
    </w:p>
    <w:p>
      <w:pPr>
        <w:widowControl w:val="0"/>
        <w:spacing w:line="480" w:lineRule="exact"/>
        <w:ind w:firstLine="480" w:firstLineChars="200"/>
        <w:rPr>
          <w:rFonts w:ascii="Times New Roman" w:hAnsi="Times New Roman"/>
          <w:szCs w:val="24"/>
        </w:rPr>
      </w:pPr>
      <w:r>
        <w:rPr>
          <w:rFonts w:hint="eastAsia" w:ascii="Times New Roman" w:hAnsi="Times New Roman"/>
          <w:szCs w:val="24"/>
        </w:rPr>
        <w:t>7 钢绞线用锚具应符合现行国家标准《预应力筋用锚具、夹具和连接器》GB/T14370的规定；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8 钢筋锚杆采用千斤顶张拉后对螺栓进行紧固的锁定方法，螺栓与杆体钢筋的连接、螺母的规格应满足锚杆拉力的要求；</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 xml:space="preserve">9 </w:t>
      </w:r>
      <w:r>
        <w:rPr>
          <w:rFonts w:ascii="Times New Roman" w:hAnsi="Times New Roman"/>
          <w:szCs w:val="24"/>
        </w:rPr>
        <w:t>锚杆</w:t>
      </w:r>
      <w:r>
        <w:rPr>
          <w:rFonts w:hint="eastAsia" w:ascii="Times New Roman" w:hAnsi="Times New Roman"/>
          <w:szCs w:val="24"/>
        </w:rPr>
        <w:t>注浆应</w:t>
      </w:r>
      <w:r>
        <w:rPr>
          <w:rFonts w:ascii="Times New Roman" w:hAnsi="Times New Roman"/>
          <w:szCs w:val="24"/>
        </w:rPr>
        <w:t>采用水泥浆或水泥砂浆，</w:t>
      </w:r>
      <w:r>
        <w:rPr>
          <w:rFonts w:hint="eastAsia" w:ascii="Times New Roman" w:hAnsi="Times New Roman"/>
          <w:szCs w:val="24"/>
        </w:rPr>
        <w:t>注浆</w:t>
      </w:r>
      <w:r>
        <w:rPr>
          <w:rFonts w:ascii="Times New Roman" w:hAnsi="Times New Roman"/>
          <w:szCs w:val="24"/>
        </w:rPr>
        <w:t>固</w:t>
      </w:r>
      <w:r>
        <w:rPr>
          <w:rFonts w:hint="eastAsia" w:ascii="Times New Roman" w:hAnsi="Times New Roman"/>
          <w:szCs w:val="24"/>
        </w:rPr>
        <w:t>结</w:t>
      </w:r>
      <w:r>
        <w:rPr>
          <w:rFonts w:ascii="Times New Roman" w:hAnsi="Times New Roman"/>
          <w:szCs w:val="24"/>
        </w:rPr>
        <w:t>体强度不宜低于</w:t>
      </w:r>
      <w:r>
        <w:rPr>
          <w:rFonts w:hint="eastAsia" w:ascii="Times New Roman" w:hAnsi="Times New Roman"/>
          <w:szCs w:val="24"/>
        </w:rPr>
        <w:t>20MPa，荷载分散型不宜低于35MPa。</w:t>
      </w:r>
    </w:p>
    <w:p>
      <w:pPr>
        <w:widowControl w:val="0"/>
        <w:spacing w:line="480" w:lineRule="exact"/>
        <w:rPr>
          <w:rFonts w:ascii="Times New Roman" w:hAnsi="Times New Roman"/>
          <w:bCs/>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.14</w:t>
      </w:r>
      <w:r>
        <w:rPr>
          <w:rFonts w:hint="eastAsia" w:ascii="Times New Roman" w:hAnsi="Times New Roman"/>
          <w:b/>
          <w:szCs w:val="24"/>
        </w:rPr>
        <w:t xml:space="preserve"> </w:t>
      </w:r>
      <w:r>
        <w:rPr>
          <w:rFonts w:hint="eastAsia" w:ascii="Times New Roman" w:hAnsi="Times New Roman"/>
          <w:szCs w:val="24"/>
        </w:rPr>
        <w:t>锚杆腰梁可采用型钢组合梁或混凝土梁。锚杆腰梁应按受弯构件设计。其截面承载力应符合现行国家标准的规定，当锚杆锚固在混凝土冠梁上时，冠梁应按受弯构件设计。</w:t>
      </w:r>
    </w:p>
    <w:p>
      <w:pPr>
        <w:widowControl w:val="0"/>
        <w:spacing w:line="480" w:lineRule="exact"/>
        <w:rPr>
          <w:rFonts w:ascii="Times New Roman" w:hAnsi="Times New Roman"/>
          <w:bCs/>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.15 </w:t>
      </w:r>
      <w:r>
        <w:rPr>
          <w:rFonts w:hint="eastAsia" w:ascii="Times New Roman" w:hAnsi="Times New Roman"/>
          <w:bCs/>
          <w:szCs w:val="24"/>
        </w:rPr>
        <w:t>锚杆腰梁应根据实际约束条件按连续梁或简支梁计算。计算腰梁的内力时，腰梁的荷载应取结构分析时得出的支点力设计值。</w:t>
      </w:r>
    </w:p>
    <w:p>
      <w:pPr>
        <w:widowControl w:val="0"/>
        <w:spacing w:line="480" w:lineRule="exact"/>
        <w:rPr>
          <w:rFonts w:ascii="Times New Roman" w:hAnsi="Times New Roman"/>
          <w:szCs w:val="24"/>
        </w:rPr>
      </w:pPr>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.16</w:t>
      </w:r>
      <w:r>
        <w:rPr>
          <w:rFonts w:hint="eastAsia" w:ascii="Times New Roman" w:hAnsi="Times New Roman"/>
          <w:kern w:val="0"/>
          <w:szCs w:val="24"/>
        </w:rPr>
        <w:t xml:space="preserve"> </w:t>
      </w:r>
      <w:r>
        <w:rPr>
          <w:rFonts w:hint="eastAsia" w:ascii="Times New Roman" w:hAnsi="Times New Roman"/>
          <w:szCs w:val="24"/>
        </w:rPr>
        <w:t>型钢组合腰梁可选用双槽钢或双工字钢，槽钢之间或工字钢之间应用缀板</w:t>
      </w:r>
      <w:r>
        <w:rPr>
          <w:rFonts w:hint="eastAsia" w:ascii="Times New Roman" w:hAnsi="Times New Roman"/>
          <w:kern w:val="0"/>
          <w:szCs w:val="24"/>
        </w:rPr>
        <w:t>焊接为整体构件，</w:t>
      </w:r>
      <w:r>
        <w:rPr>
          <w:rFonts w:hint="eastAsia" w:ascii="Times New Roman" w:hAnsi="Times New Roman"/>
          <w:szCs w:val="24"/>
        </w:rPr>
        <w:t>焊缝连接应采用贴角焊。</w:t>
      </w:r>
      <w:r>
        <w:rPr>
          <w:rFonts w:hint="eastAsia" w:ascii="Times New Roman" w:hAnsi="Times New Roman"/>
          <w:kern w:val="0"/>
          <w:szCs w:val="24"/>
        </w:rPr>
        <w:t>双槽钢或双工字钢之间的净间距应满足锚杆杆体平直穿过的要求。</w:t>
      </w:r>
    </w:p>
    <w:p>
      <w:pPr>
        <w:widowControl w:val="0"/>
        <w:spacing w:line="480" w:lineRule="exact"/>
        <w:rPr>
          <w:rFonts w:ascii="Times New Roman" w:hAnsi="Times New Roman"/>
          <w:kern w:val="0"/>
          <w:szCs w:val="24"/>
        </w:rPr>
      </w:pPr>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 xml:space="preserve">.17 </w:t>
      </w:r>
      <w:r>
        <w:rPr>
          <w:rFonts w:hint="eastAsia" w:ascii="Times New Roman" w:hAnsi="Times New Roman"/>
          <w:kern w:val="0"/>
          <w:szCs w:val="24"/>
        </w:rPr>
        <w:t>采用型钢组合腰梁时，腰梁应满足在锚杆集中荷载作用下的局部受压稳定与受扭稳定的构造要求。</w:t>
      </w:r>
      <w:r>
        <w:rPr>
          <w:rFonts w:hint="eastAsia" w:ascii="Times New Roman" w:hAnsi="Times New Roman"/>
          <w:szCs w:val="24"/>
        </w:rPr>
        <w:t>当需要增加局部受压和受扭稳定性时，可在型钢翼缘端口处配置加劲肋板。</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.18 </w:t>
      </w:r>
      <w:r>
        <w:rPr>
          <w:rFonts w:hint="eastAsia" w:ascii="Times New Roman" w:hAnsi="Times New Roman"/>
          <w:bCs/>
          <w:szCs w:val="24"/>
        </w:rPr>
        <w:t>混凝土腰梁</w:t>
      </w:r>
      <w:r>
        <w:rPr>
          <w:rFonts w:hint="eastAsia" w:ascii="Times New Roman" w:hAnsi="Times New Roman"/>
          <w:szCs w:val="24"/>
        </w:rPr>
        <w:t>、冠梁宜采用斜面与锚杆轴线垂直的梯形截面；腰梁、冠梁的混凝土强度等级不宜低于C25。采用梯形截面时，截面的上边水平尺寸不宜小于250mm。</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.19</w:t>
      </w:r>
      <w:r>
        <w:rPr>
          <w:rFonts w:hint="eastAsia" w:ascii="Times New Roman" w:hAnsi="Times New Roman"/>
          <w:bCs/>
          <w:szCs w:val="24"/>
        </w:rPr>
        <w:t xml:space="preserve"> </w:t>
      </w:r>
      <w:r>
        <w:rPr>
          <w:rFonts w:hint="eastAsia" w:ascii="Times New Roman" w:hAnsi="Times New Roman"/>
          <w:szCs w:val="24"/>
        </w:rPr>
        <w:t>采用楔形钢垫块时，楔形钢垫块与挡土构件、腰梁的连接应满足受压稳定性和</w:t>
      </w:r>
      <w:r>
        <w:rPr>
          <w:rFonts w:hint="eastAsia" w:ascii="Times New Roman" w:hAnsi="Times New Roman"/>
          <w:bCs/>
          <w:szCs w:val="24"/>
        </w:rPr>
        <w:t>锚杆垂直分力作用下的受剪承载力</w:t>
      </w:r>
      <w:r>
        <w:rPr>
          <w:rFonts w:hint="eastAsia" w:ascii="Times New Roman" w:hAnsi="Times New Roman"/>
          <w:szCs w:val="24"/>
        </w:rPr>
        <w:t>要求。采用楔形混凝土垫块时，混凝土垫块应满足抗压强度和</w:t>
      </w:r>
      <w:r>
        <w:rPr>
          <w:rFonts w:hint="eastAsia" w:ascii="Times New Roman" w:hAnsi="Times New Roman"/>
          <w:bCs/>
          <w:szCs w:val="24"/>
        </w:rPr>
        <w:t>锚杆垂直分力作用下的受剪承载力</w:t>
      </w:r>
      <w:r>
        <w:rPr>
          <w:rFonts w:hint="eastAsia" w:ascii="Times New Roman" w:hAnsi="Times New Roman"/>
          <w:szCs w:val="24"/>
        </w:rPr>
        <w:t>要求，且其强度等级不宜低于C25。</w:t>
      </w:r>
    </w:p>
    <w:p>
      <w:pPr>
        <w:widowControl w:val="0"/>
        <w:spacing w:line="480" w:lineRule="exact"/>
        <w:rPr>
          <w:rFonts w:ascii="Times New Roman" w:hAnsi="Times New Roman"/>
          <w:color w:val="auto"/>
          <w:szCs w:val="24"/>
        </w:rPr>
      </w:pPr>
      <w:r>
        <w:rPr>
          <w:rFonts w:hint="eastAsia" w:ascii="Times New Roman" w:hAnsi="Times New Roman"/>
          <w:b/>
          <w:bCs/>
          <w:color w:val="auto"/>
          <w:szCs w:val="24"/>
        </w:rPr>
        <w:t>8.</w:t>
      </w:r>
      <w:r>
        <w:rPr>
          <w:rFonts w:hint="eastAsia" w:ascii="Times New Roman" w:hAnsi="Times New Roman"/>
          <w:b/>
          <w:bCs/>
          <w:color w:val="auto"/>
          <w:szCs w:val="24"/>
          <w:lang w:eastAsia="zh-CN"/>
        </w:rPr>
        <w:t>5</w:t>
      </w:r>
      <w:r>
        <w:rPr>
          <w:rFonts w:hint="eastAsia" w:ascii="Times New Roman" w:hAnsi="Times New Roman"/>
          <w:b/>
          <w:bCs/>
          <w:color w:val="auto"/>
          <w:szCs w:val="24"/>
        </w:rPr>
        <w:t>.20</w:t>
      </w:r>
      <w:r>
        <w:rPr>
          <w:rFonts w:hint="eastAsia" w:ascii="Times New Roman" w:hAnsi="Times New Roman"/>
          <w:bCs/>
          <w:color w:val="auto"/>
          <w:szCs w:val="24"/>
        </w:rPr>
        <w:t xml:space="preserve"> </w:t>
      </w:r>
      <w:r>
        <w:rPr>
          <w:rFonts w:hint="eastAsia" w:ascii="Times New Roman" w:hAnsi="Times New Roman"/>
          <w:color w:val="auto"/>
          <w:szCs w:val="24"/>
        </w:rPr>
        <w:t>当锚杆倾角较大时，应计算腰梁与挡土构件之间的连接在锚杆垂直分力作用下的受剪承载力与挡土结构的竖向承载力。</w:t>
      </w:r>
    </w:p>
    <w:p>
      <w:pPr>
        <w:widowControl w:val="0"/>
        <w:spacing w:line="480" w:lineRule="exact"/>
        <w:rPr>
          <w:rFonts w:hint="eastAsia" w:ascii="Times New Roman" w:hAnsi="Times New Roman"/>
          <w:b w:val="0"/>
          <w:bCs w:val="0"/>
          <w:color w:val="auto"/>
          <w:szCs w:val="24"/>
        </w:rPr>
      </w:pPr>
      <w:bookmarkStart w:id="569" w:name="_Toc30436"/>
      <w:bookmarkStart w:id="570" w:name="_Toc16251"/>
      <w:r>
        <w:rPr>
          <w:rFonts w:hint="eastAsia" w:ascii="Times New Roman" w:hAnsi="Times New Roman"/>
          <w:b/>
          <w:bCs/>
          <w:color w:val="auto"/>
          <w:szCs w:val="24"/>
        </w:rPr>
        <w:t>8.</w:t>
      </w:r>
      <w:r>
        <w:rPr>
          <w:rFonts w:hint="eastAsia" w:ascii="Times New Roman" w:hAnsi="Times New Roman"/>
          <w:b/>
          <w:bCs/>
          <w:color w:val="auto"/>
          <w:szCs w:val="24"/>
          <w:lang w:eastAsia="zh-CN"/>
        </w:rPr>
        <w:t>5</w:t>
      </w:r>
      <w:r>
        <w:rPr>
          <w:rFonts w:hint="eastAsia" w:ascii="Times New Roman" w:hAnsi="Times New Roman"/>
          <w:b/>
          <w:bCs/>
          <w:color w:val="auto"/>
          <w:szCs w:val="24"/>
        </w:rPr>
        <w:t xml:space="preserve">.21 </w:t>
      </w:r>
      <w:r>
        <w:rPr>
          <w:rFonts w:hint="eastAsia" w:ascii="Times New Roman" w:hAnsi="Times New Roman"/>
          <w:b w:val="0"/>
          <w:bCs w:val="0"/>
          <w:color w:val="auto"/>
          <w:szCs w:val="24"/>
        </w:rPr>
        <w:t>对压力型锚杆，应验算注浆体的受压承载力。</w:t>
      </w:r>
      <w:bookmarkEnd w:id="569"/>
      <w:bookmarkEnd w:id="570"/>
    </w:p>
    <w:p>
      <w:pPr>
        <w:widowControl w:val="0"/>
        <w:spacing w:line="480" w:lineRule="exact"/>
        <w:rPr>
          <w:rFonts w:ascii="Times New Roman" w:hAnsi="Times New Roman"/>
          <w:color w:val="auto"/>
          <w:szCs w:val="24"/>
        </w:rPr>
      </w:pPr>
      <w:r>
        <w:rPr>
          <w:rFonts w:hint="eastAsia" w:ascii="Times New Roman" w:hAnsi="Times New Roman"/>
          <w:b/>
          <w:bCs/>
          <w:color w:val="auto"/>
          <w:szCs w:val="24"/>
        </w:rPr>
        <w:t>8.</w:t>
      </w:r>
      <w:r>
        <w:rPr>
          <w:rFonts w:hint="eastAsia" w:ascii="Times New Roman" w:hAnsi="Times New Roman"/>
          <w:b/>
          <w:bCs/>
          <w:color w:val="auto"/>
          <w:szCs w:val="24"/>
          <w:lang w:eastAsia="zh-CN"/>
        </w:rPr>
        <w:t>5</w:t>
      </w:r>
      <w:r>
        <w:rPr>
          <w:rFonts w:hint="eastAsia" w:ascii="Times New Roman" w:hAnsi="Times New Roman"/>
          <w:b/>
          <w:bCs/>
          <w:color w:val="auto"/>
          <w:szCs w:val="24"/>
        </w:rPr>
        <w:t>.22</w:t>
      </w:r>
      <w:r>
        <w:rPr>
          <w:rFonts w:hint="eastAsia" w:ascii="Times New Roman" w:hAnsi="Times New Roman"/>
          <w:bCs/>
          <w:color w:val="auto"/>
          <w:szCs w:val="24"/>
        </w:rPr>
        <w:t xml:space="preserve"> </w:t>
      </w:r>
      <w:r>
        <w:rPr>
          <w:rFonts w:hint="eastAsia" w:ascii="Times New Roman" w:hAnsi="Times New Roman"/>
          <w:color w:val="auto"/>
          <w:szCs w:val="24"/>
        </w:rPr>
        <w:t>可拆芯锚杆的回收应在地下室肥槽回填至锚头设计标高或在地下室外墙与支护结构之间设置传力结构后，进行拆除回收。</w:t>
      </w:r>
    </w:p>
    <w:p>
      <w:pPr>
        <w:bidi w:val="0"/>
        <w:jc w:val="center"/>
        <w:rPr>
          <w:rFonts w:hint="eastAsia" w:ascii="宋体" w:hAnsi="宋体" w:eastAsia="宋体" w:cs="宋体"/>
          <w:b/>
          <w:bCs/>
          <w:kern w:val="2"/>
          <w:sz w:val="28"/>
          <w:szCs w:val="24"/>
          <w:lang w:val="en-US" w:eastAsia="zh-CN" w:bidi="ar-SA"/>
        </w:rPr>
      </w:pPr>
      <w:r>
        <w:rPr>
          <w:rFonts w:hint="eastAsia" w:ascii="宋体" w:hAnsi="宋体" w:eastAsia="宋体" w:cs="宋体"/>
          <w:b/>
          <w:bCs/>
          <w:kern w:val="2"/>
          <w:sz w:val="28"/>
          <w:szCs w:val="24"/>
          <w:lang w:val="en-US" w:eastAsia="zh-CN" w:bidi="ar-SA"/>
        </w:rPr>
        <w:t>III  施工与检测</w:t>
      </w:r>
    </w:p>
    <w:p>
      <w:pPr>
        <w:widowControl w:val="0"/>
        <w:tabs>
          <w:tab w:val="left" w:pos="720"/>
          <w:tab w:val="left" w:pos="854"/>
          <w:tab w:val="left" w:pos="1620"/>
          <w:tab w:val="left" w:pos="2160"/>
          <w:tab w:val="left" w:pos="3060"/>
          <w:tab w:val="left" w:pos="4680"/>
          <w:tab w:val="left" w:pos="7020"/>
        </w:tabs>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.23</w:t>
      </w:r>
      <w:r>
        <w:rPr>
          <w:rFonts w:hint="eastAsia" w:ascii="Times New Roman" w:hAnsi="Times New Roman"/>
          <w:szCs w:val="24"/>
        </w:rPr>
        <w:t xml:space="preserve"> 当锚杆穿过的地层附近存在既有地下管线、地下构筑物时，应在调查或探明其位置、走向、类型、使用状况等情况后再进行锚杆施工。</w:t>
      </w:r>
    </w:p>
    <w:p>
      <w:pPr>
        <w:widowControl w:val="0"/>
        <w:spacing w:line="480" w:lineRule="exact"/>
        <w:rPr>
          <w:rFonts w:hint="eastAsia" w:ascii="Times New Roman" w:hAnsi="Times New Roman"/>
          <w:b w:val="0"/>
          <w:bCs w:val="0"/>
          <w:color w:val="auto"/>
          <w:szCs w:val="24"/>
        </w:rPr>
      </w:pPr>
      <w:bookmarkStart w:id="571" w:name="_Toc8458"/>
      <w:bookmarkStart w:id="572" w:name="_Toc13231"/>
      <w:r>
        <w:rPr>
          <w:rFonts w:hint="eastAsia" w:ascii="Times New Roman" w:hAnsi="Times New Roman"/>
          <w:b/>
          <w:bCs/>
          <w:color w:val="auto"/>
          <w:szCs w:val="24"/>
        </w:rPr>
        <w:t>8.</w:t>
      </w:r>
      <w:r>
        <w:rPr>
          <w:rFonts w:hint="eastAsia" w:ascii="Times New Roman" w:hAnsi="Times New Roman"/>
          <w:b/>
          <w:bCs/>
          <w:color w:val="auto"/>
          <w:szCs w:val="24"/>
          <w:lang w:eastAsia="zh-CN"/>
        </w:rPr>
        <w:t>5</w:t>
      </w:r>
      <w:r>
        <w:rPr>
          <w:rFonts w:hint="eastAsia" w:ascii="Times New Roman" w:hAnsi="Times New Roman"/>
          <w:b/>
          <w:bCs/>
          <w:color w:val="auto"/>
          <w:szCs w:val="24"/>
        </w:rPr>
        <w:t xml:space="preserve">.24 </w:t>
      </w:r>
      <w:r>
        <w:rPr>
          <w:rFonts w:hint="eastAsia" w:ascii="Times New Roman" w:hAnsi="Times New Roman"/>
          <w:b w:val="0"/>
          <w:bCs w:val="0"/>
          <w:color w:val="auto"/>
          <w:szCs w:val="24"/>
        </w:rPr>
        <w:t>锚杆的成孔应符合下列规定：</w:t>
      </w:r>
      <w:bookmarkEnd w:id="571"/>
      <w:bookmarkEnd w:id="572"/>
    </w:p>
    <w:p>
      <w:pPr>
        <w:widowControl w:val="0"/>
        <w:spacing w:line="480" w:lineRule="exact"/>
        <w:ind w:firstLine="480" w:firstLineChars="200"/>
        <w:rPr>
          <w:rFonts w:hint="eastAsia" w:ascii="Times New Roman" w:hAnsi="Times New Roman"/>
          <w:szCs w:val="24"/>
        </w:rPr>
      </w:pPr>
      <w:bookmarkStart w:id="573" w:name="_Toc27340"/>
      <w:bookmarkStart w:id="574" w:name="_Toc14237"/>
      <w:r>
        <w:rPr>
          <w:rFonts w:hint="eastAsia" w:ascii="Times New Roman" w:hAnsi="Times New Roman"/>
          <w:szCs w:val="24"/>
        </w:rPr>
        <w:t>1 钻孔深度应超过锚杆设计长度的0.3m～0.5m；</w:t>
      </w:r>
      <w:bookmarkEnd w:id="573"/>
      <w:bookmarkEnd w:id="574"/>
    </w:p>
    <w:p>
      <w:pPr>
        <w:widowControl w:val="0"/>
        <w:spacing w:line="480" w:lineRule="exact"/>
        <w:ind w:firstLine="480" w:firstLineChars="200"/>
        <w:rPr>
          <w:rFonts w:ascii="Times New Roman" w:hAnsi="Times New Roman"/>
          <w:szCs w:val="24"/>
        </w:rPr>
      </w:pPr>
      <w:r>
        <w:rPr>
          <w:rFonts w:hint="eastAsia" w:ascii="Times New Roman" w:hAnsi="Times New Roman"/>
          <w:kern w:val="0"/>
          <w:szCs w:val="24"/>
        </w:rPr>
        <w:t>2 应根据土层性状和地下水条件选择套管护壁、干成孔或泥浆护壁成孔工艺，成孔工艺应</w:t>
      </w:r>
      <w:r>
        <w:rPr>
          <w:rFonts w:hint="eastAsia" w:ascii="Times New Roman" w:hAnsi="Times New Roman"/>
          <w:szCs w:val="24"/>
        </w:rPr>
        <w:t>满足孔壁稳定性要求，湿陷性黄土地层中应采用干成孔工艺；</w:t>
      </w:r>
    </w:p>
    <w:p>
      <w:pPr>
        <w:widowControl w:val="0"/>
        <w:spacing w:line="480" w:lineRule="exact"/>
        <w:ind w:firstLine="480" w:firstLineChars="200"/>
        <w:rPr>
          <w:rFonts w:ascii="Times New Roman" w:hAnsi="Times New Roman"/>
          <w:bCs/>
          <w:szCs w:val="24"/>
        </w:rPr>
      </w:pPr>
      <w:r>
        <w:rPr>
          <w:rFonts w:hint="eastAsia" w:ascii="Times New Roman" w:hAnsi="Times New Roman"/>
          <w:szCs w:val="24"/>
        </w:rPr>
        <w:t xml:space="preserve">3 </w:t>
      </w:r>
      <w:r>
        <w:rPr>
          <w:rFonts w:hint="eastAsia" w:ascii="Times New Roman" w:hAnsi="Times New Roman"/>
          <w:bCs/>
          <w:szCs w:val="24"/>
        </w:rPr>
        <w:t>在易塌</w:t>
      </w:r>
      <w:r>
        <w:rPr>
          <w:rFonts w:hint="eastAsia" w:ascii="Times New Roman" w:hAnsi="Times New Roman"/>
          <w:bCs/>
          <w:color w:val="auto"/>
          <w:szCs w:val="24"/>
        </w:rPr>
        <w:t>孔、水位高的地层中成孔时，应</w:t>
      </w:r>
      <w:r>
        <w:rPr>
          <w:rFonts w:hint="eastAsia" w:ascii="Times New Roman" w:hAnsi="Times New Roman"/>
          <w:bCs/>
          <w:szCs w:val="24"/>
        </w:rPr>
        <w:t>采用双动力、套管全跟进成孔工艺；</w:t>
      </w:r>
    </w:p>
    <w:p>
      <w:pPr>
        <w:widowControl w:val="0"/>
        <w:spacing w:line="480" w:lineRule="exact"/>
        <w:ind w:firstLine="480" w:firstLineChars="200"/>
        <w:rPr>
          <w:rFonts w:hint="eastAsia" w:ascii="Times New Roman" w:hAnsi="Times New Roman"/>
          <w:szCs w:val="24"/>
        </w:rPr>
      </w:pPr>
      <w:bookmarkStart w:id="575" w:name="_Toc19554"/>
      <w:bookmarkStart w:id="576" w:name="_Toc7958"/>
      <w:r>
        <w:rPr>
          <w:rFonts w:hint="eastAsia" w:ascii="Times New Roman" w:hAnsi="Times New Roman"/>
          <w:szCs w:val="24"/>
        </w:rPr>
        <w:t>4 对地下水位较高的地层，应采取防止孔口涌水、涌泥砂的措施；</w:t>
      </w:r>
      <w:bookmarkEnd w:id="575"/>
      <w:bookmarkEnd w:id="576"/>
    </w:p>
    <w:p>
      <w:pPr>
        <w:widowControl w:val="0"/>
        <w:spacing w:line="480" w:lineRule="exact"/>
        <w:ind w:firstLine="480" w:firstLineChars="200"/>
        <w:rPr>
          <w:rFonts w:ascii="Times New Roman" w:hAnsi="Times New Roman"/>
          <w:szCs w:val="24"/>
        </w:rPr>
      </w:pPr>
      <w:r>
        <w:rPr>
          <w:rFonts w:hint="eastAsia" w:ascii="Times New Roman" w:hAnsi="Times New Roman"/>
          <w:kern w:val="0"/>
          <w:szCs w:val="24"/>
        </w:rPr>
        <w:t xml:space="preserve">5 </w:t>
      </w:r>
      <w:r>
        <w:rPr>
          <w:rFonts w:hint="eastAsia" w:ascii="Times New Roman" w:hAnsi="Times New Roman"/>
          <w:szCs w:val="24"/>
        </w:rPr>
        <w:t>在高塑性指数的饱和黏性土层成孔时，不宜采用泥浆护壁成孔工艺；</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bCs/>
          <w:szCs w:val="24"/>
        </w:rPr>
        <w:t>6</w:t>
      </w:r>
      <w:r>
        <w:rPr>
          <w:rFonts w:hint="eastAsia" w:ascii="Times New Roman" w:hAnsi="Times New Roman"/>
          <w:szCs w:val="24"/>
        </w:rPr>
        <w:t xml:space="preserve"> 当成孔过程中遇不明障碍物时，在查明其性质前不得钻进；</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7 成孔应间隔进行，成孔后应及时插入杆体及注浆；</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bCs/>
          <w:szCs w:val="24"/>
        </w:rPr>
      </w:pPr>
      <w:r>
        <w:rPr>
          <w:rFonts w:hint="eastAsia" w:ascii="Times New Roman" w:hAnsi="Times New Roman"/>
          <w:szCs w:val="24"/>
        </w:rPr>
        <w:t>8 选用扩孔钻头或高压注浆扩孔时，</w:t>
      </w:r>
      <w:r>
        <w:rPr>
          <w:rFonts w:hint="eastAsia" w:ascii="Times New Roman" w:hAnsi="Times New Roman"/>
          <w:bCs/>
          <w:szCs w:val="24"/>
        </w:rPr>
        <w:t>应通过现场试验确定其适用性。</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rPr>
      </w:pPr>
      <w:bookmarkStart w:id="577" w:name="_Toc9685"/>
      <w:bookmarkStart w:id="578" w:name="_Toc20212"/>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.25</w:t>
      </w:r>
      <w:r>
        <w:rPr>
          <w:rFonts w:hint="eastAsia"/>
        </w:rPr>
        <w:t xml:space="preserve"> 锚杆杆体的制作安装应符合下列规定：</w:t>
      </w:r>
      <w:bookmarkEnd w:id="577"/>
      <w:bookmarkEnd w:id="578"/>
    </w:p>
    <w:p>
      <w:pPr>
        <w:widowControl w:val="0"/>
        <w:spacing w:line="480" w:lineRule="exact"/>
        <w:ind w:firstLine="480" w:firstLineChars="200"/>
        <w:rPr>
          <w:rFonts w:ascii="Times New Roman" w:hAnsi="Times New Roman"/>
          <w:szCs w:val="24"/>
        </w:rPr>
      </w:pPr>
      <w:r>
        <w:rPr>
          <w:rFonts w:hint="eastAsia" w:ascii="Times New Roman" w:hAnsi="Times New Roman"/>
          <w:szCs w:val="24"/>
        </w:rPr>
        <w:t>1 钢绞线锚杆杆体绑扎时，钢绞线应平行、间距均匀；杆体插入孔内时，应避免钢绞线在孔内弯曲或扭转；</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当锚杆杆体选用HRB400、HRB500钢筋时，其连接宜采用机械连接、双面搭接焊、双面帮条焊；采用双面焊时，焊缝长度不应小于杆体钢筋直径的5</w:t>
      </w:r>
      <w:r>
        <w:rPr>
          <w:rFonts w:hint="eastAsia" w:ascii="Times New Roman" w:hAnsi="Times New Roman"/>
          <w:iCs/>
          <w:szCs w:val="24"/>
        </w:rPr>
        <w:t>倍</w:t>
      </w:r>
      <w:r>
        <w:rPr>
          <w:rFonts w:hint="eastAsia" w:ascii="Times New Roman" w:hAnsi="Times New Roman"/>
          <w:szCs w:val="24"/>
        </w:rPr>
        <w:t>；</w:t>
      </w:r>
    </w:p>
    <w:p>
      <w:pPr>
        <w:widowControl w:val="0"/>
        <w:spacing w:line="480" w:lineRule="exact"/>
        <w:ind w:firstLine="480" w:firstLineChars="200"/>
        <w:rPr>
          <w:rFonts w:hint="eastAsia" w:ascii="Times New Roman" w:hAnsi="Times New Roman"/>
          <w:szCs w:val="24"/>
        </w:rPr>
      </w:pPr>
      <w:bookmarkStart w:id="579" w:name="_Toc9705"/>
      <w:bookmarkStart w:id="580" w:name="_Toc5337"/>
      <w:r>
        <w:rPr>
          <w:rFonts w:hint="eastAsia" w:ascii="Times New Roman" w:hAnsi="Times New Roman"/>
          <w:szCs w:val="24"/>
        </w:rPr>
        <w:t>3 杆体制作和安放时应除锈、除油污、避免杆体弯曲；</w:t>
      </w:r>
      <w:bookmarkEnd w:id="579"/>
      <w:bookmarkEnd w:id="580"/>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4 采用套管护壁工艺成孔时，应在拔出套管前将杆体插入孔内；采用非套管护壁成孔时，杆体应匀速推送至孔内</w:t>
      </w:r>
      <w:r>
        <w:rPr>
          <w:rFonts w:hint="eastAsia" w:ascii="Times New Roman" w:hAnsi="Times New Roman"/>
          <w:szCs w:val="24"/>
          <w:lang w:eastAsia="zh-CN"/>
        </w:rPr>
        <w:t>。</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b w:val="0"/>
          <w:bCs/>
          <w:kern w:val="0"/>
          <w:szCs w:val="24"/>
        </w:rPr>
      </w:pPr>
      <w:bookmarkStart w:id="581" w:name="_Toc17751"/>
      <w:bookmarkStart w:id="582" w:name="_Toc20383"/>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 xml:space="preserve">.26 </w:t>
      </w:r>
      <w:r>
        <w:rPr>
          <w:rFonts w:hint="eastAsia" w:ascii="Times New Roman" w:hAnsi="Times New Roman"/>
          <w:b w:val="0"/>
          <w:bCs/>
          <w:kern w:val="0"/>
          <w:szCs w:val="24"/>
        </w:rPr>
        <w:t>锚杆的注浆应符合下列规定：</w:t>
      </w:r>
      <w:bookmarkEnd w:id="581"/>
      <w:bookmarkEnd w:id="582"/>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1 注浆液采用水泥浆时，水灰比宜取0.50～0.55，湿陷性黄土地层中，水灰比宜取0.45-0.50；采用水泥砂浆时，水灰比宜取</w:t>
      </w:r>
      <w:r>
        <w:rPr>
          <w:rFonts w:ascii="Times New Roman" w:hAnsi="Times New Roman"/>
          <w:szCs w:val="24"/>
        </w:rPr>
        <w:t>0.</w:t>
      </w:r>
      <w:r>
        <w:rPr>
          <w:rFonts w:hint="eastAsia" w:ascii="Times New Roman" w:hAnsi="Times New Roman"/>
          <w:szCs w:val="24"/>
        </w:rPr>
        <w:t>40～</w:t>
      </w:r>
      <w:r>
        <w:rPr>
          <w:rFonts w:ascii="Times New Roman" w:hAnsi="Times New Roman"/>
          <w:szCs w:val="24"/>
        </w:rPr>
        <w:t>0.45</w:t>
      </w:r>
      <w:r>
        <w:rPr>
          <w:rFonts w:hint="eastAsia" w:ascii="Times New Roman" w:hAnsi="Times New Roman"/>
          <w:szCs w:val="24"/>
        </w:rPr>
        <w:t>，灰砂比宜取0.5～</w:t>
      </w:r>
      <w:r>
        <w:rPr>
          <w:rFonts w:ascii="Times New Roman" w:hAnsi="Times New Roman"/>
          <w:szCs w:val="24"/>
        </w:rPr>
        <w:t>1</w:t>
      </w:r>
      <w:r>
        <w:rPr>
          <w:rFonts w:hint="eastAsia" w:ascii="Times New Roman" w:hAnsi="Times New Roman"/>
          <w:szCs w:val="24"/>
        </w:rPr>
        <w:t>.0，拌和用砂宜选用中粗砂；</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bCs/>
          <w:szCs w:val="24"/>
        </w:rPr>
        <w:t xml:space="preserve">2 </w:t>
      </w:r>
      <w:r>
        <w:rPr>
          <w:rFonts w:hint="eastAsia" w:ascii="Times New Roman" w:hAnsi="Times New Roman"/>
          <w:szCs w:val="24"/>
        </w:rPr>
        <w:t>水泥浆或水泥砂浆内可掺入提高注浆固结体早期强度或微膨胀的外加剂，其掺入量宜按室内试验确定；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 xml:space="preserve">3 </w:t>
      </w:r>
      <w:r>
        <w:rPr>
          <w:rFonts w:ascii="Times New Roman" w:hAnsi="Times New Roman"/>
          <w:szCs w:val="24"/>
        </w:rPr>
        <w:t>注浆管</w:t>
      </w:r>
      <w:r>
        <w:rPr>
          <w:rFonts w:hint="eastAsia" w:ascii="Times New Roman" w:hAnsi="Times New Roman"/>
          <w:szCs w:val="24"/>
        </w:rPr>
        <w:t>端部至</w:t>
      </w:r>
      <w:r>
        <w:rPr>
          <w:rFonts w:ascii="Times New Roman" w:hAnsi="Times New Roman"/>
          <w:szCs w:val="24"/>
        </w:rPr>
        <w:t>孔底</w:t>
      </w:r>
      <w:r>
        <w:rPr>
          <w:rFonts w:hint="eastAsia" w:ascii="Times New Roman" w:hAnsi="Times New Roman"/>
          <w:szCs w:val="24"/>
        </w:rPr>
        <w:t>的距离不宜大于</w:t>
      </w:r>
      <w:r>
        <w:rPr>
          <w:rFonts w:ascii="Times New Roman" w:hAnsi="Times New Roman"/>
          <w:szCs w:val="24"/>
        </w:rPr>
        <w:t>200mm</w:t>
      </w:r>
      <w:r>
        <w:rPr>
          <w:rFonts w:hint="eastAsia" w:ascii="Times New Roman" w:hAnsi="Times New Roman"/>
          <w:szCs w:val="24"/>
        </w:rPr>
        <w:t>；注浆及拔管过程中，注浆管口应始终埋入注浆液面内，应在水泥浆液从孔口溢出后停止注浆；注浆后，当浆液液面下降时，应进行孔口补浆；</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采用二次压力注浆工艺时，注浆管应在锚杆末端（1/4～1/3）锚固端长度范围内设置注浆孔，孔间距宜取500mm～800mm，每个注浆截面的注浆孔宜取2个；二次压力注浆宜采用水灰比</w:t>
      </w:r>
      <w:r>
        <w:rPr>
          <w:rFonts w:ascii="Times New Roman" w:hAnsi="Times New Roman"/>
          <w:szCs w:val="24"/>
        </w:rPr>
        <w:t>0.</w:t>
      </w:r>
      <w:r>
        <w:rPr>
          <w:rFonts w:hint="eastAsia" w:ascii="Times New Roman" w:hAnsi="Times New Roman"/>
          <w:szCs w:val="24"/>
        </w:rPr>
        <w:t>50～</w:t>
      </w:r>
      <w:r>
        <w:rPr>
          <w:rFonts w:ascii="Times New Roman" w:hAnsi="Times New Roman"/>
          <w:szCs w:val="24"/>
        </w:rPr>
        <w:t>0.55</w:t>
      </w:r>
      <w:r>
        <w:rPr>
          <w:rFonts w:hint="eastAsia" w:ascii="Times New Roman" w:hAnsi="Times New Roman"/>
          <w:szCs w:val="24"/>
        </w:rPr>
        <w:t>的水泥浆；二次注浆管应固定</w:t>
      </w:r>
      <w:r>
        <w:rPr>
          <w:rFonts w:ascii="Times New Roman" w:hAnsi="Times New Roman"/>
          <w:szCs w:val="24"/>
        </w:rPr>
        <w:t>在杆体</w:t>
      </w:r>
      <w:r>
        <w:rPr>
          <w:rFonts w:hint="eastAsia" w:ascii="Times New Roman" w:hAnsi="Times New Roman"/>
          <w:szCs w:val="24"/>
        </w:rPr>
        <w:t>上，注浆管的出浆口应采取逆止构造；二次压力注浆应在水泥浆初凝后、终凝前进行，终止注浆的压力不应小于1.5MPa；</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采用二次压力分段劈裂注浆工艺时，注浆宜在固结</w:t>
      </w:r>
      <w:r>
        <w:rPr>
          <w:rFonts w:ascii="Times New Roman" w:hAnsi="Times New Roman"/>
          <w:szCs w:val="24"/>
        </w:rPr>
        <w:t>体强度达到5MPa后</w:t>
      </w:r>
      <w:r>
        <w:rPr>
          <w:rFonts w:hint="eastAsia" w:ascii="Times New Roman" w:hAnsi="Times New Roman"/>
          <w:szCs w:val="24"/>
        </w:rPr>
        <w:t>进行，注浆管的出浆孔宜沿锚固段全长设置，注浆顺序应由内向外分段依次进行；</w:t>
      </w:r>
    </w:p>
    <w:p>
      <w:pPr>
        <w:widowControl w:val="0"/>
        <w:spacing w:line="480" w:lineRule="exact"/>
        <w:ind w:firstLine="480" w:firstLineChars="200"/>
        <w:rPr>
          <w:rFonts w:ascii="Times New Roman" w:hAnsi="Times New Roman"/>
          <w:bCs/>
          <w:szCs w:val="24"/>
        </w:rPr>
      </w:pPr>
      <w:r>
        <w:rPr>
          <w:rFonts w:hint="eastAsia" w:ascii="Times New Roman" w:hAnsi="Times New Roman"/>
          <w:bCs/>
          <w:szCs w:val="24"/>
        </w:rPr>
        <w:t xml:space="preserve">6 </w:t>
      </w:r>
      <w:r>
        <w:rPr>
          <w:rFonts w:hint="eastAsia" w:ascii="Times New Roman" w:hAnsi="Times New Roman"/>
          <w:szCs w:val="24"/>
        </w:rPr>
        <w:t>设有截水帷幕时，地下水位以下的锚杆注浆应采取孔口封堵措施；</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7 冬期施工时，应对注浆液采取保温措施，浆液温度应保持在5</w:t>
      </w:r>
      <w:r>
        <w:rPr>
          <w:rFonts w:hint="eastAsia" w:ascii="Times New Roman" w:hAnsi="Times New Roman"/>
          <w:szCs w:val="24"/>
        </w:rPr>
        <w:sym w:font="Symbol" w:char="F0B0"/>
      </w:r>
      <w:r>
        <w:rPr>
          <w:rFonts w:hint="eastAsia" w:ascii="Times New Roman" w:hAnsi="Times New Roman"/>
          <w:szCs w:val="24"/>
        </w:rPr>
        <w:t>C以上；</w:t>
      </w:r>
    </w:p>
    <w:p>
      <w:pPr>
        <w:widowControl w:val="0"/>
        <w:spacing w:line="480" w:lineRule="exact"/>
        <w:ind w:firstLine="480" w:firstLineChars="200"/>
        <w:rPr>
          <w:rFonts w:hint="eastAsia" w:ascii="Times New Roman" w:hAnsi="Times New Roman"/>
          <w:szCs w:val="24"/>
        </w:rPr>
      </w:pPr>
      <w:bookmarkStart w:id="583" w:name="_Toc4894"/>
      <w:bookmarkStart w:id="584" w:name="_Toc31036"/>
      <w:r>
        <w:rPr>
          <w:rFonts w:hint="eastAsia" w:ascii="Times New Roman" w:hAnsi="Times New Roman"/>
          <w:szCs w:val="24"/>
        </w:rPr>
        <w:t>8 注浆量应通过现场试验确定，并不小于成孔体积1.5倍。</w:t>
      </w:r>
      <w:bookmarkEnd w:id="583"/>
      <w:bookmarkEnd w:id="584"/>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b w:val="0"/>
          <w:bCs/>
          <w:kern w:val="0"/>
          <w:szCs w:val="24"/>
        </w:rPr>
      </w:pPr>
      <w:bookmarkStart w:id="585" w:name="_Toc4974"/>
      <w:bookmarkStart w:id="586" w:name="_Toc24988"/>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 xml:space="preserve">.27 </w:t>
      </w:r>
      <w:r>
        <w:rPr>
          <w:rFonts w:hint="eastAsia" w:ascii="Times New Roman" w:hAnsi="Times New Roman"/>
          <w:b w:val="0"/>
          <w:bCs/>
          <w:kern w:val="0"/>
          <w:szCs w:val="24"/>
        </w:rPr>
        <w:t>锚杆的施工偏差应符合下列要求：</w:t>
      </w:r>
      <w:bookmarkEnd w:id="585"/>
      <w:bookmarkEnd w:id="586"/>
    </w:p>
    <w:p>
      <w:pPr>
        <w:widowControl w:val="0"/>
        <w:spacing w:line="480" w:lineRule="exact"/>
        <w:ind w:firstLine="480" w:firstLineChars="200"/>
        <w:rPr>
          <w:rFonts w:ascii="Times New Roman" w:hAnsi="Times New Roman"/>
          <w:szCs w:val="24"/>
        </w:rPr>
      </w:pPr>
      <w:r>
        <w:rPr>
          <w:rFonts w:hint="eastAsia" w:ascii="Times New Roman" w:hAnsi="Times New Roman"/>
          <w:szCs w:val="24"/>
        </w:rPr>
        <w:t>1 钻孔孔位的允许偏差应为50mm；</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钻孔倾角的允许偏差应为3</w:t>
      </w:r>
      <w:r>
        <w:rPr>
          <w:rFonts w:hint="eastAsia" w:ascii="Times New Roman" w:hAnsi="Times New Roman"/>
          <w:szCs w:val="24"/>
        </w:rPr>
        <w:sym w:font="Symbol" w:char="F0B0"/>
      </w:r>
      <w:r>
        <w:rPr>
          <w:rFonts w:hint="eastAsia" w:ascii="Times New Roman" w:hAnsi="Times New Roman"/>
          <w:szCs w:val="24"/>
        </w:rPr>
        <w:t>；</w:t>
      </w:r>
    </w:p>
    <w:p>
      <w:pPr>
        <w:widowControl w:val="0"/>
        <w:spacing w:line="480" w:lineRule="exact"/>
        <w:ind w:firstLine="470" w:firstLineChars="196"/>
        <w:rPr>
          <w:rFonts w:ascii="Times New Roman" w:hAnsi="Times New Roman"/>
          <w:szCs w:val="24"/>
        </w:rPr>
      </w:pPr>
      <w:r>
        <w:rPr>
          <w:rFonts w:hint="eastAsia" w:ascii="Times New Roman" w:hAnsi="Times New Roman"/>
          <w:szCs w:val="24"/>
        </w:rPr>
        <w:t>3 杆体长度应大于设计长度；</w:t>
      </w:r>
    </w:p>
    <w:p>
      <w:pPr>
        <w:widowControl w:val="0"/>
        <w:spacing w:line="480" w:lineRule="exact"/>
        <w:ind w:firstLine="470" w:firstLineChars="196"/>
        <w:rPr>
          <w:rFonts w:ascii="Times New Roman" w:hAnsi="Times New Roman"/>
          <w:szCs w:val="24"/>
        </w:rPr>
      </w:pPr>
      <w:r>
        <w:rPr>
          <w:rFonts w:hint="eastAsia" w:ascii="Times New Roman" w:hAnsi="Times New Roman"/>
          <w:szCs w:val="24"/>
        </w:rPr>
        <w:t>4 自由段的套管长度允许偏差应为±50mm。</w:t>
      </w:r>
    </w:p>
    <w:p>
      <w:pPr>
        <w:widowControl w:val="0"/>
        <w:tabs>
          <w:tab w:val="left" w:pos="672"/>
          <w:tab w:val="left" w:pos="1036"/>
          <w:tab w:val="left" w:pos="1620"/>
          <w:tab w:val="left" w:pos="2160"/>
          <w:tab w:val="left" w:pos="7020"/>
        </w:tabs>
        <w:spacing w:line="480" w:lineRule="exact"/>
        <w:rPr>
          <w:rFonts w:ascii="Times New Roman" w:hAnsi="Times New Roman"/>
          <w:bCs/>
          <w:szCs w:val="24"/>
        </w:rPr>
      </w:pPr>
      <w:r>
        <w:rPr>
          <w:rFonts w:hint="eastAsia" w:ascii="Times New Roman" w:hAnsi="Times New Roman"/>
          <w:b/>
          <w:szCs w:val="24"/>
        </w:rPr>
        <w:t>8.</w:t>
      </w:r>
      <w:r>
        <w:rPr>
          <w:rFonts w:hint="eastAsia" w:ascii="Times New Roman" w:hAnsi="Times New Roman"/>
          <w:b/>
          <w:szCs w:val="24"/>
          <w:lang w:eastAsia="zh-CN"/>
        </w:rPr>
        <w:t>5</w:t>
      </w:r>
      <w:r>
        <w:rPr>
          <w:rFonts w:hint="eastAsia" w:ascii="Times New Roman" w:hAnsi="Times New Roman"/>
          <w:b/>
          <w:szCs w:val="24"/>
        </w:rPr>
        <w:t xml:space="preserve">.28 </w:t>
      </w:r>
      <w:r>
        <w:rPr>
          <w:rFonts w:hint="eastAsia" w:ascii="Times New Roman" w:hAnsi="Times New Roman"/>
          <w:bCs/>
          <w:szCs w:val="24"/>
        </w:rPr>
        <w:t>组合型钢锚杆腰梁、冠梁、钢台座的施工应符合现行国家标准《钢结构工程施工质量验收标准》GB50205的有关规定；</w:t>
      </w:r>
      <w:r>
        <w:rPr>
          <w:rFonts w:hint="eastAsia" w:ascii="Times New Roman" w:hAnsi="Times New Roman"/>
          <w:szCs w:val="24"/>
        </w:rPr>
        <w:t>混凝土锚杆腰梁、混凝土台座</w:t>
      </w:r>
      <w:r>
        <w:rPr>
          <w:rFonts w:hint="eastAsia" w:ascii="Times New Roman" w:hAnsi="Times New Roman"/>
          <w:bCs/>
          <w:szCs w:val="24"/>
        </w:rPr>
        <w:t>的施工应符合现行国家标准《混凝土结构工程施工质量验收规范》GB50204的有关规定。</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b w:val="0"/>
          <w:bCs/>
          <w:kern w:val="0"/>
          <w:szCs w:val="24"/>
        </w:rPr>
      </w:pPr>
      <w:bookmarkStart w:id="587" w:name="_Toc7658"/>
      <w:bookmarkStart w:id="588" w:name="_Toc3558"/>
      <w:r>
        <w:rPr>
          <w:rFonts w:hint="eastAsia" w:ascii="Times New Roman" w:hAnsi="Times New Roman"/>
          <w:b/>
          <w:kern w:val="0"/>
          <w:szCs w:val="24"/>
        </w:rPr>
        <w:t>8.</w:t>
      </w:r>
      <w:r>
        <w:rPr>
          <w:rFonts w:hint="eastAsia" w:ascii="Times New Roman" w:hAnsi="Times New Roman"/>
          <w:b/>
          <w:kern w:val="0"/>
          <w:szCs w:val="24"/>
          <w:lang w:eastAsia="zh-CN"/>
        </w:rPr>
        <w:t>5</w:t>
      </w:r>
      <w:r>
        <w:rPr>
          <w:rFonts w:hint="eastAsia" w:ascii="Times New Roman" w:hAnsi="Times New Roman"/>
          <w:b/>
          <w:kern w:val="0"/>
          <w:szCs w:val="24"/>
        </w:rPr>
        <w:t xml:space="preserve">.29 </w:t>
      </w:r>
      <w:r>
        <w:rPr>
          <w:rFonts w:hint="eastAsia" w:ascii="Times New Roman" w:hAnsi="Times New Roman"/>
          <w:b w:val="0"/>
          <w:bCs/>
          <w:kern w:val="0"/>
          <w:szCs w:val="24"/>
        </w:rPr>
        <w:t>预应力锚杆张拉锁定时应符合下列要求：</w:t>
      </w:r>
      <w:bookmarkEnd w:id="587"/>
      <w:bookmarkEnd w:id="588"/>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当锚杆固结体的强度达到15MPa或设计强度的75%后，方可进行锚杆的张拉锁定；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拉力型钢绞线锚杆宜采用钢绞线束整体张拉锁定的方法；荷载分散型锚杆按照设计要求采用差异分步张拉；</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锚杆锁定前，应按表8.</w:t>
      </w:r>
      <w:r>
        <w:rPr>
          <w:rFonts w:hint="eastAsia" w:ascii="Times New Roman" w:hAnsi="Times New Roman"/>
          <w:szCs w:val="24"/>
          <w:lang w:val="en-US" w:eastAsia="zh-CN"/>
        </w:rPr>
        <w:t>5</w:t>
      </w:r>
      <w:r>
        <w:rPr>
          <w:rFonts w:hint="eastAsia" w:ascii="Times New Roman" w:hAnsi="Times New Roman"/>
          <w:szCs w:val="24"/>
        </w:rPr>
        <w:t>.32的张拉值进行锚杆预张拉；锚杆张拉应平缓加载，加载速率不宜大于0.1</w:t>
      </w:r>
      <w:r>
        <w:rPr>
          <w:rFonts w:ascii="Times New Roman" w:hAnsi="Times New Roman"/>
          <w:i/>
          <w:szCs w:val="24"/>
        </w:rPr>
        <w:t>N</w:t>
      </w:r>
      <w:r>
        <w:rPr>
          <w:rFonts w:hint="eastAsia" w:ascii="Times New Roman" w:hAnsi="Times New Roman"/>
          <w:szCs w:val="24"/>
          <w:vertAlign w:val="subscript"/>
        </w:rPr>
        <w:t>k</w:t>
      </w:r>
      <w:r>
        <w:rPr>
          <w:rFonts w:hint="eastAsia" w:ascii="Times New Roman" w:hAnsi="Times New Roman"/>
          <w:szCs w:val="24"/>
        </w:rPr>
        <w:t>/min（</w:t>
      </w:r>
      <w:r>
        <w:rPr>
          <w:rFonts w:ascii="Times New Roman" w:hAnsi="Times New Roman"/>
          <w:i/>
          <w:szCs w:val="24"/>
        </w:rPr>
        <w:t>N</w:t>
      </w:r>
      <w:r>
        <w:rPr>
          <w:rFonts w:hint="eastAsia" w:ascii="Times New Roman" w:hAnsi="Times New Roman"/>
          <w:szCs w:val="24"/>
          <w:vertAlign w:val="subscript"/>
        </w:rPr>
        <w:t>k</w:t>
      </w:r>
      <w:r>
        <w:rPr>
          <w:rFonts w:hint="eastAsia" w:ascii="Times New Roman" w:hAnsi="Times New Roman"/>
          <w:szCs w:val="24"/>
        </w:rPr>
        <w:t>为锚杆轴向拉力标准值）；在张拉值下的锚杆位移和压力表压力应保持稳定，当锚头位移不稳定时，应判定此根锚杆不合格；</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锁定时的锚杆拉力应考虑锁定过程的预应力损失量；预应力损失量宜通过对锁定前、后锚杆拉力的测试确定；缺少测试数据时，锁定时的锚杆拉力可取锁定值的1.1倍～1.15倍；</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锚杆锁定应</w:t>
      </w:r>
      <w:r>
        <w:rPr>
          <w:rFonts w:ascii="Times New Roman" w:hAnsi="Times New Roman"/>
          <w:szCs w:val="24"/>
        </w:rPr>
        <w:t>考虑</w:t>
      </w:r>
      <w:r>
        <w:rPr>
          <w:rFonts w:hint="eastAsia" w:ascii="Times New Roman" w:hAnsi="Times New Roman"/>
          <w:szCs w:val="24"/>
        </w:rPr>
        <w:t>相邻锚杆</w:t>
      </w:r>
      <w:r>
        <w:rPr>
          <w:rFonts w:ascii="Times New Roman" w:hAnsi="Times New Roman"/>
          <w:szCs w:val="24"/>
        </w:rPr>
        <w:t>张拉</w:t>
      </w:r>
      <w:r>
        <w:rPr>
          <w:rFonts w:hint="eastAsia" w:ascii="Times New Roman" w:hAnsi="Times New Roman"/>
          <w:szCs w:val="24"/>
        </w:rPr>
        <w:t>锁定引起的预应力损失，当锚杆预应力损失严重时，应进行再次锁定；锚杆出现锚头松弛、脱落、锚具失效等情况时，应及时进行修复并对其进行再次锁定；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 xml:space="preserve">6 </w:t>
      </w:r>
      <w:r>
        <w:rPr>
          <w:rFonts w:hint="eastAsia" w:ascii="Times New Roman" w:hAnsi="Times New Roman"/>
          <w:color w:val="auto"/>
          <w:szCs w:val="24"/>
        </w:rPr>
        <w:t>张拉锁定后应保护杆体的外露部分，</w:t>
      </w:r>
      <w:r>
        <w:rPr>
          <w:rFonts w:hint="eastAsia" w:ascii="Times New Roman" w:hAnsi="Times New Roman"/>
          <w:szCs w:val="24"/>
        </w:rPr>
        <w:t>当锚杆需要再次张拉锁定时，锚具外杆体的长度和完好程度应满足张拉要求。</w:t>
      </w:r>
    </w:p>
    <w:p>
      <w:pPr>
        <w:widowControl w:val="0"/>
        <w:tabs>
          <w:tab w:val="left" w:pos="720"/>
          <w:tab w:val="left" w:pos="854"/>
          <w:tab w:val="left" w:pos="1620"/>
          <w:tab w:val="left" w:pos="2160"/>
          <w:tab w:val="left" w:pos="3060"/>
          <w:tab w:val="left" w:pos="4680"/>
          <w:tab w:val="left" w:pos="7020"/>
        </w:tabs>
        <w:spacing w:line="480" w:lineRule="exact"/>
        <w:rPr>
          <w:rFonts w:ascii="Times New Roman" w:hAnsi="Times New Roman" w:cs="宋体"/>
          <w:kern w:val="0"/>
          <w:szCs w:val="24"/>
        </w:rPr>
      </w:pPr>
      <w:r>
        <w:rPr>
          <w:rFonts w:hint="eastAsia" w:ascii="Times New Roman" w:hAnsi="Times New Roman"/>
          <w:b/>
          <w:bCs/>
          <w:szCs w:val="24"/>
        </w:rPr>
        <w:t>8.</w:t>
      </w:r>
      <w:r>
        <w:rPr>
          <w:rFonts w:hint="eastAsia" w:ascii="Times New Roman" w:hAnsi="Times New Roman"/>
          <w:b/>
          <w:bCs/>
          <w:szCs w:val="24"/>
          <w:lang w:eastAsia="zh-CN"/>
        </w:rPr>
        <w:t>5</w:t>
      </w:r>
      <w:r>
        <w:rPr>
          <w:rFonts w:hint="eastAsia" w:ascii="Times New Roman" w:hAnsi="Times New Roman"/>
          <w:b/>
          <w:bCs/>
          <w:szCs w:val="24"/>
        </w:rPr>
        <w:t xml:space="preserve">.30 </w:t>
      </w:r>
      <w:r>
        <w:rPr>
          <w:rFonts w:hint="eastAsia" w:ascii="Times New Roman" w:hAnsi="Times New Roman"/>
          <w:szCs w:val="24"/>
        </w:rPr>
        <w:t>对使用期限大于2年的</w:t>
      </w:r>
      <w:r>
        <w:rPr>
          <w:rFonts w:ascii="Times New Roman" w:hAnsi="Times New Roman"/>
          <w:szCs w:val="24"/>
        </w:rPr>
        <w:t>锚杆</w:t>
      </w:r>
      <w:r>
        <w:rPr>
          <w:rFonts w:hint="eastAsia" w:ascii="Times New Roman" w:hAnsi="Times New Roman"/>
          <w:szCs w:val="24"/>
        </w:rPr>
        <w:t>，</w:t>
      </w:r>
      <w:r>
        <w:rPr>
          <w:rFonts w:ascii="Times New Roman" w:hAnsi="Times New Roman"/>
          <w:szCs w:val="24"/>
        </w:rPr>
        <w:t>防腐蚀可采取下列处理措施</w:t>
      </w:r>
      <w:r>
        <w:rPr>
          <w:rFonts w:hint="eastAsia" w:ascii="Times New Roman" w:hAnsi="Times New Roman"/>
          <w:szCs w:val="24"/>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rPr>
      </w:pPr>
      <w:r>
        <w:rPr>
          <w:rFonts w:hint="eastAsia"/>
        </w:rPr>
        <w:t>1 非预应力锚杆的自由段位于土层中时，可采用除锈、刷沥青船底漆、沥青玻纤布缠裹其层数不少于二层；</w:t>
      </w:r>
    </w:p>
    <w:p>
      <w:pPr>
        <w:widowControl w:val="0"/>
        <w:spacing w:line="480" w:lineRule="exact"/>
        <w:ind w:firstLine="480" w:firstLineChars="200"/>
        <w:rPr>
          <w:rFonts w:ascii="Times New Roman" w:hAnsi="Times New Roman"/>
          <w:bCs/>
          <w:szCs w:val="24"/>
        </w:rPr>
      </w:pPr>
      <w:r>
        <w:rPr>
          <w:rFonts w:hint="eastAsia" w:ascii="Times New Roman" w:hAnsi="Times New Roman"/>
          <w:szCs w:val="24"/>
        </w:rPr>
        <w:t>2 预应力锚杆，其自由段可按本条1款进行防腐蚀处理后装入套管中；自由段套管两端100mm～200mm长度范</w:t>
      </w:r>
      <w:r>
        <w:rPr>
          <w:rFonts w:ascii="Times New Roman" w:hAnsi="Times New Roman"/>
          <w:bCs/>
          <w:szCs w:val="24"/>
        </w:rPr>
        <w:t>围内用黄油充填，外绕扎工程胶布固定；</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bCs/>
          <w:szCs w:val="24"/>
        </w:rPr>
      </w:pPr>
      <w:r>
        <w:rPr>
          <w:rFonts w:ascii="Times New Roman" w:hAnsi="Times New Roman"/>
          <w:szCs w:val="24"/>
        </w:rPr>
        <w:t>3</w:t>
      </w:r>
      <w:r>
        <w:rPr>
          <w:rFonts w:ascii="Times New Roman" w:hAnsi="Times New Roman" w:cs="宋体"/>
          <w:kern w:val="0"/>
          <w:szCs w:val="24"/>
        </w:rPr>
        <w:t xml:space="preserve"> </w:t>
      </w:r>
      <w:r>
        <w:rPr>
          <w:rFonts w:ascii="Times New Roman" w:hAnsi="Times New Roman"/>
          <w:bCs/>
          <w:szCs w:val="24"/>
        </w:rPr>
        <w:t>对位于无腐蚀性岩土层内的锚固段应除锈，</w:t>
      </w:r>
      <w:r>
        <w:rPr>
          <w:rFonts w:hint="eastAsia" w:ascii="Times New Roman" w:hAnsi="Times New Roman"/>
          <w:bCs/>
          <w:szCs w:val="24"/>
        </w:rPr>
        <w:t>水泥</w:t>
      </w:r>
      <w:r>
        <w:rPr>
          <w:rFonts w:ascii="Times New Roman" w:hAnsi="Times New Roman"/>
          <w:bCs/>
          <w:szCs w:val="24"/>
        </w:rPr>
        <w:t>浆保护层厚度应不小于25mm；</w:t>
      </w:r>
    </w:p>
    <w:p>
      <w:pPr>
        <w:widowControl w:val="0"/>
        <w:spacing w:line="480" w:lineRule="exact"/>
        <w:ind w:firstLine="480" w:firstLineChars="200"/>
        <w:rPr>
          <w:rFonts w:ascii="Times New Roman" w:hAnsi="Times New Roman"/>
          <w:szCs w:val="24"/>
        </w:rPr>
      </w:pPr>
      <w:r>
        <w:rPr>
          <w:rFonts w:ascii="Times New Roman" w:hAnsi="Times New Roman"/>
          <w:szCs w:val="24"/>
        </w:rPr>
        <w:t xml:space="preserve">4 </w:t>
      </w:r>
      <w:r>
        <w:rPr>
          <w:rFonts w:ascii="Times New Roman" w:hAnsi="Times New Roman"/>
          <w:bCs/>
          <w:szCs w:val="24"/>
        </w:rPr>
        <w:t>对位于腐蚀性岩土层内的锚杆的锚固段和非锚固段，应采取特殊防腐蚀处理；</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bCs/>
          <w:szCs w:val="24"/>
        </w:rPr>
      </w:pPr>
      <w:r>
        <w:rPr>
          <w:rFonts w:ascii="Times New Roman" w:hAnsi="Times New Roman"/>
          <w:szCs w:val="24"/>
        </w:rPr>
        <w:t>5</w:t>
      </w:r>
      <w:r>
        <w:rPr>
          <w:rFonts w:ascii="Times New Roman" w:hAnsi="Times New Roman" w:cs="宋体"/>
          <w:kern w:val="0"/>
          <w:szCs w:val="24"/>
        </w:rPr>
        <w:t xml:space="preserve"> </w:t>
      </w:r>
      <w:r>
        <w:rPr>
          <w:rFonts w:ascii="Times New Roman" w:hAnsi="Times New Roman"/>
          <w:bCs/>
          <w:szCs w:val="24"/>
        </w:rPr>
        <w:t>经过防腐蚀处理后，非预应力锚杆的自由段外端应埋人钢筋混凝土构件内50mm以上；对预应力锚杆，其锚头的锚具经除锈、涂防腐漆三</w:t>
      </w:r>
      <w:r>
        <w:rPr>
          <w:rFonts w:hint="eastAsia" w:ascii="Times New Roman" w:hAnsi="Times New Roman"/>
          <w:bCs/>
          <w:szCs w:val="24"/>
        </w:rPr>
        <w:t>层</w:t>
      </w:r>
      <w:r>
        <w:rPr>
          <w:rFonts w:ascii="Times New Roman" w:hAnsi="Times New Roman"/>
          <w:bCs/>
          <w:szCs w:val="24"/>
        </w:rPr>
        <w:t>后应采用钢筋网罩、现浇混凝土封闭，且混凝土强度等级不应低于C30，厚度不应小于</w:t>
      </w:r>
      <w:r>
        <w:rPr>
          <w:rFonts w:hint="eastAsia" w:ascii="Times New Roman" w:hAnsi="Times New Roman"/>
          <w:bCs/>
          <w:szCs w:val="24"/>
        </w:rPr>
        <w:t>100</w:t>
      </w:r>
      <w:r>
        <w:rPr>
          <w:rFonts w:ascii="Times New Roman" w:hAnsi="Times New Roman"/>
          <w:bCs/>
          <w:szCs w:val="24"/>
        </w:rPr>
        <w:t>mm，混凝土保护层厚度不应小于50mm。</w:t>
      </w:r>
    </w:p>
    <w:p>
      <w:pPr>
        <w:widowControl w:val="0"/>
        <w:tabs>
          <w:tab w:val="left" w:pos="672"/>
          <w:tab w:val="left" w:pos="1036"/>
          <w:tab w:val="left" w:pos="1620"/>
          <w:tab w:val="left" w:pos="2160"/>
          <w:tab w:val="left" w:pos="7020"/>
        </w:tabs>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5</w:t>
      </w:r>
      <w:r>
        <w:rPr>
          <w:rFonts w:hint="eastAsia" w:ascii="Times New Roman" w:hAnsi="Times New Roman"/>
          <w:b/>
          <w:szCs w:val="24"/>
        </w:rPr>
        <w:t xml:space="preserve">.31 </w:t>
      </w:r>
      <w:r>
        <w:rPr>
          <w:rFonts w:hint="eastAsia" w:ascii="Times New Roman" w:hAnsi="Times New Roman"/>
          <w:szCs w:val="24"/>
        </w:rPr>
        <w:t>对使用期限小于2年的</w:t>
      </w:r>
      <w:r>
        <w:rPr>
          <w:rFonts w:ascii="Times New Roman" w:hAnsi="Times New Roman"/>
          <w:szCs w:val="24"/>
        </w:rPr>
        <w:t>锚杆</w:t>
      </w:r>
      <w:r>
        <w:rPr>
          <w:rFonts w:hint="eastAsia" w:ascii="Times New Roman" w:hAnsi="Times New Roman"/>
          <w:szCs w:val="24"/>
        </w:rPr>
        <w:t>，</w:t>
      </w:r>
      <w:r>
        <w:rPr>
          <w:rFonts w:ascii="Times New Roman" w:hAnsi="Times New Roman"/>
          <w:szCs w:val="24"/>
        </w:rPr>
        <w:t>防腐蚀可采取下列处理措施</w:t>
      </w:r>
      <w:r>
        <w:rPr>
          <w:rFonts w:hint="eastAsia" w:ascii="Times New Roman" w:hAnsi="Times New Roman"/>
          <w:szCs w:val="24"/>
        </w:rPr>
        <w:t>：</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hint="eastAsia" w:ascii="Times New Roman" w:hAnsi="Times New Roman"/>
          <w:szCs w:val="24"/>
        </w:rPr>
      </w:pPr>
      <w:bookmarkStart w:id="589" w:name="_Toc22952"/>
      <w:bookmarkStart w:id="590" w:name="_Toc21876"/>
      <w:r>
        <w:rPr>
          <w:rFonts w:hint="eastAsia" w:ascii="Times New Roman" w:hAnsi="Times New Roman"/>
          <w:szCs w:val="24"/>
        </w:rPr>
        <w:t>1 非预应力锚杆的自由段，可采用除锈后刷沥青防锈漆处理；</w:t>
      </w:r>
      <w:bookmarkEnd w:id="589"/>
      <w:bookmarkEnd w:id="590"/>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hint="eastAsia" w:ascii="Times New Roman" w:hAnsi="Times New Roman"/>
          <w:szCs w:val="24"/>
        </w:rPr>
      </w:pPr>
      <w:r>
        <w:rPr>
          <w:rFonts w:hint="eastAsia" w:ascii="Times New Roman" w:hAnsi="Times New Roman"/>
          <w:szCs w:val="24"/>
        </w:rPr>
        <w:t>2 预应力锚杆的自由段，可采用除锈后刷沥青防锈漆或加套管处理；</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hint="eastAsia" w:ascii="Times New Roman" w:hAnsi="Times New Roman"/>
          <w:szCs w:val="24"/>
        </w:rPr>
      </w:pPr>
      <w:bookmarkStart w:id="591" w:name="_Toc26595"/>
      <w:bookmarkStart w:id="592" w:name="_Toc31922"/>
      <w:r>
        <w:rPr>
          <w:rFonts w:hint="eastAsia" w:ascii="Times New Roman" w:hAnsi="Times New Roman"/>
          <w:szCs w:val="24"/>
        </w:rPr>
        <w:t>3 外锚头可采用外涂防腐材料或外包混凝土处理。</w:t>
      </w:r>
      <w:bookmarkEnd w:id="591"/>
      <w:bookmarkEnd w:id="592"/>
    </w:p>
    <w:p>
      <w:pPr>
        <w:widowControl w:val="0"/>
        <w:tabs>
          <w:tab w:val="left" w:pos="672"/>
          <w:tab w:val="left" w:pos="1036"/>
          <w:tab w:val="left" w:pos="1620"/>
          <w:tab w:val="left" w:pos="2160"/>
          <w:tab w:val="left" w:pos="7020"/>
        </w:tabs>
        <w:spacing w:line="480" w:lineRule="exact"/>
        <w:rPr>
          <w:rFonts w:hint="eastAsia" w:ascii="Times New Roman" w:hAnsi="Times New Roman"/>
          <w:b w:val="0"/>
          <w:bCs/>
          <w:szCs w:val="24"/>
        </w:rPr>
      </w:pPr>
      <w:bookmarkStart w:id="593" w:name="_Toc9836"/>
      <w:bookmarkStart w:id="594" w:name="_Toc22550"/>
      <w:r>
        <w:rPr>
          <w:rFonts w:hint="eastAsia" w:ascii="Times New Roman" w:hAnsi="Times New Roman"/>
          <w:b/>
          <w:szCs w:val="24"/>
        </w:rPr>
        <w:t>8.</w:t>
      </w:r>
      <w:r>
        <w:rPr>
          <w:rFonts w:hint="eastAsia" w:ascii="Times New Roman" w:hAnsi="Times New Roman"/>
          <w:b/>
          <w:szCs w:val="24"/>
          <w:lang w:eastAsia="zh-CN"/>
        </w:rPr>
        <w:t>5</w:t>
      </w:r>
      <w:r>
        <w:rPr>
          <w:rFonts w:hint="eastAsia" w:ascii="Times New Roman" w:hAnsi="Times New Roman"/>
          <w:b/>
          <w:szCs w:val="24"/>
        </w:rPr>
        <w:t xml:space="preserve">.32 </w:t>
      </w:r>
      <w:r>
        <w:rPr>
          <w:rFonts w:hint="eastAsia" w:ascii="Times New Roman" w:hAnsi="Times New Roman"/>
          <w:b w:val="0"/>
          <w:bCs/>
          <w:szCs w:val="24"/>
        </w:rPr>
        <w:t>锚杆抗拔承载力的检测应符合下列规定：</w:t>
      </w:r>
      <w:bookmarkEnd w:id="593"/>
      <w:bookmarkEnd w:id="594"/>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1 检测数量不应少于锚杆总数的5%，且同一土层中的锚杆检测数量不应少于3根；</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2 检测锚杆应采用随机抽样的方法选取；</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3 抗拔承载力检测值应按</w:t>
      </w:r>
      <w:r>
        <w:rPr>
          <w:rFonts w:hint="eastAsia" w:ascii="Times New Roman" w:hAnsi="Times New Roman"/>
          <w:szCs w:val="24"/>
          <w:lang w:eastAsia="zh-CN"/>
        </w:rPr>
        <w:t>本标准</w:t>
      </w:r>
      <w:r>
        <w:rPr>
          <w:rFonts w:hint="eastAsia" w:ascii="Times New Roman" w:hAnsi="Times New Roman"/>
          <w:szCs w:val="24"/>
        </w:rPr>
        <w:t>表8.3.32取值；</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4 检测试验应按</w:t>
      </w:r>
      <w:r>
        <w:rPr>
          <w:rFonts w:hint="eastAsia" w:ascii="Times New Roman" w:hAnsi="Times New Roman"/>
          <w:szCs w:val="24"/>
          <w:lang w:eastAsia="zh-CN"/>
        </w:rPr>
        <w:t>本标准</w:t>
      </w:r>
      <w:r>
        <w:rPr>
          <w:rFonts w:hint="eastAsia" w:ascii="Times New Roman" w:hAnsi="Times New Roman"/>
          <w:szCs w:val="24"/>
        </w:rPr>
        <w:t>附录A的验收试验方法进行；</w:t>
      </w:r>
    </w:p>
    <w:p>
      <w:pPr>
        <w:widowControl w:val="0"/>
        <w:tabs>
          <w:tab w:val="left" w:pos="720"/>
          <w:tab w:val="left" w:pos="854"/>
          <w:tab w:val="left" w:pos="1620"/>
          <w:tab w:val="left" w:pos="2160"/>
          <w:tab w:val="left" w:pos="3060"/>
          <w:tab w:val="left" w:pos="4680"/>
          <w:tab w:val="left" w:pos="7020"/>
        </w:tabs>
        <w:spacing w:line="480" w:lineRule="exact"/>
        <w:ind w:firstLine="480" w:firstLineChars="200"/>
        <w:rPr>
          <w:rFonts w:ascii="Times New Roman" w:hAnsi="Times New Roman"/>
          <w:szCs w:val="24"/>
        </w:rPr>
      </w:pPr>
      <w:r>
        <w:rPr>
          <w:rFonts w:hint="eastAsia" w:ascii="Times New Roman" w:hAnsi="Times New Roman"/>
          <w:szCs w:val="24"/>
        </w:rPr>
        <w:t>5 当检测的锚杆不合格时，应扩大检测数量。</w:t>
      </w:r>
    </w:p>
    <w:p>
      <w:pPr>
        <w:bidi w:val="0"/>
        <w:jc w:val="center"/>
        <w:rPr>
          <w:b/>
          <w:bCs/>
        </w:rPr>
      </w:pPr>
      <w:r>
        <w:rPr>
          <w:rFonts w:hint="eastAsia"/>
          <w:b/>
          <w:bCs/>
        </w:rPr>
        <w:t>表8.</w:t>
      </w:r>
      <w:r>
        <w:rPr>
          <w:rFonts w:hint="eastAsia" w:eastAsia="宋体"/>
          <w:b/>
          <w:bCs/>
          <w:lang w:eastAsia="zh-CN"/>
        </w:rPr>
        <w:t>5</w:t>
      </w:r>
      <w:r>
        <w:rPr>
          <w:rFonts w:hint="eastAsia"/>
          <w:b/>
          <w:bCs/>
        </w:rPr>
        <w:t>.32  锚杆的抗拔承载力检测值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0"/>
        <w:gridCol w:w="5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0" w:type="dxa"/>
          </w:tcPr>
          <w:p>
            <w:pPr>
              <w:widowControl w:val="0"/>
              <w:spacing w:line="400" w:lineRule="exact"/>
              <w:jc w:val="center"/>
              <w:rPr>
                <w:rFonts w:ascii="Times New Roman" w:hAnsi="Times New Roman"/>
                <w:sz w:val="21"/>
                <w:szCs w:val="21"/>
              </w:rPr>
            </w:pPr>
            <w:r>
              <w:rPr>
                <w:rFonts w:hint="eastAsia" w:ascii="Times New Roman" w:hAnsi="Times New Roman"/>
                <w:sz w:val="21"/>
                <w:szCs w:val="21"/>
              </w:rPr>
              <w:t>支护结构的安全等级</w:t>
            </w:r>
          </w:p>
        </w:tc>
        <w:tc>
          <w:tcPr>
            <w:tcW w:w="5150" w:type="dxa"/>
          </w:tcPr>
          <w:p>
            <w:pPr>
              <w:widowControl w:val="0"/>
              <w:spacing w:line="400" w:lineRule="exact"/>
              <w:jc w:val="center"/>
              <w:rPr>
                <w:rFonts w:ascii="Times New Roman" w:hAnsi="Times New Roman"/>
                <w:sz w:val="21"/>
                <w:szCs w:val="21"/>
              </w:rPr>
            </w:pPr>
            <w:r>
              <w:rPr>
                <w:rFonts w:hint="eastAsia" w:ascii="Times New Roman" w:hAnsi="Times New Roman"/>
                <w:sz w:val="21"/>
                <w:szCs w:val="21"/>
              </w:rPr>
              <w:t>抗拔承载力检测值与轴向拉力标准值的比值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一级</w:t>
            </w:r>
          </w:p>
        </w:tc>
        <w:tc>
          <w:tcPr>
            <w:tcW w:w="515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二级</w:t>
            </w:r>
          </w:p>
        </w:tc>
        <w:tc>
          <w:tcPr>
            <w:tcW w:w="515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三级</w:t>
            </w:r>
          </w:p>
        </w:tc>
        <w:tc>
          <w:tcPr>
            <w:tcW w:w="515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1.2</w:t>
            </w:r>
          </w:p>
        </w:tc>
      </w:tr>
    </w:tbl>
    <w:p>
      <w:pPr>
        <w:rPr>
          <w:rFonts w:hint="eastAsia" w:ascii="Times New Roman" w:hAnsi="Times New Roman"/>
        </w:rPr>
      </w:pPr>
    </w:p>
    <w:p>
      <w:pPr>
        <w:pStyle w:val="3"/>
        <w:bidi w:val="0"/>
      </w:pPr>
      <w:bookmarkStart w:id="595" w:name="_Toc7731"/>
      <w:bookmarkStart w:id="596" w:name="_Toc6362"/>
      <w:bookmarkStart w:id="597" w:name="_Toc21568"/>
      <w:r>
        <w:rPr>
          <w:rFonts w:hint="eastAsia"/>
        </w:rPr>
        <w:t>8.</w:t>
      </w:r>
      <w:r>
        <w:rPr>
          <w:rFonts w:hint="eastAsia"/>
          <w:lang w:val="en-US" w:eastAsia="zh-CN"/>
        </w:rPr>
        <w:t>6</w:t>
      </w:r>
      <w:r>
        <w:rPr>
          <w:rFonts w:hint="eastAsia"/>
        </w:rPr>
        <w:t xml:space="preserve">  内支撑结构</w:t>
      </w:r>
      <w:bookmarkEnd w:id="595"/>
      <w:bookmarkEnd w:id="596"/>
      <w:bookmarkEnd w:id="597"/>
    </w:p>
    <w:p>
      <w:pPr>
        <w:bidi w:val="0"/>
        <w:jc w:val="center"/>
        <w:rPr>
          <w:b/>
          <w:bCs/>
          <w:sz w:val="28"/>
          <w:szCs w:val="24"/>
        </w:rPr>
      </w:pPr>
      <w:bookmarkStart w:id="598" w:name="_Toc28073"/>
      <w:bookmarkStart w:id="599" w:name="_Toc12817"/>
      <w:r>
        <w:rPr>
          <w:rFonts w:hint="eastAsia"/>
          <w:b/>
          <w:bCs/>
          <w:sz w:val="28"/>
          <w:szCs w:val="24"/>
        </w:rPr>
        <w:t>Ⅰ 一般规定</w:t>
      </w:r>
      <w:bookmarkEnd w:id="598"/>
      <w:bookmarkEnd w:id="599"/>
    </w:p>
    <w:p>
      <w:pPr>
        <w:widowControl w:val="0"/>
        <w:tabs>
          <w:tab w:val="left" w:pos="315"/>
        </w:tabs>
        <w:spacing w:line="480" w:lineRule="exact"/>
        <w:rPr>
          <w:rFonts w:ascii="Times New Roman" w:hAnsi="Times New Roman"/>
        </w:rPr>
      </w:pPr>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.1</w:t>
      </w:r>
      <w:r>
        <w:rPr>
          <w:rFonts w:hint="eastAsia" w:ascii="Times New Roman" w:hAnsi="Times New Roman"/>
        </w:rPr>
        <w:t xml:space="preserve"> 内支撑结构支护适用于基坑开挖较深，基坑周边不允许锚杆施工和周边环境对基坑土体的水平位移控制要求更严格的情况。</w:t>
      </w:r>
    </w:p>
    <w:p>
      <w:pPr>
        <w:widowControl w:val="0"/>
        <w:spacing w:line="480" w:lineRule="exact"/>
        <w:rPr>
          <w:rFonts w:ascii="Times New Roman" w:hAnsi="Times New Roman"/>
        </w:rPr>
      </w:pPr>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 xml:space="preserve">.2 </w:t>
      </w:r>
      <w:r>
        <w:rPr>
          <w:rFonts w:hint="eastAsia" w:ascii="Times New Roman" w:hAnsi="Times New Roman"/>
        </w:rPr>
        <w:t>内支撑结构的常用型式有单层或多层平面支撑体系和竖向斜撑体系，构件可采用钢结构支撑、钢筋混凝土结构支撑、型钢混凝土结构支撑。</w:t>
      </w:r>
    </w:p>
    <w:p>
      <w:pPr>
        <w:widowControl w:val="0"/>
        <w:spacing w:line="480" w:lineRule="exact"/>
        <w:rPr>
          <w:rFonts w:ascii="Times New Roman" w:hAnsi="Times New Roman"/>
        </w:rPr>
      </w:pPr>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.3</w:t>
      </w:r>
      <w:r>
        <w:rPr>
          <w:rFonts w:hint="eastAsia" w:ascii="Times New Roman" w:hAnsi="Times New Roman"/>
        </w:rPr>
        <w:t xml:space="preserve"> 内支撑结构必须采用稳定的结构体系和可靠的连接构造，支撑体系应具有足够的强度、刚度和稳定性要求。</w:t>
      </w:r>
    </w:p>
    <w:p>
      <w:pPr>
        <w:widowControl w:val="0"/>
        <w:spacing w:line="480" w:lineRule="exact"/>
        <w:rPr>
          <w:rFonts w:ascii="Times New Roman" w:hAnsi="Times New Roman"/>
        </w:rPr>
      </w:pPr>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.4</w:t>
      </w:r>
      <w:r>
        <w:rPr>
          <w:rFonts w:hint="eastAsia" w:ascii="Times New Roman" w:hAnsi="Times New Roman"/>
        </w:rPr>
        <w:t xml:space="preserve"> 一般情况下，在支撑结构上不考虑施工机械运行和材料堆放等作用。当必须利用支撑构件兼作施工平台或栈桥时，或者采取逆作法施工时，应进行专门的设计。</w:t>
      </w:r>
    </w:p>
    <w:p>
      <w:pPr>
        <w:widowControl w:val="0"/>
        <w:spacing w:line="480" w:lineRule="exact"/>
        <w:rPr>
          <w:rFonts w:hint="eastAsia" w:ascii="Times New Roman" w:hAnsi="Times New Roman"/>
          <w:b w:val="0"/>
          <w:bCs/>
        </w:rPr>
      </w:pPr>
      <w:bookmarkStart w:id="600" w:name="_Toc23342"/>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 xml:space="preserve">.5 </w:t>
      </w:r>
      <w:r>
        <w:rPr>
          <w:rFonts w:hint="eastAsia" w:ascii="Times New Roman" w:hAnsi="Times New Roman"/>
          <w:b w:val="0"/>
          <w:bCs/>
        </w:rPr>
        <w:t>钢结构支撑体系可采用轴力伺服系统控制变形。</w:t>
      </w:r>
      <w:bookmarkEnd w:id="600"/>
    </w:p>
    <w:p>
      <w:pPr>
        <w:bidi w:val="0"/>
        <w:jc w:val="center"/>
        <w:rPr>
          <w:rFonts w:hint="eastAsia"/>
          <w:b/>
          <w:bCs/>
          <w:sz w:val="28"/>
          <w:szCs w:val="24"/>
        </w:rPr>
      </w:pPr>
      <w:r>
        <w:rPr>
          <w:rFonts w:hint="eastAsia"/>
          <w:b/>
          <w:bCs/>
          <w:sz w:val="28"/>
          <w:szCs w:val="24"/>
        </w:rPr>
        <w:t>Ⅱ 内支撑体系选型和布置</w:t>
      </w:r>
    </w:p>
    <w:p>
      <w:pPr>
        <w:widowControl w:val="0"/>
        <w:spacing w:line="480" w:lineRule="exact"/>
        <w:rPr>
          <w:rFonts w:hint="eastAsia" w:ascii="Times New Roman" w:hAnsi="Times New Roman"/>
          <w:b w:val="0"/>
          <w:bCs/>
        </w:rPr>
      </w:pPr>
      <w:bookmarkStart w:id="601" w:name="_Toc19654"/>
      <w:bookmarkStart w:id="602" w:name="_Toc15893"/>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 xml:space="preserve">.6 </w:t>
      </w:r>
      <w:r>
        <w:rPr>
          <w:rFonts w:hint="eastAsia" w:ascii="Times New Roman" w:hAnsi="Times New Roman"/>
          <w:b w:val="0"/>
          <w:bCs/>
        </w:rPr>
        <w:t>内支撑结构选型应符合下列原则：</w:t>
      </w:r>
      <w:bookmarkEnd w:id="601"/>
      <w:bookmarkEnd w:id="602"/>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宜采用受力明确、连接可靠、施工方便的结构形式；</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宜采用对称平衡性、整体性强的结构形式；</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应与主体地下结构的结构形式、施工顺序协调，应便于主体结构施工；</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应利于基坑土方开挖和运输；</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需要时，应考虑内支撑结构作为施工平台。</w:t>
      </w:r>
    </w:p>
    <w:p>
      <w:pPr>
        <w:widowControl w:val="0"/>
        <w:spacing w:line="480" w:lineRule="exact"/>
        <w:rPr>
          <w:rFonts w:ascii="Times New Roman" w:hAnsi="Times New Roman"/>
          <w:szCs w:val="24"/>
        </w:rPr>
      </w:pPr>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.7</w:t>
      </w:r>
      <w:r>
        <w:rPr>
          <w:rFonts w:hint="eastAsia" w:ascii="Times New Roman" w:hAnsi="Times New Roman"/>
          <w:szCs w:val="24"/>
        </w:rPr>
        <w:t xml:space="preserve"> 内支撑结构应综合考虑基坑平面的形状、尺寸、开挖深度、周边环境条件、主体结构的形式等因素，选用下列内支撑形式（图8.</w:t>
      </w:r>
      <w:r>
        <w:rPr>
          <w:rFonts w:hint="eastAsia" w:ascii="Times New Roman" w:hAnsi="Times New Roman"/>
          <w:szCs w:val="24"/>
          <w:lang w:val="en-US" w:eastAsia="zh-CN"/>
        </w:rPr>
        <w:t>6</w:t>
      </w:r>
      <w:r>
        <w:rPr>
          <w:rFonts w:hint="eastAsia" w:ascii="Times New Roman" w:hAnsi="Times New Roman"/>
          <w:szCs w:val="24"/>
        </w:rPr>
        <w:t>.7）：</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1 水平对撑或斜撑，可采用单杆、桁架、八字形支撑；</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正交或斜交的平面杆系支撑；</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环形杆系或板系支撑；</w:t>
      </w:r>
    </w:p>
    <w:p>
      <w:pPr>
        <w:widowControl w:val="0"/>
        <w:spacing w:line="480" w:lineRule="exact"/>
        <w:ind w:firstLine="480" w:firstLineChars="200"/>
        <w:rPr>
          <w:rFonts w:hint="eastAsia" w:ascii="Times New Roman" w:hAnsi="Times New Roman"/>
          <w:szCs w:val="24"/>
        </w:rPr>
      </w:pPr>
      <w:r>
        <w:rPr>
          <w:rFonts w:ascii="Times New Roman" w:hAnsi="Times New Roman"/>
          <w:szCs w:val="24"/>
        </w:rPr>
        <w:drawing>
          <wp:anchor distT="0" distB="0" distL="114300" distR="114300" simplePos="0" relativeHeight="251663360" behindDoc="0" locked="0" layoutInCell="1" allowOverlap="1">
            <wp:simplePos x="0" y="0"/>
            <wp:positionH relativeFrom="column">
              <wp:posOffset>104775</wp:posOffset>
            </wp:positionH>
            <wp:positionV relativeFrom="paragraph">
              <wp:posOffset>400050</wp:posOffset>
            </wp:positionV>
            <wp:extent cx="6026785" cy="1428750"/>
            <wp:effectExtent l="0" t="0" r="0" b="0"/>
            <wp:wrapSquare wrapText="bothSides"/>
            <wp:docPr id="235" name="Object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5" name="Object 14"/>
                    <pic:cNvPicPr>
                      <a:picLocks noChangeAspect="true"/>
                    </pic:cNvPicPr>
                  </pic:nvPicPr>
                  <pic:blipFill>
                    <a:blip r:embed="rId465"/>
                    <a:srcRect t="21733" b="17534"/>
                    <a:stretch>
                      <a:fillRect/>
                    </a:stretch>
                  </pic:blipFill>
                  <pic:spPr>
                    <a:xfrm>
                      <a:off x="0" y="0"/>
                      <a:ext cx="6026785" cy="1428750"/>
                    </a:xfrm>
                    <a:prstGeom prst="rect">
                      <a:avLst/>
                    </a:prstGeom>
                    <a:noFill/>
                    <a:ln w="9525">
                      <a:noFill/>
                    </a:ln>
                  </pic:spPr>
                </pic:pic>
              </a:graphicData>
            </a:graphic>
          </wp:anchor>
        </w:drawing>
      </w:r>
      <w:r>
        <w:rPr>
          <w:rFonts w:hint="eastAsia" w:ascii="Times New Roman" w:hAnsi="Times New Roman"/>
          <w:szCs w:val="24"/>
        </w:rPr>
        <w:t>4 竖向斜撑。</w:t>
      </w:r>
    </w:p>
    <w:p>
      <w:pPr>
        <w:widowControl w:val="0"/>
        <w:spacing w:line="240" w:lineRule="exact"/>
        <w:ind w:firstLine="840" w:firstLineChars="400"/>
        <w:rPr>
          <w:rFonts w:ascii="Times New Roman" w:hAnsi="Times New Roman"/>
          <w:b/>
          <w:sz w:val="21"/>
          <w:szCs w:val="21"/>
        </w:rPr>
      </w:pPr>
      <w:r>
        <w:rPr>
          <w:rFonts w:hint="eastAsia" w:ascii="Times New Roman" w:hAnsi="Times New Roman"/>
          <w:sz w:val="21"/>
          <w:szCs w:val="21"/>
        </w:rPr>
        <w:t>单向斜支撑及平面角撑示意图                  双向对顶平面支撑示意图</w:t>
      </w:r>
    </w:p>
    <w:p>
      <w:pPr>
        <w:widowControl w:val="0"/>
        <w:spacing w:line="360" w:lineRule="exact"/>
        <w:jc w:val="center"/>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sym w:font="Symbol" w:char="F0BE"/>
      </w:r>
      <w:r>
        <w:rPr>
          <w:rFonts w:hint="eastAsia" w:ascii="Times New Roman" w:hAnsi="Times New Roman"/>
          <w:sz w:val="21"/>
          <w:szCs w:val="21"/>
        </w:rPr>
        <w:t>竖向斜支撑；</w:t>
      </w:r>
      <w:r>
        <w:rPr>
          <w:rFonts w:ascii="Times New Roman" w:hAnsi="Times New Roman"/>
          <w:sz w:val="21"/>
          <w:szCs w:val="21"/>
        </w:rPr>
        <w:t>2</w:t>
      </w:r>
      <w:r>
        <w:rPr>
          <w:rFonts w:ascii="Times New Roman" w:hAnsi="Times New Roman"/>
          <w:sz w:val="21"/>
          <w:szCs w:val="21"/>
        </w:rPr>
        <w:sym w:font="Symbol" w:char="F0BE"/>
      </w:r>
      <w:r>
        <w:rPr>
          <w:rFonts w:hint="eastAsia" w:ascii="Times New Roman" w:hAnsi="Times New Roman"/>
          <w:sz w:val="21"/>
          <w:szCs w:val="21"/>
        </w:rPr>
        <w:t>平面角撑；</w:t>
      </w:r>
      <w:r>
        <w:rPr>
          <w:rFonts w:ascii="Times New Roman" w:hAnsi="Times New Roman"/>
          <w:sz w:val="21"/>
          <w:szCs w:val="21"/>
        </w:rPr>
        <w:t>3</w:t>
      </w:r>
      <w:r>
        <w:rPr>
          <w:rFonts w:ascii="Times New Roman" w:hAnsi="Times New Roman"/>
          <w:sz w:val="21"/>
          <w:szCs w:val="21"/>
        </w:rPr>
        <w:sym w:font="Symbol" w:char="F0BE"/>
      </w:r>
      <w:r>
        <w:rPr>
          <w:rFonts w:hint="eastAsia" w:ascii="Times New Roman" w:hAnsi="Times New Roman"/>
          <w:sz w:val="21"/>
          <w:szCs w:val="21"/>
        </w:rPr>
        <w:t>冠梁；</w:t>
      </w:r>
      <w:r>
        <w:rPr>
          <w:rFonts w:ascii="Times New Roman" w:hAnsi="Times New Roman"/>
          <w:sz w:val="21"/>
          <w:szCs w:val="21"/>
        </w:rPr>
        <w:t>4</w:t>
      </w:r>
      <w:r>
        <w:rPr>
          <w:rFonts w:ascii="Times New Roman" w:hAnsi="Times New Roman"/>
          <w:sz w:val="21"/>
          <w:szCs w:val="21"/>
        </w:rPr>
        <w:sym w:font="Symbol" w:char="F0BE"/>
      </w:r>
      <w:r>
        <w:rPr>
          <w:rFonts w:ascii="Times New Roman" w:hAnsi="Times New Roman"/>
          <w:sz w:val="21"/>
          <w:szCs w:val="21"/>
        </w:rPr>
        <w:t xml:space="preserve"> </w:t>
      </w:r>
      <w:r>
        <w:rPr>
          <w:rFonts w:hint="eastAsia" w:ascii="Times New Roman" w:hAnsi="Times New Roman"/>
          <w:sz w:val="21"/>
          <w:szCs w:val="21"/>
        </w:rPr>
        <w:t>腰梁；</w:t>
      </w:r>
      <w:r>
        <w:rPr>
          <w:rFonts w:ascii="Times New Roman" w:hAnsi="Times New Roman"/>
          <w:sz w:val="21"/>
          <w:szCs w:val="21"/>
        </w:rPr>
        <w:t>5</w:t>
      </w:r>
      <w:r>
        <w:rPr>
          <w:rFonts w:ascii="Times New Roman" w:hAnsi="Times New Roman"/>
          <w:sz w:val="21"/>
          <w:szCs w:val="21"/>
        </w:rPr>
        <w:sym w:font="Symbol" w:char="F0BE"/>
      </w:r>
      <w:r>
        <w:rPr>
          <w:rFonts w:hint="eastAsia" w:ascii="Times New Roman" w:hAnsi="Times New Roman"/>
          <w:sz w:val="21"/>
          <w:szCs w:val="21"/>
        </w:rPr>
        <w:t>斜支撑基础；</w:t>
      </w:r>
    </w:p>
    <w:p>
      <w:pPr>
        <w:widowControl w:val="0"/>
        <w:spacing w:line="360" w:lineRule="exact"/>
        <w:jc w:val="center"/>
        <w:rPr>
          <w:rFonts w:ascii="Times New Roman" w:hAnsi="Times New Roman"/>
          <w:sz w:val="21"/>
          <w:szCs w:val="21"/>
        </w:rPr>
      </w:pPr>
      <w:r>
        <w:rPr>
          <w:rFonts w:hint="eastAsia" w:ascii="Times New Roman" w:hAnsi="Times New Roman"/>
          <w:sz w:val="21"/>
          <w:szCs w:val="21"/>
        </w:rPr>
        <w:t>6</w:t>
      </w:r>
      <w:r>
        <w:rPr>
          <w:rFonts w:ascii="Times New Roman" w:hAnsi="Times New Roman"/>
          <w:sz w:val="21"/>
          <w:szCs w:val="21"/>
        </w:rPr>
        <w:sym w:font="Symbol" w:char="F0BE"/>
      </w:r>
      <w:r>
        <w:rPr>
          <w:rFonts w:hint="eastAsia" w:ascii="Times New Roman" w:hAnsi="Times New Roman"/>
          <w:sz w:val="21"/>
          <w:szCs w:val="21"/>
        </w:rPr>
        <w:t>横向水平撑；7</w:t>
      </w:r>
      <w:r>
        <w:rPr>
          <w:rFonts w:ascii="Times New Roman" w:hAnsi="Times New Roman"/>
          <w:sz w:val="21"/>
          <w:szCs w:val="21"/>
        </w:rPr>
        <w:sym w:font="Symbol" w:char="F0BE"/>
      </w:r>
      <w:r>
        <w:rPr>
          <w:rFonts w:hint="eastAsia" w:ascii="Times New Roman" w:hAnsi="Times New Roman"/>
          <w:sz w:val="21"/>
          <w:szCs w:val="21"/>
        </w:rPr>
        <w:t>纵向水平撑；8</w:t>
      </w:r>
      <w:r>
        <w:rPr>
          <w:rFonts w:ascii="Times New Roman" w:hAnsi="Times New Roman"/>
          <w:sz w:val="21"/>
          <w:szCs w:val="21"/>
        </w:rPr>
        <w:sym w:font="Symbol" w:char="F0BE"/>
      </w:r>
      <w:r>
        <w:rPr>
          <w:rFonts w:hint="eastAsia" w:ascii="Times New Roman" w:hAnsi="Times New Roman"/>
          <w:sz w:val="21"/>
          <w:szCs w:val="21"/>
        </w:rPr>
        <w:t>立柱；9</w:t>
      </w:r>
      <w:r>
        <w:rPr>
          <w:rFonts w:ascii="Times New Roman" w:hAnsi="Times New Roman"/>
          <w:sz w:val="21"/>
          <w:szCs w:val="21"/>
        </w:rPr>
        <w:sym w:font="Symbol" w:char="F0BE"/>
      </w:r>
      <w:r>
        <w:rPr>
          <w:rFonts w:ascii="Times New Roman" w:hAnsi="Times New Roman"/>
          <w:sz w:val="21"/>
          <w:szCs w:val="21"/>
        </w:rPr>
        <w:t xml:space="preserve"> </w:t>
      </w:r>
      <w:r>
        <w:rPr>
          <w:rFonts w:hint="eastAsia" w:ascii="Times New Roman" w:hAnsi="Times New Roman"/>
          <w:sz w:val="21"/>
          <w:szCs w:val="21"/>
        </w:rPr>
        <w:t>八字撑；10</w:t>
      </w:r>
      <w:r>
        <w:rPr>
          <w:rFonts w:ascii="Times New Roman" w:hAnsi="Times New Roman"/>
          <w:sz w:val="21"/>
          <w:szCs w:val="21"/>
        </w:rPr>
        <w:sym w:font="Symbol" w:char="F0BE"/>
      </w:r>
      <w:r>
        <w:rPr>
          <w:rFonts w:hint="eastAsia" w:ascii="Times New Roman" w:hAnsi="Times New Roman"/>
          <w:sz w:val="21"/>
          <w:szCs w:val="21"/>
        </w:rPr>
        <w:t>立柱基础</w:t>
      </w:r>
    </w:p>
    <w:p>
      <w:pPr>
        <w:widowControl w:val="0"/>
        <w:spacing w:line="360" w:lineRule="auto"/>
        <w:rPr>
          <w:rFonts w:hint="eastAsia" w:ascii="Times New Roman" w:hAnsi="Times New Roman"/>
          <w:szCs w:val="24"/>
        </w:rPr>
      </w:pPr>
    </w:p>
    <w:p>
      <w:pPr>
        <w:widowControl w:val="0"/>
        <w:spacing w:line="240" w:lineRule="exact"/>
      </w:pPr>
      <w:r>
        <w:drawing>
          <wp:anchor distT="0" distB="0" distL="114300" distR="114300" simplePos="0" relativeHeight="251664384" behindDoc="0" locked="0" layoutInCell="1" allowOverlap="1">
            <wp:simplePos x="0" y="0"/>
            <wp:positionH relativeFrom="column">
              <wp:posOffset>391160</wp:posOffset>
            </wp:positionH>
            <wp:positionV relativeFrom="paragraph">
              <wp:posOffset>40640</wp:posOffset>
            </wp:positionV>
            <wp:extent cx="5236210" cy="1760220"/>
            <wp:effectExtent l="0" t="0" r="6350" b="0"/>
            <wp:wrapSquare wrapText="bothSides"/>
            <wp:docPr id="356" name="图片 3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true" noChangeArrowheads="true"/>
                    </pic:cNvPicPr>
                  </pic:nvPicPr>
                  <pic:blipFill>
                    <a:blip r:embed="rId466">
                      <a:extLst>
                        <a:ext uri="{28A0092B-C50C-407E-A947-70E740481C1C}">
                          <a14:useLocalDpi xmlns:a14="http://schemas.microsoft.com/office/drawing/2010/main" val="false"/>
                        </a:ext>
                      </a:extLst>
                    </a:blip>
                    <a:srcRect t="16740" b="17145"/>
                    <a:stretch>
                      <a:fillRect/>
                    </a:stretch>
                  </pic:blipFill>
                  <pic:spPr>
                    <a:xfrm>
                      <a:off x="0" y="0"/>
                      <a:ext cx="5236210" cy="1760220"/>
                    </a:xfrm>
                    <a:prstGeom prst="rect">
                      <a:avLst/>
                    </a:prstGeom>
                    <a:noFill/>
                    <a:ln>
                      <a:noFill/>
                    </a:ln>
                  </pic:spPr>
                </pic:pic>
              </a:graphicData>
            </a:graphic>
          </wp:anchor>
        </w:drawing>
      </w:r>
    </w:p>
    <w:p>
      <w:pPr>
        <w:widowControl w:val="0"/>
        <w:spacing w:line="240" w:lineRule="exact"/>
        <w:rPr>
          <w:rFonts w:hint="default" w:eastAsia="宋体"/>
          <w:lang w:val="en-US" w:eastAsia="zh-CN"/>
        </w:rPr>
      </w:pPr>
      <w:r>
        <w:rPr>
          <w:rFonts w:hint="eastAsia" w:ascii="Calibri" w:eastAsia="宋体"/>
          <w:lang w:val="en-US" w:eastAsia="zh-CN"/>
        </w:rPr>
        <w:t xml:space="preserve">  </w:t>
      </w:r>
    </w:p>
    <w:p>
      <w:pPr>
        <w:widowControl w:val="0"/>
        <w:spacing w:line="240" w:lineRule="exact"/>
        <w:rPr>
          <w:rFonts w:ascii="Times New Roman" w:hAnsi="Times New Roman"/>
          <w:sz w:val="21"/>
          <w:szCs w:val="24"/>
        </w:rPr>
      </w:pPr>
    </w:p>
    <w:p>
      <w:pPr>
        <w:widowControl w:val="0"/>
        <w:spacing w:line="240" w:lineRule="exact"/>
        <w:rPr>
          <w:rFonts w:ascii="Times New Roman" w:hAnsi="Times New Roman"/>
          <w:sz w:val="21"/>
          <w:szCs w:val="24"/>
        </w:rPr>
      </w:pPr>
    </w:p>
    <w:p>
      <w:pPr>
        <w:widowControl w:val="0"/>
        <w:spacing w:line="240" w:lineRule="exact"/>
        <w:rPr>
          <w:rFonts w:ascii="Times New Roman" w:hAnsi="Times New Roman"/>
          <w:sz w:val="21"/>
          <w:szCs w:val="24"/>
        </w:rPr>
      </w:pPr>
    </w:p>
    <w:p>
      <w:pPr>
        <w:widowControl w:val="0"/>
        <w:spacing w:line="240" w:lineRule="exact"/>
        <w:rPr>
          <w:rFonts w:ascii="Times New Roman" w:hAnsi="Times New Roman"/>
          <w:sz w:val="21"/>
          <w:szCs w:val="24"/>
        </w:rPr>
      </w:pPr>
    </w:p>
    <w:p>
      <w:pPr>
        <w:widowControl w:val="0"/>
        <w:spacing w:line="240" w:lineRule="exact"/>
        <w:rPr>
          <w:rFonts w:ascii="Times New Roman" w:hAnsi="Times New Roman"/>
          <w:sz w:val="21"/>
          <w:szCs w:val="24"/>
        </w:rPr>
      </w:pPr>
    </w:p>
    <w:p>
      <w:pPr>
        <w:widowControl w:val="0"/>
        <w:spacing w:line="240" w:lineRule="exact"/>
        <w:rPr>
          <w:rFonts w:ascii="Times New Roman" w:hAnsi="Times New Roman"/>
          <w:sz w:val="21"/>
          <w:szCs w:val="24"/>
        </w:rPr>
      </w:pPr>
    </w:p>
    <w:p>
      <w:pPr>
        <w:widowControl w:val="0"/>
        <w:spacing w:line="240" w:lineRule="exact"/>
        <w:ind w:firstLine="1890" w:firstLineChars="900"/>
        <w:rPr>
          <w:rFonts w:ascii="Times New Roman" w:hAnsi="Times New Roman"/>
          <w:sz w:val="21"/>
          <w:szCs w:val="21"/>
        </w:rPr>
      </w:pPr>
    </w:p>
    <w:p>
      <w:pPr>
        <w:widowControl w:val="0"/>
        <w:spacing w:line="240" w:lineRule="exact"/>
        <w:ind w:firstLine="1890" w:firstLineChars="900"/>
        <w:rPr>
          <w:rFonts w:ascii="Times New Roman" w:hAnsi="Times New Roman"/>
          <w:sz w:val="21"/>
          <w:szCs w:val="21"/>
        </w:rPr>
      </w:pPr>
    </w:p>
    <w:p>
      <w:pPr>
        <w:widowControl w:val="0"/>
        <w:spacing w:line="240" w:lineRule="exact"/>
        <w:ind w:firstLine="1890" w:firstLineChars="900"/>
        <w:rPr>
          <w:rFonts w:ascii="Times New Roman" w:hAnsi="Times New Roman"/>
          <w:sz w:val="21"/>
          <w:szCs w:val="21"/>
        </w:rPr>
      </w:pPr>
    </w:p>
    <w:p>
      <w:pPr>
        <w:widowControl w:val="0"/>
        <w:spacing w:line="240" w:lineRule="exact"/>
        <w:ind w:left="1044" w:leftChars="435" w:firstLine="840" w:firstLineChars="400"/>
        <w:rPr>
          <w:rFonts w:ascii="Times New Roman" w:hAnsi="Times New Roman"/>
          <w:sz w:val="21"/>
          <w:szCs w:val="21"/>
        </w:rPr>
      </w:pPr>
      <w:r>
        <w:rPr>
          <w:rFonts w:hint="eastAsia" w:ascii="Times New Roman" w:hAnsi="Times New Roman"/>
          <w:sz w:val="21"/>
          <w:szCs w:val="21"/>
        </w:rPr>
        <w:t>桁架型对顶平面支撑示意图                    环型平面支撑示意图</w:t>
      </w:r>
    </w:p>
    <w:p>
      <w:pPr>
        <w:bidi w:val="0"/>
        <w:jc w:val="center"/>
        <w:rPr>
          <w:rFonts w:hint="eastAsia"/>
          <w:b/>
          <w:bCs/>
        </w:rPr>
      </w:pPr>
    </w:p>
    <w:p>
      <w:pPr>
        <w:bidi w:val="0"/>
        <w:jc w:val="center"/>
        <w:rPr>
          <w:b/>
          <w:bCs/>
        </w:rPr>
      </w:pPr>
      <w:r>
        <w:rPr>
          <w:rFonts w:hint="eastAsia"/>
          <w:b/>
          <w:bCs/>
        </w:rPr>
        <w:t>图8.</w:t>
      </w:r>
      <w:r>
        <w:rPr>
          <w:rFonts w:hint="eastAsia" w:eastAsia="宋体"/>
          <w:b/>
          <w:bCs/>
          <w:lang w:eastAsia="zh-CN"/>
        </w:rPr>
        <w:t>6</w:t>
      </w:r>
      <w:r>
        <w:rPr>
          <w:rFonts w:hint="eastAsia"/>
          <w:b/>
          <w:bCs/>
        </w:rPr>
        <w:t>.7  内支撑布置的基本形式</w:t>
      </w:r>
    </w:p>
    <w:p>
      <w:pPr>
        <w:widowControl w:val="0"/>
        <w:spacing w:line="480" w:lineRule="exact"/>
        <w:rPr>
          <w:rFonts w:hint="eastAsia" w:ascii="Times New Roman" w:hAnsi="Times New Roman"/>
          <w:b w:val="0"/>
          <w:bCs/>
        </w:rPr>
      </w:pPr>
      <w:bookmarkStart w:id="603" w:name="_Toc18673"/>
      <w:bookmarkStart w:id="604" w:name="_Toc5466"/>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.8</w:t>
      </w:r>
      <w:r>
        <w:rPr>
          <w:rFonts w:hint="eastAsia" w:ascii="Times New Roman" w:hAnsi="Times New Roman"/>
          <w:b w:val="0"/>
          <w:bCs/>
        </w:rPr>
        <w:t xml:space="preserve"> 内支撑的平面布置应符合下列规定：</w:t>
      </w:r>
      <w:bookmarkEnd w:id="603"/>
      <w:bookmarkEnd w:id="604"/>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内支撑的布置应满足主体结构的施工要求，宜避开地下主体结构的墙、柱；</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相邻支撑的水平间距应满足土方开挖的施工要求；采用机械挖土时，应满足挖土机械作业的空间要求，且不宜小于4m；</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当采用环形支撑时，环梁宜采用圆形、椭圆形等封闭曲线形式；并应按使环梁弯矩、剪力最小的原则布置辐射支撑；宜采用环形支撑与腰梁或冠梁交汇的布置形式；</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水平支撑应设置与挡土构件连接的腰梁；当支撑设置在挡土构件顶部所在平面时，应与挡土构件的冠梁连接；在腰梁或冠梁上支撑点的间距，对钢腰梁不宜大于4m，对混凝土腰梁不宜大于9m；</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当需要采用相邻水平间距较大的支撑时，宜根据支撑冠梁、腰梁的受力和承载力要求，在支撑端部两侧设置八字斜撑杆与冠梁、腰梁连接，八字斜撑杆宜在主撑两侧对称布置，且斜撑杆的长度不宜大于9m，斜撑杆与冠梁、腰梁之间的夹角宜取45</w:t>
      </w:r>
      <w:r>
        <w:rPr>
          <w:rFonts w:hint="eastAsia" w:ascii="Times New Roman" w:hAnsi="Times New Roman"/>
          <w:szCs w:val="24"/>
        </w:rPr>
        <w:sym w:font="Symbol" w:char="F0B0"/>
      </w:r>
      <w:r>
        <w:rPr>
          <w:rFonts w:hint="eastAsia" w:ascii="Times New Roman" w:hAnsi="Times New Roman"/>
          <w:szCs w:val="24"/>
        </w:rPr>
        <w:t>～60</w:t>
      </w:r>
      <w:r>
        <w:rPr>
          <w:rFonts w:hint="eastAsia" w:ascii="Times New Roman" w:hAnsi="Times New Roman"/>
          <w:szCs w:val="24"/>
        </w:rPr>
        <w:sym w:font="Symbol" w:char="F0B0"/>
      </w:r>
      <w:r>
        <w:rPr>
          <w:rFonts w:hint="eastAsia" w:ascii="Times New Roman" w:hAnsi="Times New Roman"/>
          <w:szCs w:val="24"/>
        </w:rPr>
        <w:t>；</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6 当设置支撑立柱时，临时立柱应避开主体结构的梁、柱及承重墙；对纵横双向交叉的支撑结构，立柱宜设置在支撑的交汇点处；对用作主体结构柱的立柱，立柱在基坑支护阶段的负荷不得超过主体结构的设计要求；立柱与支撑端部及立柱之间的间距应根椐支撑构件的稳定要求和竖向荷载的大小确定，且对混凝土支撑不宜大于15m，对钢支撑不宜大于20m。</w:t>
      </w:r>
    </w:p>
    <w:p>
      <w:pPr>
        <w:widowControl w:val="0"/>
        <w:spacing w:line="480" w:lineRule="exact"/>
        <w:ind w:firstLine="480" w:firstLineChars="200"/>
        <w:rPr>
          <w:rFonts w:hint="eastAsia" w:ascii="Times New Roman" w:hAnsi="Times New Roman"/>
          <w:color w:val="auto"/>
          <w:szCs w:val="24"/>
        </w:rPr>
      </w:pPr>
      <w:bookmarkStart w:id="605" w:name="_Toc11223"/>
      <w:bookmarkStart w:id="606" w:name="_Toc30469"/>
      <w:r>
        <w:rPr>
          <w:rFonts w:hint="eastAsia" w:ascii="Times New Roman" w:hAnsi="Times New Roman"/>
          <w:color w:val="auto"/>
          <w:szCs w:val="24"/>
        </w:rPr>
        <w:t>7 基坑向内突出的阳角应设置可靠的双向约束。</w:t>
      </w:r>
      <w:bookmarkEnd w:id="605"/>
      <w:bookmarkEnd w:id="606"/>
    </w:p>
    <w:p>
      <w:pPr>
        <w:widowControl w:val="0"/>
        <w:spacing w:line="480" w:lineRule="exact"/>
        <w:rPr>
          <w:rFonts w:hint="eastAsia" w:ascii="Times New Roman" w:hAnsi="Times New Roman"/>
          <w:b w:val="0"/>
          <w:bCs/>
        </w:rPr>
      </w:pPr>
      <w:bookmarkStart w:id="607" w:name="_Toc7615"/>
      <w:bookmarkStart w:id="608" w:name="_Toc24100"/>
      <w:r>
        <w:rPr>
          <w:rFonts w:hint="eastAsia" w:ascii="Times New Roman" w:hAnsi="Times New Roman"/>
          <w:b/>
        </w:rPr>
        <w:t>8.</w:t>
      </w:r>
      <w:r>
        <w:rPr>
          <w:rFonts w:hint="eastAsia" w:ascii="Times New Roman" w:hAnsi="Times New Roman"/>
          <w:b/>
          <w:lang w:eastAsia="zh-CN"/>
        </w:rPr>
        <w:t>6</w:t>
      </w:r>
      <w:r>
        <w:rPr>
          <w:rFonts w:hint="eastAsia" w:ascii="Times New Roman" w:hAnsi="Times New Roman"/>
          <w:b/>
        </w:rPr>
        <w:t xml:space="preserve">.9 </w:t>
      </w:r>
      <w:r>
        <w:rPr>
          <w:rFonts w:hint="eastAsia" w:ascii="Times New Roman" w:hAnsi="Times New Roman"/>
          <w:b w:val="0"/>
          <w:bCs/>
        </w:rPr>
        <w:t>内支撑的竖向布置应符合下列规定：</w:t>
      </w:r>
      <w:bookmarkEnd w:id="607"/>
      <w:bookmarkEnd w:id="608"/>
    </w:p>
    <w:p>
      <w:pPr>
        <w:widowControl w:val="0"/>
        <w:spacing w:line="480" w:lineRule="exact"/>
        <w:ind w:firstLine="480" w:firstLineChars="200"/>
        <w:rPr>
          <w:rFonts w:hint="eastAsia" w:ascii="Times New Roman" w:hAnsi="Times New Roman"/>
          <w:szCs w:val="24"/>
        </w:rPr>
      </w:pPr>
      <w:bookmarkStart w:id="609" w:name="_Toc3214"/>
      <w:bookmarkStart w:id="610" w:name="_Toc17902"/>
      <w:r>
        <w:rPr>
          <w:rFonts w:hint="eastAsia" w:ascii="Times New Roman" w:hAnsi="Times New Roman"/>
          <w:szCs w:val="24"/>
        </w:rPr>
        <w:t>1 支撑与挡土构件之间不应出现拉力；</w:t>
      </w:r>
      <w:bookmarkEnd w:id="609"/>
      <w:bookmarkEnd w:id="610"/>
    </w:p>
    <w:p>
      <w:pPr>
        <w:widowControl w:val="0"/>
        <w:spacing w:line="480" w:lineRule="exact"/>
        <w:ind w:firstLine="480" w:firstLineChars="200"/>
        <w:rPr>
          <w:rFonts w:ascii="Times New Roman" w:hAnsi="Times New Roman"/>
          <w:szCs w:val="24"/>
        </w:rPr>
      </w:pPr>
      <w:r>
        <w:rPr>
          <w:rFonts w:hint="eastAsia" w:ascii="Times New Roman" w:hAnsi="Times New Roman"/>
          <w:szCs w:val="24"/>
        </w:rPr>
        <w:t>2 支撑应避开主体地下结构底板和楼板的位置，并应满足主体地下结构施工对墙、柱钢筋连接的要求；当支撑下方的主体结构楼板在支撑拆除前施工时，支撑底面与下方主体结构楼板间的净距不宜小于700mm；</w:t>
      </w:r>
    </w:p>
    <w:p>
      <w:pPr>
        <w:widowControl w:val="0"/>
        <w:spacing w:line="480" w:lineRule="exact"/>
        <w:ind w:firstLine="480" w:firstLineChars="200"/>
        <w:rPr>
          <w:rFonts w:hint="eastAsia" w:ascii="Times New Roman" w:hAnsi="Times New Roman"/>
          <w:szCs w:val="24"/>
        </w:rPr>
      </w:pPr>
      <w:bookmarkStart w:id="611" w:name="_Toc9074"/>
      <w:bookmarkStart w:id="612" w:name="_Toc1180"/>
      <w:r>
        <w:rPr>
          <w:rFonts w:hint="eastAsia" w:ascii="Times New Roman" w:hAnsi="Times New Roman"/>
          <w:szCs w:val="24"/>
        </w:rPr>
        <w:t>3 支撑至基底的净高不宜小于3m；</w:t>
      </w:r>
      <w:bookmarkEnd w:id="611"/>
      <w:bookmarkEnd w:id="612"/>
    </w:p>
    <w:p>
      <w:pPr>
        <w:widowControl w:val="0"/>
        <w:spacing w:line="480" w:lineRule="exact"/>
        <w:ind w:firstLine="480" w:firstLineChars="200"/>
        <w:rPr>
          <w:rFonts w:ascii="Times New Roman" w:hAnsi="Times New Roman"/>
          <w:szCs w:val="24"/>
        </w:rPr>
      </w:pPr>
      <w:r>
        <w:rPr>
          <w:rFonts w:hint="eastAsia" w:ascii="Times New Roman" w:hAnsi="Times New Roman"/>
          <w:szCs w:val="24"/>
        </w:rPr>
        <w:t>4 采用多层水平支撑时，各层水平支撑宜布置在同一竖向平面内，层间净高不宜小于3m。</w:t>
      </w:r>
    </w:p>
    <w:p>
      <w:pPr>
        <w:widowControl w:val="0"/>
        <w:tabs>
          <w:tab w:val="left" w:pos="900"/>
        </w:tabs>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.10 </w:t>
      </w:r>
      <w:r>
        <w:rPr>
          <w:rFonts w:hint="eastAsia" w:ascii="Times New Roman" w:hAnsi="Times New Roman"/>
          <w:spacing w:val="-2"/>
          <w:szCs w:val="24"/>
        </w:rPr>
        <w:t>竖向斜支撑通常由斜撑、腰梁或冠梁、斜支撑基础组成。斜支撑宜均匀布置，水平间距由计算确定，斜撑与腰梁或冠梁以及与基础的连接应满足抗斜撑水平分力与竖向分力的要求。设置斜撑基础时，</w:t>
      </w:r>
      <w:r>
        <w:rPr>
          <w:rFonts w:hint="eastAsia" w:ascii="Times New Roman" w:hAnsi="Times New Roman"/>
          <w:spacing w:val="-2"/>
          <w:szCs w:val="24"/>
          <w:lang w:val="en-US" w:eastAsia="zh-CN"/>
        </w:rPr>
        <w:t>应</w:t>
      </w:r>
      <w:r>
        <w:rPr>
          <w:rFonts w:hint="eastAsia" w:ascii="Times New Roman" w:hAnsi="Times New Roman"/>
          <w:spacing w:val="-2"/>
          <w:szCs w:val="24"/>
        </w:rPr>
        <w:t>考虑与主体结构底板施工的关系。</w:t>
      </w:r>
    </w:p>
    <w:p>
      <w:pPr>
        <w:bidi w:val="0"/>
        <w:jc w:val="center"/>
        <w:rPr>
          <w:rFonts w:hint="eastAsia"/>
          <w:b/>
          <w:bCs/>
          <w:sz w:val="28"/>
          <w:szCs w:val="24"/>
        </w:rPr>
      </w:pPr>
      <w:bookmarkStart w:id="613" w:name="_Toc22897"/>
      <w:bookmarkStart w:id="614" w:name="_Toc18099"/>
      <w:r>
        <w:rPr>
          <w:rFonts w:hint="eastAsia"/>
          <w:b/>
          <w:bCs/>
          <w:sz w:val="28"/>
          <w:szCs w:val="24"/>
        </w:rPr>
        <w:t>Ⅲ  内支撑结构设计计算</w:t>
      </w:r>
      <w:bookmarkEnd w:id="613"/>
      <w:bookmarkEnd w:id="614"/>
    </w:p>
    <w:p>
      <w:pPr>
        <w:widowControl w:val="0"/>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.11 </w:t>
      </w:r>
      <w:r>
        <w:rPr>
          <w:rFonts w:hint="eastAsia" w:ascii="Times New Roman" w:hAnsi="Times New Roman"/>
          <w:szCs w:val="24"/>
        </w:rPr>
        <w:t>内支撑结构设计时，应考虑地质条件的复杂性和基坑开挖步序的变化而出现的偶然状况，并应在设计上采取必要的防范措施。内支撑结构宜采用超静定结构；在复杂环境或软弱土质中，应选用平面或空间的超静定结构。内支撑结构，应考虑支护结构个别构件的提前失效而导致土压力作用位置的转移，并宜设置必要的赘余支撑。</w:t>
      </w:r>
    </w:p>
    <w:p>
      <w:pPr>
        <w:widowControl w:val="0"/>
        <w:spacing w:line="480" w:lineRule="exact"/>
        <w:rPr>
          <w:rFonts w:hint="eastAsia" w:ascii="Times New Roman" w:hAnsi="Times New Roman"/>
          <w:b/>
          <w:szCs w:val="24"/>
        </w:rPr>
      </w:pPr>
      <w:bookmarkStart w:id="615" w:name="_Toc23194"/>
      <w:bookmarkStart w:id="616" w:name="_Toc25665"/>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.12 </w:t>
      </w:r>
      <w:r>
        <w:rPr>
          <w:rFonts w:hint="eastAsia" w:ascii="Times New Roman" w:hAnsi="Times New Roman"/>
          <w:b w:val="0"/>
          <w:bCs/>
          <w:i w:val="0"/>
          <w:iCs w:val="0"/>
          <w:szCs w:val="24"/>
        </w:rPr>
        <w:t>内支撑结构分析应符合下列原则：</w:t>
      </w:r>
      <w:bookmarkEnd w:id="615"/>
      <w:bookmarkEnd w:id="616"/>
    </w:p>
    <w:p>
      <w:pPr>
        <w:widowControl w:val="0"/>
        <w:spacing w:line="480" w:lineRule="exact"/>
        <w:ind w:firstLine="480" w:firstLineChars="200"/>
        <w:rPr>
          <w:rFonts w:ascii="Times New Roman" w:hAnsi="Times New Roman"/>
          <w:szCs w:val="24"/>
        </w:rPr>
      </w:pPr>
      <w:r>
        <w:rPr>
          <w:rFonts w:hint="eastAsia" w:ascii="Times New Roman" w:hAnsi="Times New Roman"/>
          <w:szCs w:val="24"/>
        </w:rPr>
        <w:t>1 水平对撑与水平斜撑，应按偏心受压构件进行计算；支撑的轴向压力应取支撑间距内挡土构件的支点力之和；腰梁或冠梁应按以支撑为支座的多跨连续梁计算，计算跨度可取相邻支撑点的中心距；</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2 矩形平面形状的正交支撑，可分解为纵横两个方向的结构单元，并分别按偏心受压构件进行计算</w:t>
      </w:r>
      <w:r>
        <w:rPr>
          <w:rFonts w:hint="eastAsia" w:ascii="Times New Roman" w:hAnsi="Times New Roman"/>
          <w:szCs w:val="24"/>
          <w:lang w:eastAsia="zh-CN"/>
        </w:rPr>
        <w:t>；</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不规则平面形状的平面杆系支撑、环形杆系或环形板系支撑，可按平面杆系结构采用平面有限元法进行计算；对环形支撑结构，计算时应考虑基坑不同方向上的荷载不均匀性；当基坑各边的土压力相差较大，在简化为平面杆系时，尚应考虑基坑各边土压力的差异产生的土体被动变形的约束作用，此时，可在水平位移最小的角点设置水平约束支座，在基坑阳角处不宜设置支座；</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在竖向荷载作用下内支撑结构宜按空间框架计算，当作用在内支撑结构上的施工荷载较小时，可按连续梁计算，计算跨度可取相邻立柱的中心距；</w:t>
      </w:r>
    </w:p>
    <w:p>
      <w:pPr>
        <w:widowControl w:val="0"/>
        <w:spacing w:line="480" w:lineRule="exact"/>
        <w:ind w:firstLine="480" w:firstLineChars="200"/>
        <w:rPr>
          <w:rFonts w:hint="eastAsia" w:ascii="Times New Roman" w:hAnsi="Times New Roman"/>
          <w:szCs w:val="24"/>
        </w:rPr>
      </w:pPr>
      <w:bookmarkStart w:id="617" w:name="_Toc17809"/>
      <w:bookmarkStart w:id="618" w:name="_Toc13334"/>
      <w:r>
        <w:rPr>
          <w:rFonts w:hint="eastAsia" w:ascii="Times New Roman" w:hAnsi="Times New Roman"/>
          <w:szCs w:val="24"/>
        </w:rPr>
        <w:t>5 竖向斜撑应按偏心受压杆件进行计算；</w:t>
      </w:r>
      <w:bookmarkEnd w:id="617"/>
      <w:bookmarkEnd w:id="618"/>
    </w:p>
    <w:p>
      <w:pPr>
        <w:widowControl w:val="0"/>
        <w:spacing w:line="480" w:lineRule="exact"/>
        <w:ind w:firstLine="480" w:firstLineChars="200"/>
        <w:rPr>
          <w:rFonts w:ascii="Times New Roman" w:hAnsi="Times New Roman"/>
          <w:szCs w:val="24"/>
        </w:rPr>
      </w:pPr>
      <w:r>
        <w:rPr>
          <w:rFonts w:hint="eastAsia" w:ascii="Times New Roman" w:hAnsi="Times New Roman"/>
          <w:szCs w:val="24"/>
        </w:rPr>
        <w:t>6 当有可靠经验时，宜采用三维结构分析方法，对支撑、腰梁与冠梁、挡土构件进行整体分析。</w:t>
      </w:r>
    </w:p>
    <w:p>
      <w:pPr>
        <w:widowControl w:val="0"/>
        <w:spacing w:line="480" w:lineRule="exact"/>
        <w:rPr>
          <w:rFonts w:hint="eastAsia" w:ascii="Times New Roman" w:hAnsi="Times New Roman"/>
          <w:b w:val="0"/>
          <w:bCs/>
          <w:szCs w:val="24"/>
        </w:rPr>
      </w:pPr>
      <w:bookmarkStart w:id="619" w:name="_Toc20405"/>
      <w:bookmarkStart w:id="620" w:name="_Toc12566"/>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.13 </w:t>
      </w:r>
      <w:r>
        <w:rPr>
          <w:rFonts w:hint="eastAsia" w:ascii="Times New Roman" w:hAnsi="Times New Roman"/>
          <w:b w:val="0"/>
          <w:bCs/>
          <w:szCs w:val="24"/>
        </w:rPr>
        <w:t>平面支撑体系结构构件内力可按下列计算：</w:t>
      </w:r>
      <w:bookmarkEnd w:id="619"/>
      <w:bookmarkEnd w:id="620"/>
    </w:p>
    <w:p>
      <w:pPr>
        <w:widowControl w:val="0"/>
        <w:spacing w:line="480" w:lineRule="exact"/>
        <w:ind w:firstLine="480" w:firstLineChars="200"/>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当不考虑纵横向水平支撑的互相作用且支撑与腰梁正交时，支撑的轴向压力标准值按下式计算：</w:t>
      </w:r>
    </w:p>
    <w:tbl>
      <w:tblPr>
        <w:tblStyle w:val="32"/>
        <w:tblW w:w="0" w:type="auto"/>
        <w:tblInd w:w="0" w:type="dxa"/>
        <w:tblLayout w:type="fixed"/>
        <w:tblCellMar>
          <w:top w:w="0" w:type="dxa"/>
          <w:left w:w="108" w:type="dxa"/>
          <w:bottom w:w="0" w:type="dxa"/>
          <w:right w:w="108" w:type="dxa"/>
        </w:tblCellMar>
      </w:tblPr>
      <w:tblGrid>
        <w:gridCol w:w="5495"/>
        <w:gridCol w:w="4359"/>
      </w:tblGrid>
      <w:tr>
        <w:trPr>
          <w:trHeight w:val="879" w:hRule="atLeast"/>
        </w:trPr>
        <w:tc>
          <w:tcPr>
            <w:tcW w:w="5495" w:type="dxa"/>
          </w:tcPr>
          <w:p>
            <w:pPr>
              <w:widowControl w:val="0"/>
              <w:jc w:val="right"/>
              <w:rPr>
                <w:rFonts w:ascii="Times New Roman" w:hAnsi="Times New Roman"/>
                <w:szCs w:val="21"/>
              </w:rPr>
            </w:pPr>
            <w:r>
              <w:rPr>
                <w:position w:val="-30"/>
              </w:rPr>
              <w:object>
                <v:shape id="_x0000_i1157" o:spt="75" type="#_x0000_t75" style="height:34pt;width:53.8pt;" o:ole="t" filled="f" coordsize="21600,21600">
                  <v:path/>
                  <v:fill on="f" focussize="0,0"/>
                  <v:stroke/>
                  <v:imagedata r:id="rId468" o:title=""/>
                  <o:lock v:ext="edit" aspectratio="t"/>
                  <w10:wrap type="none"/>
                  <w10:anchorlock/>
                </v:shape>
                <o:OLEObject Type="Embed" ProgID="Equation.3" ShapeID="_x0000_i1157" DrawAspect="Content" ObjectID="_1468075857" r:id="rId467">
                  <o:LockedField>false</o:LockedField>
                </o:OLEObject>
              </w:object>
            </w:r>
          </w:p>
        </w:tc>
        <w:tc>
          <w:tcPr>
            <w:tcW w:w="4359" w:type="dxa"/>
            <w:vAlign w:val="center"/>
          </w:tcPr>
          <w:p>
            <w:pPr>
              <w:widowControl w:val="0"/>
              <w:spacing w:line="480" w:lineRule="auto"/>
              <w:jc w:val="right"/>
              <w:rPr>
                <w:rFonts w:ascii="Times New Roman" w:hAnsi="Times New Roman"/>
                <w:szCs w:val="21"/>
              </w:rPr>
            </w:pPr>
            <w:r>
              <w:rPr>
                <w:rFonts w:hint="eastAsia" w:ascii="Times New Roman" w:hAnsi="Times New Roman"/>
              </w:rPr>
              <w:t>（8.</w:t>
            </w:r>
            <w:r>
              <w:rPr>
                <w:rFonts w:hint="eastAsia" w:ascii="Times New Roman" w:hAnsi="Times New Roman"/>
                <w:lang w:val="en-US" w:eastAsia="zh-CN"/>
              </w:rPr>
              <w:t>6</w:t>
            </w:r>
            <w:r>
              <w:rPr>
                <w:rFonts w:hint="eastAsia" w:ascii="Times New Roman" w:hAnsi="Times New Roman"/>
              </w:rPr>
              <w:t>.1</w:t>
            </w:r>
            <w:r>
              <w:rPr>
                <w:rFonts w:hint="eastAsia" w:ascii="Times New Roman" w:hAnsi="Times New Roman"/>
                <w:lang w:val="en-US" w:eastAsia="zh-CN"/>
              </w:rPr>
              <w:t>3</w:t>
            </w:r>
            <w:r>
              <w:rPr>
                <w:rFonts w:hint="eastAsia" w:ascii="Times New Roman" w:hAnsi="Times New Roman"/>
              </w:rPr>
              <w:t>-1）</w:t>
            </w:r>
          </w:p>
        </w:tc>
      </w:tr>
    </w:tbl>
    <w:p>
      <w:pPr>
        <w:widowControl w:val="0"/>
        <w:spacing w:line="480" w:lineRule="exact"/>
        <w:rPr>
          <w:rFonts w:ascii="Times New Roman" w:hAnsi="Times New Roman"/>
        </w:rPr>
      </w:pPr>
      <w:r>
        <w:rPr>
          <w:rFonts w:hint="eastAsia" w:ascii="Times New Roman" w:hAnsi="Times New Roman"/>
        </w:rPr>
        <w:t>式中：</w:t>
      </w:r>
      <w:r>
        <w:rPr>
          <w:rFonts w:hint="eastAsia" w:ascii="Times New Roman" w:hAnsi="Times New Roman"/>
          <w:position w:val="-10"/>
        </w:rPr>
        <w:object>
          <v:shape id="_x0000_i1158" o:spt="75" type="#_x0000_t75" style="height:16.6pt;width:16.6pt;" o:ole="t" filled="f" coordsize="21600,21600">
            <v:path/>
            <v:fill on="f" focussize="0,0"/>
            <v:stroke/>
            <v:imagedata r:id="rId470" o:title=""/>
            <o:lock v:ext="edit" aspectratio="t"/>
            <w10:wrap type="none"/>
            <w10:anchorlock/>
          </v:shape>
          <o:OLEObject Type="Embed" ProgID="Equation.3" ShapeID="_x0000_i1158" DrawAspect="Content" ObjectID="_1468075858" r:id="rId469">
            <o:LockedField>false</o:LockedField>
          </o:OLEObject>
        </w:object>
      </w:r>
      <w:r>
        <w:rPr>
          <w:rFonts w:ascii="Times New Roman" w:hAnsi="Times New Roman"/>
        </w:rPr>
        <w:t>——</w:t>
      </w:r>
      <w:r>
        <w:rPr>
          <w:rFonts w:hint="eastAsia" w:ascii="Times New Roman" w:hAnsi="Times New Roman"/>
        </w:rPr>
        <w:t>支撑的轴向力标准值（kN）；</w:t>
      </w:r>
    </w:p>
    <w:p>
      <w:pPr>
        <w:widowControl w:val="0"/>
        <w:spacing w:line="480" w:lineRule="exact"/>
        <w:ind w:left="910" w:leftChars="329" w:hanging="120" w:hangingChars="50"/>
        <w:rPr>
          <w:rFonts w:ascii="Times New Roman" w:hAnsi="Times New Roman"/>
        </w:rPr>
      </w:pPr>
      <w:r>
        <w:rPr>
          <w:rFonts w:hint="eastAsia" w:ascii="Times New Roman" w:hAnsi="Times New Roman"/>
          <w:i/>
          <w:position w:val="-10"/>
        </w:rPr>
        <w:object>
          <v:shape id="_x0000_i1159" o:spt="75" type="#_x0000_t75" style="height:16.6pt;width:15.05pt;" o:ole="t" filled="f" coordsize="21600,21600">
            <v:path/>
            <v:fill on="f" focussize="0,0"/>
            <v:stroke/>
            <v:imagedata r:id="rId472" o:title=""/>
            <o:lock v:ext="edit" aspectratio="t"/>
            <w10:wrap type="none"/>
            <w10:anchorlock/>
          </v:shape>
          <o:OLEObject Type="Embed" ProgID="Equation.3" ShapeID="_x0000_i1159" DrawAspect="Content" ObjectID="_1468075859" r:id="rId471">
            <o:LockedField>false</o:LockedField>
          </o:OLEObject>
        </w:object>
      </w:r>
      <w:r>
        <w:rPr>
          <w:rFonts w:ascii="Times New Roman" w:hAnsi="Times New Roman"/>
          <w:szCs w:val="24"/>
        </w:rPr>
        <w:t>——</w:t>
      </w:r>
      <w:r>
        <w:rPr>
          <w:rFonts w:hint="eastAsia" w:ascii="Times New Roman" w:hAnsi="Times New Roman"/>
        </w:rPr>
        <w:t>挡土构件在计算宽度内的弹性支点水平反力（kN），按8.1.13公式计算；</w:t>
      </w:r>
    </w:p>
    <w:p>
      <w:pPr>
        <w:widowControl w:val="0"/>
        <w:spacing w:line="480" w:lineRule="exact"/>
        <w:ind w:left="1008" w:leftChars="370" w:hanging="120" w:hangingChars="50"/>
        <w:rPr>
          <w:rFonts w:ascii="Times New Roman" w:hAnsi="Times New Roman"/>
        </w:rPr>
      </w:pPr>
      <w:r>
        <w:rPr>
          <w:rFonts w:ascii="Times New Roman" w:hAnsi="Times New Roman"/>
          <w:position w:val="-4"/>
        </w:rPr>
        <w:object>
          <v:shape id="_x0000_i1160" o:spt="75" type="#_x0000_t75" style="height:13.45pt;width:8.7pt;" o:ole="t" filled="f" coordsize="21600,21600">
            <v:path/>
            <v:fill on="f" focussize="0,0"/>
            <v:stroke/>
            <v:imagedata r:id="rId474" o:title=""/>
            <o:lock v:ext="edit" aspectratio="f"/>
            <w10:wrap type="none"/>
            <w10:anchorlock/>
          </v:shape>
          <o:OLEObject Type="Embed" ProgID="Equation.2" ShapeID="_x0000_i1160" DrawAspect="Content" ObjectID="_1468075860" r:id="rId473">
            <o:LockedField>false</o:LockedField>
          </o:OLEObject>
        </w:object>
      </w:r>
      <w:r>
        <w:rPr>
          <w:rFonts w:ascii="Times New Roman" w:hAnsi="Times New Roman"/>
        </w:rPr>
        <w:t>——</w:t>
      </w:r>
      <w:r>
        <w:rPr>
          <w:rFonts w:ascii="Times New Roman" w:hAnsi="Times New Roman"/>
          <w:position w:val="-10"/>
        </w:rPr>
        <w:object>
          <v:shape id="_x0000_i1161" o:spt="75" type="#_x0000_t75" style="height:16.6pt;width:49.85pt;" o:ole="t" filled="f" coordsize="21600,21600">
            <v:path/>
            <v:fill on="f" focussize="0,0"/>
            <v:stroke/>
            <v:imagedata r:id="rId476" o:title=""/>
            <o:lock v:ext="edit" aspectratio="t"/>
            <w10:wrap type="none"/>
            <w10:anchorlock/>
          </v:shape>
          <o:OLEObject Type="Embed" ProgID="Equation.3" ShapeID="_x0000_i1161" DrawAspect="Content" ObjectID="_1468075861" r:id="rId475">
            <o:LockedField>false</o:LockedField>
          </o:OLEObject>
        </w:object>
      </w:r>
      <w:r>
        <w:rPr>
          <w:rFonts w:hint="eastAsia" w:ascii="Times New Roman" w:hAnsi="Times New Roman"/>
        </w:rPr>
        <w:t>，</w:t>
      </w:r>
      <w:r>
        <w:rPr>
          <w:rFonts w:ascii="Times New Roman" w:hAnsi="Times New Roman"/>
          <w:position w:val="-10"/>
        </w:rPr>
        <w:object>
          <v:shape id="_x0000_i1162" o:spt="75" type="#_x0000_t75" style="height:16.6pt;width:10.3pt;" o:ole="t" filled="f" coordsize="21600,21600">
            <v:path/>
            <v:fill on="f" focussize="0,0"/>
            <v:stroke/>
            <v:imagedata r:id="rId478" o:title=""/>
            <o:lock v:ext="edit" aspectratio="f"/>
            <w10:wrap type="none"/>
            <w10:anchorlock/>
          </v:shape>
          <o:OLEObject Type="Embed" ProgID="Equation.2" ShapeID="_x0000_i1162" DrawAspect="Content" ObjectID="_1468075862" r:id="rId477">
            <o:LockedField>false</o:LockedField>
          </o:OLEObject>
        </w:object>
      </w:r>
      <w:r>
        <w:rPr>
          <w:rFonts w:hint="eastAsia" w:ascii="Times New Roman" w:hAnsi="Times New Roman"/>
        </w:rPr>
        <w:t>和</w:t>
      </w:r>
      <w:r>
        <w:rPr>
          <w:rFonts w:ascii="Times New Roman" w:hAnsi="Times New Roman"/>
          <w:position w:val="-10"/>
        </w:rPr>
        <w:object>
          <v:shape id="_x0000_i1163" o:spt="75" type="#_x0000_t75" style="height:16.6pt;width:11.1pt;" o:ole="t" filled="f" coordsize="21600,21600">
            <v:path/>
            <v:fill on="f" focussize="0,0"/>
            <v:stroke/>
            <v:imagedata r:id="rId480" o:title=""/>
            <o:lock v:ext="edit" aspectratio="f"/>
            <w10:wrap type="none"/>
            <w10:anchorlock/>
          </v:shape>
          <o:OLEObject Type="Embed" ProgID="Equation.2" ShapeID="_x0000_i1163" DrawAspect="Content" ObjectID="_1468075863" r:id="rId479">
            <o:LockedField>false</o:LockedField>
          </o:OLEObject>
        </w:object>
      </w:r>
      <w:r>
        <w:rPr>
          <w:rFonts w:hint="eastAsia" w:ascii="Times New Roman" w:hAnsi="Times New Roman"/>
        </w:rPr>
        <w:t>为左右两支撑间的中心距。</w:t>
      </w:r>
    </w:p>
    <w:p>
      <w:pPr>
        <w:widowControl w:val="0"/>
        <w:spacing w:line="480" w:lineRule="exact"/>
        <w:ind w:firstLine="480" w:firstLineChars="200"/>
        <w:rPr>
          <w:rFonts w:hint="eastAsia" w:ascii="Times New Roman" w:hAnsi="Times New Roman"/>
        </w:rPr>
      </w:pPr>
      <w:bookmarkStart w:id="621" w:name="_Toc1968"/>
      <w:bookmarkStart w:id="622" w:name="_Toc18431"/>
      <w:r>
        <w:rPr>
          <w:rFonts w:hint="eastAsia" w:ascii="Times New Roman" w:hAnsi="Times New Roman"/>
        </w:rPr>
        <w:t>2 支撑的轴向压力设计值可按下式计算：</w:t>
      </w:r>
      <w:bookmarkEnd w:id="621"/>
      <w:bookmarkEnd w:id="622"/>
    </w:p>
    <w:tbl>
      <w:tblPr>
        <w:tblStyle w:val="32"/>
        <w:tblW w:w="0" w:type="auto"/>
        <w:tblInd w:w="0" w:type="dxa"/>
        <w:tblLayout w:type="fixed"/>
        <w:tblCellMar>
          <w:top w:w="0" w:type="dxa"/>
          <w:left w:w="108" w:type="dxa"/>
          <w:bottom w:w="0" w:type="dxa"/>
          <w:right w:w="108" w:type="dxa"/>
        </w:tblCellMar>
      </w:tblPr>
      <w:tblGrid>
        <w:gridCol w:w="5159"/>
        <w:gridCol w:w="4695"/>
      </w:tblGrid>
      <w:tr>
        <w:tblPrEx>
          <w:tblCellMar>
            <w:top w:w="0" w:type="dxa"/>
            <w:left w:w="108" w:type="dxa"/>
            <w:bottom w:w="0" w:type="dxa"/>
            <w:right w:w="108" w:type="dxa"/>
          </w:tblCellMar>
        </w:tblPrEx>
        <w:tc>
          <w:tcPr>
            <w:tcW w:w="5159" w:type="dxa"/>
          </w:tcPr>
          <w:p>
            <w:pPr>
              <w:widowControl w:val="0"/>
              <w:spacing w:line="360" w:lineRule="auto"/>
              <w:jc w:val="right"/>
              <w:rPr>
                <w:rFonts w:ascii="Times New Roman" w:hAnsi="Times New Roman"/>
                <w:szCs w:val="24"/>
              </w:rPr>
            </w:pPr>
            <w:r>
              <w:rPr>
                <w:rFonts w:hint="eastAsia" w:ascii="Times New Roman" w:hAnsi="Times New Roman"/>
                <w:i/>
                <w:iCs/>
                <w:position w:val="-12"/>
                <w:szCs w:val="24"/>
              </w:rPr>
              <w:object>
                <v:shape id="_x0000_i1164" o:spt="75" type="#_x0000_t75" style="height:18.2pt;width:78.35pt;" o:ole="t" filled="f" coordsize="21600,21600">
                  <v:path/>
                  <v:fill on="f" focussize="0,0"/>
                  <v:stroke/>
                  <v:imagedata r:id="rId482" o:title=""/>
                  <o:lock v:ext="edit" aspectratio="t"/>
                  <w10:wrap type="none"/>
                  <w10:anchorlock/>
                </v:shape>
                <o:OLEObject Type="Embed" ProgID="Equation.3" ShapeID="_x0000_i1164" DrawAspect="Content" ObjectID="_1468075864" r:id="rId481">
                  <o:LockedField>false</o:LockedField>
                </o:OLEObject>
              </w:object>
            </w:r>
          </w:p>
        </w:tc>
        <w:tc>
          <w:tcPr>
            <w:tcW w:w="4695" w:type="dxa"/>
            <w:vAlign w:val="center"/>
          </w:tcPr>
          <w:p>
            <w:pPr>
              <w:widowControl w:val="0"/>
              <w:spacing w:line="360" w:lineRule="auto"/>
              <w:jc w:val="right"/>
              <w:rPr>
                <w:rFonts w:ascii="Times New Roman" w:hAnsi="Times New Roman"/>
                <w:szCs w:val="24"/>
              </w:rPr>
            </w:pPr>
            <w:r>
              <w:rPr>
                <w:rFonts w:hint="eastAsia" w:ascii="Times New Roman" w:hAnsi="Times New Roman"/>
              </w:rPr>
              <w:t>（8</w:t>
            </w:r>
            <w:r>
              <w:rPr>
                <w:rFonts w:ascii="Times New Roman" w:hAnsi="Times New Roman"/>
              </w:rPr>
              <w:t>.</w:t>
            </w:r>
            <w:r>
              <w:rPr>
                <w:rFonts w:hint="eastAsia" w:ascii="Times New Roman" w:hAnsi="Times New Roman"/>
                <w:lang w:val="en-US" w:eastAsia="zh-CN"/>
              </w:rPr>
              <w:t>6</w:t>
            </w:r>
            <w:r>
              <w:rPr>
                <w:rFonts w:ascii="Times New Roman" w:hAnsi="Times New Roman"/>
              </w:rPr>
              <w:t>.</w:t>
            </w:r>
            <w:r>
              <w:rPr>
                <w:rFonts w:hint="eastAsia" w:ascii="Times New Roman" w:hAnsi="Times New Roman"/>
              </w:rPr>
              <w:t>1</w:t>
            </w:r>
            <w:r>
              <w:rPr>
                <w:rFonts w:hint="eastAsia" w:ascii="Times New Roman" w:hAnsi="Times New Roman"/>
                <w:lang w:val="en-US" w:eastAsia="zh-CN"/>
              </w:rPr>
              <w:t>3</w:t>
            </w:r>
            <w:r>
              <w:rPr>
                <w:rFonts w:ascii="Times New Roman" w:hAnsi="Times New Roman"/>
              </w:rPr>
              <w:t>-</w:t>
            </w:r>
            <w:r>
              <w:rPr>
                <w:rFonts w:hint="eastAsia" w:ascii="Times New Roman" w:hAnsi="Times New Roman"/>
              </w:rPr>
              <w:t>2）</w:t>
            </w:r>
          </w:p>
        </w:tc>
      </w:tr>
    </w:tbl>
    <w:p>
      <w:pPr>
        <w:widowControl w:val="0"/>
        <w:spacing w:line="480" w:lineRule="exact"/>
        <w:rPr>
          <w:rFonts w:ascii="Times New Roman" w:hAnsi="Times New Roman"/>
          <w:szCs w:val="24"/>
        </w:rPr>
      </w:pPr>
      <w:r>
        <w:rPr>
          <w:rFonts w:hint="eastAsia" w:ascii="Times New Roman" w:hAnsi="Times New Roman"/>
          <w:szCs w:val="24"/>
        </w:rPr>
        <w:t>式中：</w:t>
      </w:r>
      <w:r>
        <w:rPr>
          <w:rFonts w:hint="eastAsia" w:ascii="Times New Roman" w:hAnsi="Times New Roman"/>
          <w:position w:val="-12"/>
          <w:szCs w:val="24"/>
        </w:rPr>
        <w:object>
          <v:shape id="_x0000_i1165" o:spt="75" type="#_x0000_t75" style="height:18.2pt;width:16.6pt;" o:ole="t" filled="f" coordsize="21600,21600">
            <v:path/>
            <v:fill on="f" focussize="0,0"/>
            <v:stroke/>
            <v:imagedata r:id="rId484" o:title=""/>
            <o:lock v:ext="edit" aspectratio="t"/>
            <w10:wrap type="none"/>
            <w10:anchorlock/>
          </v:shape>
          <o:OLEObject Type="Embed" ProgID="Equation.3" ShapeID="_x0000_i1165" DrawAspect="Content" ObjectID="_1468075865" r:id="rId483">
            <o:LockedField>false</o:LockedField>
          </o:OLEObject>
        </w:object>
      </w:r>
      <w:r>
        <w:rPr>
          <w:rFonts w:ascii="Times New Roman" w:hAnsi="Times New Roman"/>
        </w:rPr>
        <w:t>——</w:t>
      </w:r>
      <w:r>
        <w:rPr>
          <w:rFonts w:hint="eastAsia" w:ascii="Times New Roman" w:hAnsi="Times New Roman"/>
          <w:szCs w:val="24"/>
        </w:rPr>
        <w:t>支撑构件的轴向压力设计值；</w:t>
      </w:r>
    </w:p>
    <w:p>
      <w:pPr>
        <w:widowControl w:val="0"/>
        <w:spacing w:line="480" w:lineRule="exact"/>
        <w:ind w:firstLine="840" w:firstLineChars="350"/>
        <w:rPr>
          <w:rFonts w:ascii="Times New Roman" w:hAnsi="Times New Roman"/>
          <w:szCs w:val="21"/>
        </w:rPr>
      </w:pPr>
      <w:r>
        <w:rPr>
          <w:rFonts w:ascii="Times New Roman" w:hAnsi="Times New Roman"/>
          <w:i/>
          <w:iCs/>
          <w:position w:val="-12"/>
          <w:szCs w:val="24"/>
        </w:rPr>
        <w:object>
          <v:shape id="_x0000_i1166" o:spt="75" type="#_x0000_t75" style="height:18.2pt;width:13.45pt;" o:ole="t" filled="f" coordsize="21600,21600">
            <v:path/>
            <v:fill on="f" focussize="0,0"/>
            <v:stroke/>
            <v:imagedata r:id="rId486" o:title=""/>
            <o:lock v:ext="edit" aspectratio="t"/>
            <w10:wrap type="none"/>
            <w10:anchorlock/>
          </v:shape>
          <o:OLEObject Type="Embed" ProgID="Equation.3" ShapeID="_x0000_i1166" DrawAspect="Content" ObjectID="_1468075866" r:id="rId485">
            <o:LockedField>false</o:LockedField>
          </o:OLEObject>
        </w:object>
      </w:r>
      <w:r>
        <w:rPr>
          <w:rFonts w:ascii="Times New Roman" w:hAnsi="Times New Roman"/>
        </w:rPr>
        <w:t>——</w:t>
      </w:r>
      <w:r>
        <w:rPr>
          <w:rFonts w:hint="eastAsia" w:ascii="Times New Roman" w:hAnsi="Times New Roman"/>
          <w:szCs w:val="24"/>
        </w:rPr>
        <w:t>支护结构重要系数按3.0.6条的有关规定取值；</w:t>
      </w:r>
    </w:p>
    <w:p>
      <w:pPr>
        <w:widowControl w:val="0"/>
        <w:spacing w:line="480" w:lineRule="exact"/>
        <w:ind w:firstLine="840" w:firstLineChars="350"/>
        <w:rPr>
          <w:rFonts w:ascii="Times New Roman" w:hAnsi="Times New Roman"/>
          <w:szCs w:val="24"/>
        </w:rPr>
      </w:pPr>
      <w:r>
        <w:rPr>
          <w:rFonts w:hint="eastAsia" w:ascii="宋体" w:hAnsi="宋体"/>
          <w:i/>
          <w:iCs/>
          <w:position w:val="-10"/>
          <w:szCs w:val="21"/>
        </w:rPr>
        <w:object>
          <v:shape id="_x0000_i1167" o:spt="75" type="#_x0000_t75" style="height:15.8pt;width:11.85pt;" o:ole="t" filled="f" coordsize="21600,21600">
            <v:path/>
            <v:fill on="f" focussize="0,0"/>
            <v:stroke/>
            <v:imagedata r:id="rId488" o:title=""/>
            <o:lock v:ext="edit" aspectratio="t"/>
            <w10:wrap type="none"/>
            <w10:anchorlock/>
          </v:shape>
          <o:OLEObject Type="Embed" ProgID="Equation.3" ShapeID="_x0000_i1167" DrawAspect="Content" ObjectID="_1468075867" r:id="rId487">
            <o:LockedField>false</o:LockedField>
          </o:OLEObject>
        </w:object>
      </w:r>
      <w:r>
        <w:rPr>
          <w:rFonts w:ascii="Times New Roman" w:hAnsi="Times New Roman"/>
        </w:rPr>
        <w:t>——</w:t>
      </w:r>
      <w:r>
        <w:rPr>
          <w:rFonts w:hint="eastAsia" w:ascii="Times New Roman" w:hAnsi="Times New Roman"/>
          <w:szCs w:val="24"/>
        </w:rPr>
        <w:t>内力分布不均匀及温度变化影响系数，一般可取1.2。</w:t>
      </w:r>
    </w:p>
    <w:p>
      <w:pPr>
        <w:widowControl w:val="0"/>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.14</w:t>
      </w:r>
      <w:r>
        <w:rPr>
          <w:rFonts w:hint="eastAsia" w:ascii="Times New Roman" w:hAnsi="Times New Roman"/>
          <w:szCs w:val="24"/>
        </w:rPr>
        <w:t xml:space="preserve"> 混凝土支撑构件及其连接的受压、受弯、受剪承载力计算应符合现行国家标准《混凝土结构设计规范》GB50010的规定；钢支撑结构构件及其连接的受压、受弯、受剪承载力及各类稳定性计算应符合现行国家标准《钢结构设计标准》GB50017的规定，钢支撑的承载力计算应考虑安装偏心误差的影响，偏心距取值不宜小于支撑计算长度的1/1000，且对混凝土支撑不宜小于20mm，对钢支撑不宜小于40mm。</w:t>
      </w:r>
    </w:p>
    <w:p>
      <w:pPr>
        <w:widowControl w:val="0"/>
        <w:spacing w:line="480" w:lineRule="exact"/>
        <w:rPr>
          <w:rFonts w:hint="eastAsia" w:ascii="Times New Roman" w:hAnsi="Times New Roman"/>
          <w:b w:val="0"/>
          <w:bCs/>
          <w:szCs w:val="24"/>
        </w:rPr>
      </w:pPr>
      <w:bookmarkStart w:id="623" w:name="_Toc31400"/>
      <w:bookmarkStart w:id="624" w:name="_Toc6860"/>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.15 </w:t>
      </w:r>
      <w:r>
        <w:rPr>
          <w:rFonts w:hint="eastAsia" w:ascii="Times New Roman" w:hAnsi="Times New Roman"/>
          <w:b w:val="0"/>
          <w:bCs/>
          <w:szCs w:val="24"/>
        </w:rPr>
        <w:t>立柱计算内力可按下列计算：</w:t>
      </w:r>
      <w:bookmarkEnd w:id="623"/>
      <w:bookmarkEnd w:id="624"/>
    </w:p>
    <w:p>
      <w:pPr>
        <w:widowControl w:val="0"/>
        <w:spacing w:line="480" w:lineRule="exact"/>
        <w:ind w:firstLine="480" w:firstLineChars="200"/>
        <w:rPr>
          <w:rFonts w:ascii="Times New Roman" w:hAnsi="Times New Roman"/>
        </w:rPr>
      </w:pPr>
      <w:r>
        <w:rPr>
          <w:rFonts w:hint="eastAsia" w:ascii="Times New Roman" w:hAnsi="Times New Roman"/>
        </w:rPr>
        <w:t>立柱内力宜根据支撑条件按空间杆系结构力学计算；也可按轴心受压构件计算，轴向力设计值可按下式确定：</w:t>
      </w:r>
    </w:p>
    <w:tbl>
      <w:tblPr>
        <w:tblStyle w:val="32"/>
        <w:tblW w:w="0" w:type="auto"/>
        <w:tblInd w:w="0" w:type="dxa"/>
        <w:tblLayout w:type="fixed"/>
        <w:tblCellMar>
          <w:top w:w="0" w:type="dxa"/>
          <w:left w:w="108" w:type="dxa"/>
          <w:bottom w:w="0" w:type="dxa"/>
          <w:right w:w="108" w:type="dxa"/>
        </w:tblCellMar>
      </w:tblPr>
      <w:tblGrid>
        <w:gridCol w:w="5574"/>
        <w:gridCol w:w="4280"/>
      </w:tblGrid>
      <w:tr>
        <w:tblPrEx>
          <w:tblCellMar>
            <w:top w:w="0" w:type="dxa"/>
            <w:left w:w="108" w:type="dxa"/>
            <w:bottom w:w="0" w:type="dxa"/>
            <w:right w:w="108" w:type="dxa"/>
          </w:tblCellMar>
        </w:tblPrEx>
        <w:trPr>
          <w:trHeight w:val="584" w:hRule="atLeast"/>
        </w:trPr>
        <w:tc>
          <w:tcPr>
            <w:tcW w:w="5574" w:type="dxa"/>
            <w:vAlign w:val="center"/>
          </w:tcPr>
          <w:p>
            <w:pPr>
              <w:widowControl w:val="0"/>
              <w:jc w:val="right"/>
              <w:rPr>
                <w:rFonts w:ascii="Times New Roman" w:hAnsi="Times New Roman"/>
              </w:rPr>
            </w:pPr>
            <w:r>
              <w:rPr>
                <w:rFonts w:ascii="Times New Roman" w:hAnsi="Times New Roman"/>
                <w:position w:val="-28"/>
              </w:rPr>
              <w:object>
                <v:shape id="_x0000_i1168" o:spt="75" type="#_x0000_t75" style="height:34pt;width:97.3pt;" o:ole="t" filled="f" coordsize="21600,21600">
                  <v:path/>
                  <v:fill on="f" focussize="0,0"/>
                  <v:stroke/>
                  <v:imagedata r:id="rId490" o:title=""/>
                  <o:lock v:ext="edit" aspectratio="t"/>
                  <w10:wrap type="none"/>
                  <w10:anchorlock/>
                </v:shape>
                <o:OLEObject Type="Embed" ProgID="Equation.3" ShapeID="_x0000_i1168" DrawAspect="Content" ObjectID="_1468075868" r:id="rId489">
                  <o:LockedField>false</o:LockedField>
                </o:OLEObject>
              </w:object>
            </w:r>
          </w:p>
        </w:tc>
        <w:tc>
          <w:tcPr>
            <w:tcW w:w="4280" w:type="dxa"/>
            <w:vAlign w:val="center"/>
          </w:tcPr>
          <w:p>
            <w:pPr>
              <w:widowControl w:val="0"/>
              <w:spacing w:line="480" w:lineRule="exact"/>
              <w:jc w:val="right"/>
              <w:rPr>
                <w:rFonts w:ascii="Times New Roman" w:hAnsi="Times New Roman"/>
              </w:rPr>
            </w:pPr>
            <w:r>
              <w:rPr>
                <w:rFonts w:hint="eastAsia" w:ascii="Times New Roman" w:hAnsi="Times New Roman"/>
              </w:rPr>
              <w:t>（8.</w:t>
            </w:r>
            <w:r>
              <w:rPr>
                <w:rFonts w:hint="eastAsia" w:ascii="Times New Roman" w:hAnsi="Times New Roman"/>
                <w:lang w:val="en-US" w:eastAsia="zh-CN"/>
              </w:rPr>
              <w:t>6</w:t>
            </w:r>
            <w:r>
              <w:rPr>
                <w:rFonts w:hint="eastAsia" w:ascii="Times New Roman" w:hAnsi="Times New Roman"/>
              </w:rPr>
              <w:t>.1</w:t>
            </w:r>
            <w:r>
              <w:rPr>
                <w:rFonts w:hint="eastAsia" w:ascii="Times New Roman" w:hAnsi="Times New Roman"/>
                <w:lang w:val="en-US" w:eastAsia="zh-CN"/>
              </w:rPr>
              <w:t>5</w:t>
            </w:r>
            <w:r>
              <w:rPr>
                <w:rFonts w:hint="eastAsia" w:ascii="Times New Roman" w:hAnsi="Times New Roman"/>
              </w:rPr>
              <w:t>）</w:t>
            </w:r>
          </w:p>
        </w:tc>
      </w:tr>
    </w:tbl>
    <w:p>
      <w:pPr>
        <w:widowControl w:val="0"/>
        <w:spacing w:line="480" w:lineRule="exact"/>
        <w:rPr>
          <w:rFonts w:ascii="Times New Roman" w:hAnsi="Times New Roman"/>
        </w:rPr>
      </w:pPr>
      <w:r>
        <w:rPr>
          <w:rFonts w:hint="eastAsia" w:ascii="Times New Roman" w:hAnsi="Times New Roman"/>
        </w:rPr>
        <w:t>式中：</w:t>
      </w:r>
      <w:r>
        <w:rPr>
          <w:rFonts w:ascii="Times New Roman" w:hAnsi="Times New Roman"/>
          <w:position w:val="-10"/>
        </w:rPr>
        <w:object>
          <v:shape id="_x0000_i1169" o:spt="75" type="#_x0000_t75" style="height:16.6pt;width:19.8pt;" o:ole="t" filled="f" coordsize="21600,21600">
            <v:path/>
            <v:fill on="f" focussize="0,0"/>
            <v:stroke/>
            <v:imagedata r:id="rId492" o:title=""/>
            <o:lock v:ext="edit" aspectratio="f"/>
            <w10:wrap type="none"/>
            <w10:anchorlock/>
          </v:shape>
          <o:OLEObject Type="Embed" ProgID="Equation.2" ShapeID="_x0000_i1169" DrawAspect="Content" ObjectID="_1468075869" r:id="rId491">
            <o:LockedField>false</o:LockedField>
          </o:OLEObject>
        </w:object>
      </w:r>
      <w:r>
        <w:rPr>
          <w:rFonts w:ascii="Times New Roman" w:hAnsi="Times New Roman"/>
        </w:rPr>
        <w:t>——</w:t>
      </w:r>
      <w:r>
        <w:rPr>
          <w:rFonts w:hint="eastAsia" w:ascii="Times New Roman" w:hAnsi="Times New Roman"/>
        </w:rPr>
        <w:t>水平支撑及柱自重产生的轴力设计值；</w:t>
      </w:r>
    </w:p>
    <w:p>
      <w:pPr>
        <w:widowControl w:val="0"/>
        <w:spacing w:line="480" w:lineRule="exact"/>
        <w:ind w:left="840" w:leftChars="350"/>
        <w:rPr>
          <w:rFonts w:ascii="Times New Roman" w:hAnsi="Times New Roman"/>
        </w:rPr>
      </w:pPr>
      <w:r>
        <w:rPr>
          <w:rFonts w:ascii="Times New Roman" w:hAnsi="Times New Roman"/>
          <w:position w:val="-10"/>
        </w:rPr>
        <w:object>
          <v:shape id="_x0000_i1170" o:spt="75" type="#_x0000_t75" style="height:16.6pt;width:16.6pt;" o:ole="t" filled="f" coordsize="21600,21600">
            <v:path/>
            <v:fill on="f" focussize="0,0"/>
            <v:stroke/>
            <v:imagedata r:id="rId494" o:title=""/>
            <o:lock v:ext="edit" aspectratio="f"/>
            <w10:wrap type="none"/>
            <w10:anchorlock/>
          </v:shape>
          <o:OLEObject Type="Embed" ProgID="Equation.2" ShapeID="_x0000_i1170" DrawAspect="Content" ObjectID="_1468075870" r:id="rId493">
            <o:LockedField>false</o:LockedField>
          </o:OLEObject>
        </w:object>
      </w:r>
      <w:r>
        <w:rPr>
          <w:rFonts w:ascii="Times New Roman" w:hAnsi="Times New Roman"/>
        </w:rPr>
        <w:t>——</w:t>
      </w:r>
      <w:r>
        <w:rPr>
          <w:rFonts w:hint="eastAsia" w:ascii="Times New Roman" w:hAnsi="Times New Roman"/>
        </w:rPr>
        <w:t>第</w:t>
      </w:r>
      <w:r>
        <w:rPr>
          <w:rFonts w:ascii="Times New Roman" w:hAnsi="Times New Roman"/>
          <w:position w:val="-4"/>
        </w:rPr>
        <w:object>
          <v:shape id="_x0000_i1171" o:spt="75" type="#_x0000_t75" style="height:11.85pt;width:8.7pt;" o:ole="t" filled="f" coordsize="21600,21600">
            <v:path/>
            <v:fill on="f" focussize="0,0"/>
            <v:stroke/>
            <v:imagedata r:id="rId496" o:title=""/>
            <o:lock v:ext="edit" aspectratio="f"/>
            <w10:wrap type="none"/>
            <w10:anchorlock/>
          </v:shape>
          <o:OLEObject Type="Embed" ProgID="Equation.2" ShapeID="_x0000_i1171" DrawAspect="Content" ObjectID="_1468075871" r:id="rId495">
            <o:LockedField>false</o:LockedField>
          </o:OLEObject>
        </w:object>
      </w:r>
      <w:r>
        <w:rPr>
          <w:rFonts w:hint="eastAsia" w:ascii="Times New Roman" w:hAnsi="Times New Roman"/>
        </w:rPr>
        <w:t>层支撑交汇于本立柱的最大受力杆件的轴力设计值；</w:t>
      </w:r>
    </w:p>
    <w:p>
      <w:pPr>
        <w:widowControl w:val="0"/>
        <w:spacing w:line="480" w:lineRule="exact"/>
        <w:ind w:left="960" w:leftChars="400"/>
        <w:rPr>
          <w:rFonts w:ascii="Times New Roman" w:hAnsi="Times New Roman"/>
        </w:rPr>
      </w:pPr>
      <w:r>
        <w:rPr>
          <w:rFonts w:ascii="Times New Roman" w:hAnsi="Times New Roman"/>
          <w:position w:val="-4"/>
        </w:rPr>
        <w:object>
          <v:shape id="_x0000_i1172" o:spt="75" type="#_x0000_t75" style="height:10.3pt;width:10.3pt;" o:ole="t" filled="f" coordsize="21600,21600">
            <v:path/>
            <v:fill on="f" focussize="0,0"/>
            <v:stroke/>
            <v:imagedata r:id="rId498" o:title=""/>
            <o:lock v:ext="edit" aspectratio="f"/>
            <w10:wrap type="none"/>
            <w10:anchorlock/>
          </v:shape>
          <o:OLEObject Type="Embed" ProgID="Equation.2" ShapeID="_x0000_i1172" DrawAspect="Content" ObjectID="_1468075872" r:id="rId497">
            <o:LockedField>false</o:LockedField>
          </o:OLEObject>
        </w:object>
      </w:r>
      <w:r>
        <w:rPr>
          <w:rFonts w:ascii="Times New Roman" w:hAnsi="Times New Roman"/>
        </w:rPr>
        <w:t>——</w:t>
      </w:r>
      <w:r>
        <w:rPr>
          <w:rFonts w:hint="eastAsia" w:ascii="Times New Roman" w:hAnsi="Times New Roman"/>
        </w:rPr>
        <w:t>支撑层数。</w:t>
      </w:r>
    </w:p>
    <w:p>
      <w:pPr>
        <w:bidi w:val="0"/>
        <w:jc w:val="center"/>
        <w:rPr>
          <w:rFonts w:hint="eastAsia"/>
          <w:b/>
          <w:bCs/>
          <w:sz w:val="28"/>
          <w:szCs w:val="24"/>
        </w:rPr>
      </w:pPr>
      <w:r>
        <w:rPr>
          <w:rFonts w:hint="eastAsia"/>
          <w:b/>
          <w:bCs/>
          <w:sz w:val="28"/>
          <w:szCs w:val="24"/>
        </w:rPr>
        <w:t>Ⅳ  内支撑结构构造要求</w:t>
      </w:r>
    </w:p>
    <w:p>
      <w:pPr>
        <w:widowControl w:val="0"/>
        <w:spacing w:line="480" w:lineRule="exact"/>
        <w:rPr>
          <w:rFonts w:hint="eastAsia" w:ascii="Times New Roman" w:hAnsi="Times New Roman"/>
          <w:b w:val="0"/>
          <w:bCs/>
          <w:szCs w:val="24"/>
        </w:rPr>
      </w:pPr>
      <w:bookmarkStart w:id="625" w:name="_Toc24248"/>
      <w:bookmarkStart w:id="626" w:name="_Toc12287"/>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.16 </w:t>
      </w:r>
      <w:r>
        <w:rPr>
          <w:rFonts w:hint="eastAsia" w:ascii="Times New Roman" w:hAnsi="Times New Roman"/>
          <w:b w:val="0"/>
          <w:bCs/>
          <w:szCs w:val="24"/>
        </w:rPr>
        <w:t>混凝土支撑的构造应符合下列规定：</w:t>
      </w:r>
      <w:bookmarkEnd w:id="625"/>
      <w:bookmarkEnd w:id="626"/>
    </w:p>
    <w:p>
      <w:pPr>
        <w:widowControl w:val="0"/>
        <w:spacing w:line="480" w:lineRule="exact"/>
        <w:ind w:firstLine="480" w:firstLineChars="200"/>
        <w:rPr>
          <w:rFonts w:hint="eastAsia" w:ascii="Times New Roman" w:hAnsi="Times New Roman"/>
          <w:szCs w:val="24"/>
        </w:rPr>
      </w:pPr>
      <w:bookmarkStart w:id="627" w:name="_Toc4751"/>
      <w:bookmarkStart w:id="628" w:name="_Toc2823"/>
      <w:r>
        <w:rPr>
          <w:rFonts w:hint="eastAsia" w:ascii="Times New Roman" w:hAnsi="Times New Roman"/>
          <w:szCs w:val="24"/>
        </w:rPr>
        <w:t>1 混凝土的强度等级不应低于C30；</w:t>
      </w:r>
      <w:bookmarkEnd w:id="627"/>
      <w:bookmarkEnd w:id="628"/>
    </w:p>
    <w:p>
      <w:pPr>
        <w:widowControl w:val="0"/>
        <w:spacing w:line="480" w:lineRule="exact"/>
        <w:ind w:firstLine="480" w:firstLineChars="200"/>
        <w:rPr>
          <w:rFonts w:ascii="Times New Roman" w:hAnsi="Times New Roman"/>
          <w:szCs w:val="24"/>
        </w:rPr>
      </w:pPr>
      <w:r>
        <w:rPr>
          <w:rFonts w:hint="eastAsia" w:ascii="Times New Roman" w:hAnsi="Times New Roman"/>
          <w:szCs w:val="24"/>
        </w:rPr>
        <w:t>2 支撑构件的截面高度不宜小于其竖向平面内计算长度的1/20；</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支撑构件的纵向钢筋直径不宜小于16mm，沿截面周边的间距不宜大于200mm；箍筋的直径不宜小于8mm，间距不宜大于250mm。纵向受力筋在腰梁中的锚固长度不小于</w:t>
      </w:r>
      <w:r>
        <w:rPr>
          <w:rFonts w:hint="eastAsia" w:ascii="Times New Roman" w:hAnsi="Times New Roman"/>
          <w:i/>
          <w:iCs/>
          <w:szCs w:val="24"/>
        </w:rPr>
        <w:t>l</w:t>
      </w:r>
      <w:r>
        <w:rPr>
          <w:rFonts w:hint="eastAsia" w:ascii="Times New Roman" w:hAnsi="Times New Roman"/>
          <w:szCs w:val="24"/>
          <w:vertAlign w:val="subscript"/>
        </w:rPr>
        <w:t>a</w:t>
      </w:r>
      <w:r>
        <w:rPr>
          <w:rFonts w:hint="eastAsia" w:ascii="Times New Roman" w:hAnsi="Times New Roman"/>
          <w:szCs w:val="24"/>
        </w:rPr>
        <w:t>；</w:t>
      </w:r>
    </w:p>
    <w:p>
      <w:pPr>
        <w:widowControl w:val="0"/>
        <w:spacing w:line="480" w:lineRule="exact"/>
        <w:ind w:firstLine="480" w:firstLineChars="200"/>
        <w:rPr>
          <w:rFonts w:hint="eastAsia" w:ascii="Times New Roman" w:hAnsi="Times New Roman"/>
          <w:color w:val="auto"/>
          <w:szCs w:val="24"/>
        </w:rPr>
      </w:pPr>
      <w:bookmarkStart w:id="629" w:name="_Toc21034"/>
      <w:bookmarkStart w:id="630" w:name="_Toc8120"/>
      <w:r>
        <w:rPr>
          <w:rFonts w:hint="eastAsia" w:ascii="Times New Roman" w:hAnsi="Times New Roman"/>
          <w:color w:val="auto"/>
          <w:szCs w:val="24"/>
        </w:rPr>
        <w:t>4 支撑结构的交点处均应设置腋角；</w:t>
      </w:r>
      <w:bookmarkEnd w:id="629"/>
      <w:bookmarkEnd w:id="630"/>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5 混凝土支撑构件的构造，尚应符合现行国家标准《混凝土结构设计规范》GB50010的有关规定。</w:t>
      </w:r>
    </w:p>
    <w:p>
      <w:pPr>
        <w:widowControl w:val="0"/>
        <w:spacing w:line="480" w:lineRule="exact"/>
        <w:rPr>
          <w:rFonts w:hint="eastAsia" w:ascii="Times New Roman" w:hAnsi="Times New Roman"/>
          <w:b w:val="0"/>
          <w:bCs/>
          <w:szCs w:val="24"/>
        </w:rPr>
      </w:pPr>
      <w:bookmarkStart w:id="631" w:name="_Toc20276"/>
      <w:bookmarkStart w:id="632" w:name="_Toc20582"/>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.17 </w:t>
      </w:r>
      <w:r>
        <w:rPr>
          <w:rFonts w:hint="eastAsia" w:ascii="Times New Roman" w:hAnsi="Times New Roman"/>
          <w:b w:val="0"/>
          <w:bCs/>
          <w:szCs w:val="24"/>
        </w:rPr>
        <w:t>钢支撑的构造应符合下列规定：</w:t>
      </w:r>
      <w:bookmarkEnd w:id="631"/>
      <w:bookmarkEnd w:id="632"/>
    </w:p>
    <w:p>
      <w:pPr>
        <w:widowControl w:val="0"/>
        <w:spacing w:line="480" w:lineRule="exact"/>
        <w:ind w:firstLine="480" w:firstLineChars="200"/>
        <w:rPr>
          <w:rFonts w:hint="eastAsia" w:ascii="Times New Roman" w:hAnsi="Times New Roman"/>
          <w:szCs w:val="24"/>
        </w:rPr>
      </w:pPr>
      <w:bookmarkStart w:id="633" w:name="_Toc29498"/>
      <w:bookmarkStart w:id="634" w:name="_Toc6980"/>
      <w:r>
        <w:rPr>
          <w:rFonts w:hint="eastAsia" w:ascii="Times New Roman" w:hAnsi="Times New Roman"/>
          <w:szCs w:val="24"/>
        </w:rPr>
        <w:t>1 钢支撑构件可采用钢管、型钢及其组合截面；</w:t>
      </w:r>
      <w:bookmarkEnd w:id="633"/>
      <w:bookmarkEnd w:id="634"/>
    </w:p>
    <w:p>
      <w:pPr>
        <w:widowControl w:val="0"/>
        <w:spacing w:line="480" w:lineRule="exact"/>
        <w:ind w:firstLine="480" w:firstLineChars="200"/>
        <w:rPr>
          <w:rFonts w:ascii="Times New Roman" w:hAnsi="Times New Roman"/>
          <w:szCs w:val="24"/>
        </w:rPr>
      </w:pPr>
      <w:r>
        <w:rPr>
          <w:rFonts w:hint="eastAsia" w:ascii="Times New Roman" w:hAnsi="Times New Roman"/>
          <w:szCs w:val="24"/>
        </w:rPr>
        <w:t>2 钢支撑受压杆件的长细比不应大于75，受拉杆件长细比不应大于120；</w:t>
      </w:r>
    </w:p>
    <w:p>
      <w:pPr>
        <w:widowControl w:val="0"/>
        <w:spacing w:line="480" w:lineRule="exact"/>
        <w:ind w:firstLine="480" w:firstLineChars="200"/>
        <w:rPr>
          <w:rFonts w:hint="eastAsia" w:ascii="Times New Roman" w:hAnsi="Times New Roman"/>
          <w:szCs w:val="24"/>
        </w:rPr>
      </w:pPr>
      <w:bookmarkStart w:id="635" w:name="_Toc29719"/>
      <w:bookmarkStart w:id="636" w:name="_Toc32252"/>
      <w:r>
        <w:rPr>
          <w:rFonts w:hint="eastAsia" w:ascii="Times New Roman" w:hAnsi="Times New Roman"/>
          <w:szCs w:val="24"/>
        </w:rPr>
        <w:t>3 钢支撑连接宜采用螺栓连接，必要时可采用焊接连接；</w:t>
      </w:r>
      <w:bookmarkEnd w:id="635"/>
      <w:bookmarkEnd w:id="636"/>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当水平支撑与腰梁斜交时，腰梁上应设置牛腿或采用其它能够承受剪力的连接措施；</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5 采用竖向斜撑时，腰梁和支撑基础上应设置牛腿或采用其它能够承受剪力的连接措施；腰梁与挡土构件之间应采用能够承受剪力的连接措施；斜撑基础应满足竖向承载力和水平承载力要求</w:t>
      </w:r>
      <w:r>
        <w:rPr>
          <w:rFonts w:hint="eastAsia" w:ascii="Times New Roman" w:hAnsi="Times New Roman"/>
          <w:szCs w:val="24"/>
          <w:lang w:eastAsia="zh-CN"/>
        </w:rPr>
        <w:t>；</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6 钢支撑构件的构造，尚应符合现行国家标准《钢结构设计标准》GB50017的有关规定。</w:t>
      </w:r>
    </w:p>
    <w:p>
      <w:pPr>
        <w:widowControl w:val="0"/>
        <w:spacing w:line="480" w:lineRule="exact"/>
        <w:rPr>
          <w:rFonts w:hint="eastAsia" w:ascii="Times New Roman" w:hAnsi="Times New Roman"/>
          <w:b w:val="0"/>
          <w:bCs/>
          <w:color w:val="auto"/>
          <w:szCs w:val="24"/>
        </w:rPr>
      </w:pPr>
      <w:bookmarkStart w:id="637" w:name="_Toc15822"/>
      <w:bookmarkStart w:id="638" w:name="_Toc12198"/>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.18 </w:t>
      </w:r>
      <w:r>
        <w:rPr>
          <w:rFonts w:hint="eastAsia" w:ascii="Times New Roman" w:hAnsi="Times New Roman"/>
          <w:color w:val="auto"/>
          <w:szCs w:val="24"/>
        </w:rPr>
        <w:t>腰梁的构造应符合下列规定：</w:t>
      </w:r>
      <w:bookmarkEnd w:id="637"/>
      <w:bookmarkEnd w:id="638"/>
    </w:p>
    <w:p>
      <w:pPr>
        <w:widowControl w:val="0"/>
        <w:spacing w:line="480" w:lineRule="exact"/>
        <w:ind w:firstLine="480" w:firstLineChars="200"/>
        <w:rPr>
          <w:rFonts w:hint="eastAsia" w:ascii="Times New Roman" w:hAnsi="Times New Roman"/>
          <w:color w:val="auto"/>
          <w:szCs w:val="24"/>
        </w:rPr>
      </w:pPr>
      <w:bookmarkStart w:id="639" w:name="_Toc5111"/>
      <w:bookmarkStart w:id="640" w:name="_Toc20570"/>
      <w:r>
        <w:rPr>
          <w:rFonts w:hint="eastAsia" w:ascii="Times New Roman" w:hAnsi="Times New Roman"/>
          <w:color w:val="auto"/>
          <w:szCs w:val="24"/>
        </w:rPr>
        <w:t>1 腰梁的材料宜采用钢材或钢筋混凝土，并宜连续布置；</w:t>
      </w:r>
      <w:bookmarkEnd w:id="639"/>
      <w:bookmarkEnd w:id="640"/>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2 钢腰梁可采用H型钢、工字钢、槽钢或其组合截面等，当采用组合截面时，组合截面构件间应采用缀板连接；</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3 钢筋混凝土腰梁强度等级</w:t>
      </w:r>
      <w:r>
        <w:rPr>
          <w:rFonts w:hint="eastAsia" w:ascii="Times New Roman" w:hAnsi="Times New Roman"/>
          <w:color w:val="auto"/>
          <w:szCs w:val="24"/>
          <w:lang w:val="en-US" w:eastAsia="zh-CN"/>
        </w:rPr>
        <w:t>应</w:t>
      </w:r>
      <w:r>
        <w:rPr>
          <w:rFonts w:hint="eastAsia" w:ascii="Times New Roman" w:hAnsi="Times New Roman"/>
          <w:color w:val="auto"/>
          <w:szCs w:val="24"/>
        </w:rPr>
        <w:t>不低于C30，腰梁的截面高度（水平方向）不宜小于其水平方向计算跨度的1/10，腰梁的截面宽度不应小于支撑的截面高度；</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4 腰梁应与围护结构连接牢靠、受力均匀、稳定，具体连接构造应根据支撑及腰梁自重等因素由计算确定。</w:t>
      </w:r>
    </w:p>
    <w:p>
      <w:pPr>
        <w:widowControl w:val="0"/>
        <w:spacing w:line="480" w:lineRule="exact"/>
        <w:rPr>
          <w:rFonts w:hint="eastAsia" w:ascii="Times New Roman" w:hAnsi="Times New Roman"/>
          <w:b w:val="0"/>
          <w:bCs/>
          <w:szCs w:val="24"/>
        </w:rPr>
      </w:pPr>
      <w:bookmarkStart w:id="641" w:name="_Toc28087"/>
      <w:bookmarkStart w:id="642" w:name="_Toc17629"/>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.19 </w:t>
      </w:r>
      <w:r>
        <w:rPr>
          <w:rFonts w:hint="eastAsia" w:ascii="Times New Roman" w:hAnsi="Times New Roman"/>
          <w:b w:val="0"/>
          <w:bCs/>
          <w:szCs w:val="24"/>
        </w:rPr>
        <w:t>立柱的构造应符合下列规定：</w:t>
      </w:r>
      <w:bookmarkEnd w:id="641"/>
      <w:bookmarkEnd w:id="642"/>
    </w:p>
    <w:p>
      <w:pPr>
        <w:widowControl w:val="0"/>
        <w:spacing w:line="480" w:lineRule="exact"/>
        <w:ind w:firstLine="480" w:firstLineChars="200"/>
        <w:rPr>
          <w:rFonts w:hint="eastAsia" w:ascii="Times New Roman" w:hAnsi="Times New Roman"/>
          <w:szCs w:val="24"/>
        </w:rPr>
      </w:pPr>
      <w:bookmarkStart w:id="643" w:name="_Toc15438"/>
      <w:bookmarkStart w:id="644" w:name="_Toc10575"/>
      <w:r>
        <w:rPr>
          <w:rFonts w:hint="eastAsia" w:ascii="Times New Roman" w:hAnsi="Times New Roman"/>
          <w:szCs w:val="24"/>
        </w:rPr>
        <w:t>1 立柱可采用钢格构、钢管、型钢或钢管混凝土等形式；</w:t>
      </w:r>
      <w:bookmarkEnd w:id="643"/>
      <w:bookmarkEnd w:id="644"/>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当采用灌注桩作为立柱的基础时，钢立柱锚入桩内的长度不宜小于立柱长边或直径的4倍；</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立柱长细比不宜大于25；</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立柱与水平支撑的连接可采用铰接；</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5 立柱与钢支撑之间应设置可靠钢支架（联系梁）进行连接，钢支架（联系梁）应能有效约束水平支撑侧向和竖向的位移；</w:t>
      </w:r>
    </w:p>
    <w:p>
      <w:pPr>
        <w:widowControl w:val="0"/>
        <w:spacing w:line="480" w:lineRule="exact"/>
        <w:ind w:firstLine="480" w:firstLineChars="200"/>
        <w:rPr>
          <w:rFonts w:hint="eastAsia" w:ascii="Times New Roman" w:hAnsi="Times New Roman"/>
          <w:szCs w:val="24"/>
        </w:rPr>
      </w:pPr>
      <w:bookmarkStart w:id="645" w:name="_Toc17711"/>
      <w:bookmarkStart w:id="646" w:name="_Toc2751"/>
      <w:r>
        <w:rPr>
          <w:rFonts w:hint="eastAsia" w:ascii="Times New Roman" w:hAnsi="Times New Roman"/>
          <w:szCs w:val="24"/>
        </w:rPr>
        <w:t>6 立柱穿过主体结构底板的部位，应有有效的截水措施。</w:t>
      </w:r>
      <w:bookmarkEnd w:id="645"/>
      <w:bookmarkEnd w:id="646"/>
    </w:p>
    <w:p>
      <w:pPr>
        <w:bidi w:val="0"/>
        <w:jc w:val="center"/>
        <w:rPr>
          <w:rFonts w:hint="eastAsia"/>
          <w:b/>
          <w:bCs/>
          <w:sz w:val="28"/>
          <w:szCs w:val="24"/>
          <w:lang w:val="en-US" w:eastAsia="zh-CN"/>
        </w:rPr>
      </w:pPr>
      <w:bookmarkStart w:id="647" w:name="_Toc9742"/>
      <w:bookmarkStart w:id="648" w:name="_Toc18955"/>
      <w:r>
        <w:rPr>
          <w:rFonts w:hint="eastAsia" w:ascii="Calibri" w:eastAsia="宋体"/>
          <w:b/>
          <w:bCs/>
          <w:sz w:val="28"/>
          <w:szCs w:val="24"/>
          <w:lang w:val="en-US" w:eastAsia="zh-CN"/>
        </w:rPr>
        <w:t>Ⅴ  内支撑结构施工与检测</w:t>
      </w:r>
      <w:bookmarkEnd w:id="647"/>
      <w:bookmarkEnd w:id="648"/>
    </w:p>
    <w:p>
      <w:pPr>
        <w:widowControl w:val="0"/>
        <w:spacing w:line="480" w:lineRule="exact"/>
        <w:rPr>
          <w:rFonts w:ascii="Times New Roman" w:hAnsi="Times New Roman"/>
          <w:szCs w:val="24"/>
        </w:rPr>
      </w:pPr>
      <w:r>
        <w:rPr>
          <w:rFonts w:hint="eastAsia" w:ascii="Times New Roman" w:hAnsi="Times New Roman"/>
          <w:b/>
          <w:szCs w:val="24"/>
        </w:rPr>
        <w:t>8.</w:t>
      </w:r>
      <w:r>
        <w:rPr>
          <w:rFonts w:hint="eastAsia" w:ascii="Times New Roman" w:hAnsi="Times New Roman"/>
          <w:b/>
          <w:szCs w:val="24"/>
          <w:lang w:eastAsia="zh-CN"/>
        </w:rPr>
        <w:t>6</w:t>
      </w:r>
      <w:r>
        <w:rPr>
          <w:rFonts w:hint="eastAsia" w:ascii="Times New Roman" w:hAnsi="Times New Roman"/>
          <w:b/>
          <w:szCs w:val="24"/>
        </w:rPr>
        <w:t xml:space="preserve">.20 </w:t>
      </w:r>
      <w:r>
        <w:rPr>
          <w:rFonts w:hint="eastAsia" w:ascii="Times New Roman" w:hAnsi="Times New Roman"/>
          <w:szCs w:val="24"/>
        </w:rPr>
        <w:t>内支撑结构的施工与拆除顺序，应与设计工况一致，必须遵循先支撑后开挖的原则。</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 xml:space="preserve">.21 </w:t>
      </w:r>
      <w:r>
        <w:rPr>
          <w:rFonts w:hint="eastAsia"/>
        </w:rPr>
        <w:t>设计时应考虑土方开挖运输对支撑的要求，包括支撑、立柱和坡道。并且考虑开挖、运输机械的作业空间和转弯半径等。</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.22</w:t>
      </w:r>
      <w:r>
        <w:rPr>
          <w:rFonts w:ascii="Times New Roman" w:hAnsi="Times New Roman"/>
          <w:szCs w:val="24"/>
        </w:rPr>
        <w:t xml:space="preserve"> </w:t>
      </w:r>
      <w:r>
        <w:rPr>
          <w:rFonts w:hint="eastAsia" w:ascii="Times New Roman" w:hAnsi="Times New Roman"/>
          <w:szCs w:val="24"/>
        </w:rPr>
        <w:t>混凝土支撑的施工质量应符合现行国家标准《</w:t>
      </w:r>
      <w:r>
        <w:rPr>
          <w:rFonts w:ascii="Times New Roman" w:hAnsi="Times New Roman"/>
          <w:szCs w:val="24"/>
        </w:rPr>
        <w:t>混凝土结构工程施工质量验收规</w:t>
      </w:r>
      <w:r>
        <w:rPr>
          <w:rFonts w:hint="eastAsia" w:ascii="Times New Roman" w:hAnsi="Times New Roman"/>
          <w:szCs w:val="24"/>
        </w:rPr>
        <w:t>范》GB50204的规定。</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.23</w:t>
      </w:r>
      <w:r>
        <w:rPr>
          <w:rFonts w:ascii="Times New Roman" w:hAnsi="Times New Roman"/>
          <w:szCs w:val="24"/>
        </w:rPr>
        <w:t xml:space="preserve"> </w:t>
      </w:r>
      <w:r>
        <w:rPr>
          <w:rFonts w:hint="eastAsia" w:ascii="Times New Roman" w:hAnsi="Times New Roman"/>
          <w:szCs w:val="24"/>
        </w:rPr>
        <w:t>混凝土腰梁施工前应将排桩、地下连续墙等挡土构件的连接表面清理干净，混凝土腰梁应与挡土构件紧密接触，不得留有缝隙。</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 xml:space="preserve">.24 </w:t>
      </w:r>
      <w:r>
        <w:rPr>
          <w:rFonts w:hint="eastAsia" w:ascii="Times New Roman" w:hAnsi="Times New Roman"/>
          <w:szCs w:val="24"/>
        </w:rPr>
        <w:t>钢支撑的安装质量应符合现行国家标准《钢</w:t>
      </w:r>
      <w:r>
        <w:rPr>
          <w:rFonts w:ascii="Times New Roman" w:hAnsi="Times New Roman"/>
          <w:szCs w:val="24"/>
        </w:rPr>
        <w:t>结构工程施工质量验收</w:t>
      </w:r>
      <w:r>
        <w:rPr>
          <w:rFonts w:hint="eastAsia" w:ascii="Times New Roman" w:hAnsi="Times New Roman"/>
          <w:szCs w:val="24"/>
        </w:rPr>
        <w:t>标准》GB50205的规定。</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.25</w:t>
      </w:r>
      <w:r>
        <w:rPr>
          <w:rFonts w:ascii="Times New Roman" w:hAnsi="Times New Roman"/>
          <w:szCs w:val="24"/>
        </w:rPr>
        <w:t xml:space="preserve"> </w:t>
      </w:r>
      <w:r>
        <w:rPr>
          <w:rFonts w:hint="eastAsia" w:ascii="Times New Roman" w:hAnsi="Times New Roman"/>
          <w:szCs w:val="24"/>
        </w:rPr>
        <w:t>钢腰梁与排桩、地下连续墙等挡土构件间隙的宽度宜小于100mm，并应在钢腰梁安装定位后，用强度等级不低于C30的细石混凝土填充密实。</w:t>
      </w:r>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.26</w:t>
      </w:r>
      <w:r>
        <w:rPr>
          <w:rFonts w:hint="eastAsia" w:ascii="Times New Roman" w:hAnsi="Times New Roman"/>
          <w:b/>
          <w:szCs w:val="24"/>
        </w:rPr>
        <w:t xml:space="preserve"> </w:t>
      </w:r>
      <w:r>
        <w:rPr>
          <w:rFonts w:hint="eastAsia" w:ascii="Times New Roman" w:hAnsi="Times New Roman"/>
          <w:szCs w:val="24"/>
        </w:rPr>
        <w:t>对预加轴向压力的钢支撑，施加预压力时应符合下列要求：</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1 预加力值宜取支撑轴向压力标准值的0.5倍~0.8倍；</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对支撑施加压力的千斤顶应有可靠、准确的计量装置；</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千斤顶压力的合力点应与支撑轴线重合，千斤顶应在支撑轴线两侧对称、等距放置，且应同步施加压力；</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千斤顶的压力应分级施加，施加每级压力后应保持压力稳定10分钟后方可施加下一级压力；预压力加至设计规定值后，应在压力稳定10分钟后，方可按设计预压力值进行锁定；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支撑施加压力过程中，当出现焊点开裂、局部压曲等异常情况时应卸除压力，在对支撑的薄弱处进行加固后，方可继续施加压力；</w:t>
      </w:r>
    </w:p>
    <w:p>
      <w:pPr>
        <w:widowControl w:val="0"/>
        <w:spacing w:line="480" w:lineRule="exact"/>
        <w:ind w:firstLine="480" w:firstLineChars="200"/>
        <w:rPr>
          <w:rFonts w:hint="eastAsia" w:ascii="Times New Roman" w:hAnsi="Times New Roman"/>
          <w:szCs w:val="24"/>
        </w:rPr>
      </w:pPr>
      <w:bookmarkStart w:id="649" w:name="_Toc4458"/>
      <w:bookmarkStart w:id="650" w:name="_Toc9392"/>
      <w:r>
        <w:rPr>
          <w:rFonts w:hint="eastAsia" w:ascii="Times New Roman" w:hAnsi="Times New Roman"/>
          <w:szCs w:val="24"/>
        </w:rPr>
        <w:t>6 当监测的支撑压力出现损失时，应再次施加预压力。</w:t>
      </w:r>
      <w:bookmarkEnd w:id="649"/>
      <w:bookmarkEnd w:id="650"/>
    </w:p>
    <w:p>
      <w:pPr>
        <w:widowControl w:val="0"/>
        <w:spacing w:line="480" w:lineRule="exact"/>
        <w:rPr>
          <w:rFonts w:ascii="Times New Roman" w:hAnsi="Times New Roman"/>
          <w:szCs w:val="24"/>
        </w:rPr>
      </w:pPr>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.27</w:t>
      </w:r>
      <w:r>
        <w:rPr>
          <w:rFonts w:hint="eastAsia" w:ascii="Times New Roman" w:hAnsi="Times New Roman"/>
          <w:bCs/>
          <w:szCs w:val="24"/>
        </w:rPr>
        <w:t xml:space="preserve"> </w:t>
      </w:r>
      <w:r>
        <w:rPr>
          <w:rFonts w:hint="eastAsia" w:ascii="Times New Roman" w:hAnsi="Times New Roman"/>
          <w:szCs w:val="24"/>
        </w:rPr>
        <w:t>支撑拆除应在替换支撑的结构构件达到换撑要求的承载力后进行；当主体结构底板和楼板分块浇筑或设置后浇带时，应在分块部位或后浇带处设置可靠的传力构件；支撑的拆除应根据支撑材料、型式、尺寸等具体情况采用人工、机械和爆破等方法。</w:t>
      </w:r>
    </w:p>
    <w:p>
      <w:pPr>
        <w:widowControl w:val="0"/>
        <w:spacing w:line="480" w:lineRule="exact"/>
        <w:rPr>
          <w:rFonts w:hint="eastAsia" w:ascii="Times New Roman" w:hAnsi="Times New Roman"/>
          <w:b w:val="0"/>
          <w:bCs w:val="0"/>
          <w:szCs w:val="24"/>
        </w:rPr>
      </w:pPr>
      <w:bookmarkStart w:id="651" w:name="_Toc16646"/>
      <w:bookmarkStart w:id="652" w:name="_Toc25580"/>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 xml:space="preserve">.28 </w:t>
      </w:r>
      <w:r>
        <w:rPr>
          <w:rFonts w:hint="eastAsia" w:ascii="Times New Roman" w:hAnsi="Times New Roman"/>
          <w:b w:val="0"/>
          <w:bCs w:val="0"/>
          <w:szCs w:val="24"/>
        </w:rPr>
        <w:t>立柱的施工应符合下列要求：</w:t>
      </w:r>
      <w:bookmarkEnd w:id="651"/>
      <w:bookmarkEnd w:id="652"/>
    </w:p>
    <w:p>
      <w:pPr>
        <w:widowControl w:val="0"/>
        <w:spacing w:line="480" w:lineRule="exact"/>
        <w:ind w:firstLine="480" w:firstLineChars="200"/>
        <w:rPr>
          <w:rFonts w:hint="eastAsia" w:ascii="Times New Roman" w:hAnsi="Times New Roman"/>
          <w:szCs w:val="24"/>
        </w:rPr>
      </w:pPr>
      <w:bookmarkStart w:id="653" w:name="_Toc28519"/>
      <w:bookmarkStart w:id="654" w:name="_Toc2387"/>
      <w:r>
        <w:rPr>
          <w:rFonts w:hint="eastAsia" w:ascii="Times New Roman" w:hAnsi="Times New Roman"/>
          <w:szCs w:val="24"/>
        </w:rPr>
        <w:t>1 立柱桩混凝土的浇筑面宜高于设计桩顶500mm；</w:t>
      </w:r>
      <w:bookmarkEnd w:id="653"/>
      <w:bookmarkEnd w:id="654"/>
    </w:p>
    <w:p>
      <w:pPr>
        <w:widowControl w:val="0"/>
        <w:spacing w:line="480" w:lineRule="exact"/>
        <w:ind w:firstLine="480" w:firstLineChars="200"/>
        <w:rPr>
          <w:rFonts w:ascii="Times New Roman" w:hAnsi="Times New Roman"/>
          <w:szCs w:val="24"/>
        </w:rPr>
      </w:pPr>
      <w:r>
        <w:rPr>
          <w:rFonts w:hint="eastAsia" w:ascii="Times New Roman" w:hAnsi="Times New Roman"/>
          <w:szCs w:val="24"/>
        </w:rPr>
        <w:t>2 采用钢立柱时，立柱周围的空隙应用碎石回填密实，并宜辅以注浆措施；</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立柱的定位和垂直度宜采用专门措施进行控制，对格构柱、H型钢柱，尚应同时控制方向偏差。</w:t>
      </w:r>
    </w:p>
    <w:p>
      <w:pPr>
        <w:widowControl w:val="0"/>
        <w:spacing w:line="480" w:lineRule="exact"/>
        <w:rPr>
          <w:rFonts w:hint="eastAsia" w:ascii="Times New Roman" w:hAnsi="Times New Roman"/>
          <w:b w:val="0"/>
          <w:bCs w:val="0"/>
          <w:szCs w:val="24"/>
        </w:rPr>
      </w:pPr>
      <w:bookmarkStart w:id="655" w:name="_Toc29260"/>
      <w:bookmarkStart w:id="656" w:name="_Toc394"/>
      <w:r>
        <w:rPr>
          <w:rFonts w:hint="eastAsia" w:ascii="Times New Roman" w:hAnsi="Times New Roman"/>
          <w:b/>
          <w:bCs/>
          <w:szCs w:val="24"/>
        </w:rPr>
        <w:t>8.</w:t>
      </w:r>
      <w:r>
        <w:rPr>
          <w:rFonts w:hint="eastAsia" w:ascii="Times New Roman" w:hAnsi="Times New Roman"/>
          <w:b/>
          <w:bCs/>
          <w:szCs w:val="24"/>
          <w:lang w:eastAsia="zh-CN"/>
        </w:rPr>
        <w:t>6</w:t>
      </w:r>
      <w:r>
        <w:rPr>
          <w:rFonts w:hint="eastAsia" w:ascii="Times New Roman" w:hAnsi="Times New Roman"/>
          <w:b/>
          <w:bCs/>
          <w:szCs w:val="24"/>
        </w:rPr>
        <w:t xml:space="preserve">.29 </w:t>
      </w:r>
      <w:r>
        <w:rPr>
          <w:rFonts w:hint="eastAsia" w:ascii="Times New Roman" w:hAnsi="Times New Roman"/>
          <w:b w:val="0"/>
          <w:bCs w:val="0"/>
          <w:szCs w:val="24"/>
        </w:rPr>
        <w:t>内支撑的施工偏差应符合下列要求：</w:t>
      </w:r>
      <w:bookmarkEnd w:id="655"/>
      <w:bookmarkEnd w:id="656"/>
    </w:p>
    <w:p>
      <w:pPr>
        <w:widowControl w:val="0"/>
        <w:spacing w:line="480" w:lineRule="exact"/>
        <w:ind w:firstLine="480" w:firstLineChars="200"/>
        <w:rPr>
          <w:rFonts w:ascii="Times New Roman" w:hAnsi="Times New Roman"/>
          <w:szCs w:val="24"/>
        </w:rPr>
      </w:pPr>
      <w:r>
        <w:rPr>
          <w:rFonts w:hint="eastAsia" w:ascii="Times New Roman" w:hAnsi="Times New Roman"/>
          <w:szCs w:val="24"/>
        </w:rPr>
        <w:t>1 支撑标高的允许偏差应为30mm；</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支撑水平位置的允许偏差应为30mm；</w:t>
      </w:r>
    </w:p>
    <w:p>
      <w:pPr>
        <w:widowControl w:val="0"/>
        <w:spacing w:line="480" w:lineRule="exact"/>
        <w:ind w:firstLine="470" w:firstLineChars="196"/>
        <w:rPr>
          <w:rFonts w:ascii="Times New Roman" w:hAnsi="Times New Roman"/>
          <w:szCs w:val="24"/>
        </w:rPr>
      </w:pPr>
      <w:r>
        <w:rPr>
          <w:rFonts w:hint="eastAsia" w:ascii="Times New Roman" w:hAnsi="Times New Roman"/>
          <w:szCs w:val="24"/>
        </w:rPr>
        <w:t>3 临时立柱平面位置的允许偏差应为50mm，垂直度的允许偏差应为1/150；</w:t>
      </w:r>
    </w:p>
    <w:p>
      <w:pPr>
        <w:widowControl w:val="0"/>
        <w:spacing w:line="480" w:lineRule="exact"/>
        <w:ind w:firstLine="470" w:firstLineChars="196"/>
        <w:rPr>
          <w:rFonts w:hint="eastAsia" w:ascii="Times New Roman" w:hAnsi="Times New Roman"/>
        </w:rPr>
      </w:pPr>
      <w:r>
        <w:rPr>
          <w:rFonts w:hint="eastAsia" w:ascii="Times New Roman" w:hAnsi="Times New Roman"/>
          <w:szCs w:val="24"/>
        </w:rPr>
        <w:t>4 立柱用作主体结构构件时，立柱平面位置的允许偏差应为10mm，垂直度允许偏差应为1/300。</w:t>
      </w:r>
    </w:p>
    <w:p>
      <w:pPr>
        <w:widowControl w:val="0"/>
        <w:spacing w:line="480" w:lineRule="exact"/>
        <w:ind w:firstLine="470" w:firstLineChars="196"/>
        <w:rPr>
          <w:rFonts w:hint="eastAsia" w:ascii="Times New Roman" w:hAnsi="Times New Roman"/>
        </w:rPr>
      </w:pPr>
    </w:p>
    <w:bookmarkEnd w:id="548"/>
    <w:bookmarkEnd w:id="549"/>
    <w:p>
      <w:pPr>
        <w:pStyle w:val="3"/>
        <w:bidi w:val="0"/>
        <w:rPr>
          <w:rFonts w:ascii="Times New Roman" w:hAnsi="Times New Roman"/>
          <w:color w:val="auto"/>
        </w:rPr>
      </w:pPr>
      <w:bookmarkStart w:id="657" w:name="_Toc11698"/>
      <w:bookmarkStart w:id="658" w:name="_Toc31430"/>
      <w:bookmarkStart w:id="659" w:name="_Toc15614"/>
      <w:r>
        <w:rPr>
          <w:rFonts w:hint="eastAsia" w:ascii="Times New Roman" w:hAnsi="Times New Roman"/>
          <w:color w:val="auto"/>
        </w:rPr>
        <w:t>8.</w:t>
      </w:r>
      <w:r>
        <w:rPr>
          <w:rFonts w:hint="eastAsia" w:ascii="Times New Roman" w:hAnsi="Times New Roman"/>
          <w:color w:val="auto"/>
          <w:lang w:val="en-US" w:eastAsia="zh-CN"/>
        </w:rPr>
        <w:t>7</w:t>
      </w:r>
      <w:r>
        <w:rPr>
          <w:rFonts w:hint="eastAsia" w:ascii="Times New Roman" w:hAnsi="Times New Roman"/>
          <w:color w:val="auto"/>
        </w:rPr>
        <w:t xml:space="preserve">  逆作法</w:t>
      </w:r>
      <w:bookmarkEnd w:id="657"/>
      <w:bookmarkEnd w:id="658"/>
      <w:bookmarkEnd w:id="659"/>
    </w:p>
    <w:p>
      <w:pPr>
        <w:bidi w:val="0"/>
        <w:jc w:val="center"/>
        <w:rPr>
          <w:rFonts w:hint="eastAsia" w:ascii="宋体" w:hAnsi="宋体" w:eastAsia="宋体" w:cs="宋体"/>
          <w:b/>
          <w:bCs/>
          <w:color w:val="auto"/>
          <w:sz w:val="28"/>
          <w:szCs w:val="24"/>
          <w:lang w:val="en-US" w:eastAsia="zh-CN"/>
        </w:rPr>
      </w:pPr>
      <w:bookmarkStart w:id="660" w:name="_Toc6140"/>
      <w:bookmarkStart w:id="661" w:name="_Toc23557"/>
      <w:r>
        <w:rPr>
          <w:rFonts w:hint="eastAsia" w:ascii="宋体" w:hAnsi="宋体" w:eastAsia="宋体" w:cs="宋体"/>
          <w:b/>
          <w:bCs/>
          <w:color w:val="auto"/>
          <w:sz w:val="28"/>
          <w:szCs w:val="24"/>
          <w:lang w:val="en-US" w:eastAsia="zh-CN"/>
        </w:rPr>
        <w:t>Ⅰ 一般规定</w:t>
      </w:r>
      <w:bookmarkEnd w:id="660"/>
      <w:bookmarkEnd w:id="661"/>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w:t>
      </w:r>
      <w:r>
        <w:rPr>
          <w:rFonts w:hint="eastAsia" w:ascii="Times New Roman" w:hAnsi="Times New Roman"/>
          <w:color w:val="auto"/>
          <w:szCs w:val="24"/>
        </w:rPr>
        <w:t xml:space="preserve"> 支护结构与主体结构相结合的逆作法施工设计方案应根据基坑工程实际施工环境和进度，由建设、设计、施工单位密切协作共同制定。其设计、施工、检测与监测方案应经专项论证通过后方可实施。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w:t>
      </w:r>
      <w:r>
        <w:rPr>
          <w:rFonts w:hint="eastAsia" w:ascii="Times New Roman" w:hAnsi="Times New Roman"/>
          <w:color w:val="auto"/>
          <w:szCs w:val="24"/>
        </w:rPr>
        <w:t xml:space="preserve"> 逆作法的土方清运，分段结构施工应满足设计工况的要求。</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.3 </w:t>
      </w:r>
      <w:r>
        <w:rPr>
          <w:rFonts w:hint="eastAsia" w:ascii="Times New Roman" w:hAnsi="Times New Roman"/>
          <w:color w:val="auto"/>
          <w:szCs w:val="24"/>
        </w:rPr>
        <w:t>逆作法结构构件永临结合形式包括：地下连续墙兼</w:t>
      </w:r>
      <w:r>
        <w:rPr>
          <w:rFonts w:hint="eastAsia" w:ascii="Times New Roman" w:hAnsi="Times New Roman"/>
          <w:szCs w:val="24"/>
        </w:rPr>
        <w:t>作主体结构、水平支撑兼作主体结构和竖向支撑构件兼作主体结构。</w:t>
      </w:r>
    </w:p>
    <w:p>
      <w:pPr>
        <w:bidi w:val="0"/>
        <w:jc w:val="center"/>
        <w:rPr>
          <w:rFonts w:hint="eastAsia" w:ascii="宋体" w:hAnsi="宋体" w:eastAsia="宋体" w:cs="宋体"/>
          <w:b/>
          <w:bCs/>
          <w:color w:val="auto"/>
          <w:sz w:val="28"/>
          <w:szCs w:val="24"/>
          <w:lang w:val="en-US" w:eastAsia="zh-CN"/>
        </w:rPr>
      </w:pPr>
      <w:r>
        <w:rPr>
          <w:rFonts w:hint="eastAsia" w:ascii="宋体" w:hAnsi="宋体" w:eastAsia="宋体" w:cs="宋体"/>
          <w:b/>
          <w:bCs/>
          <w:color w:val="auto"/>
          <w:sz w:val="28"/>
          <w:szCs w:val="24"/>
          <w:lang w:val="en-US" w:eastAsia="zh-CN"/>
        </w:rPr>
        <w:t>Ⅱ 地下连续墙兼作主体结构</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.4</w:t>
      </w:r>
      <w:r>
        <w:rPr>
          <w:rFonts w:hint="eastAsia" w:ascii="Times New Roman" w:hAnsi="Times New Roman"/>
          <w:color w:val="auto"/>
          <w:szCs w:val="24"/>
        </w:rPr>
        <w:t xml:space="preserve"> 地下连续墙兼作主体结构可采用单一墙、复合墙和叠合墙的形式。</w:t>
      </w:r>
    </w:p>
    <w:p>
      <w:pPr>
        <w:widowControl w:val="0"/>
        <w:spacing w:line="480" w:lineRule="exact"/>
        <w:ind w:firstLine="480" w:firstLineChars="200"/>
        <w:rPr>
          <w:rFonts w:ascii="Times New Roman" w:hAnsi="Times New Roman"/>
          <w:szCs w:val="24"/>
        </w:rPr>
      </w:pPr>
      <w:r>
        <w:rPr>
          <w:rFonts w:hint="eastAsia" w:ascii="Times New Roman" w:hAnsi="Times New Roman"/>
          <w:color w:val="auto"/>
          <w:szCs w:val="24"/>
        </w:rPr>
        <w:t>1</w:t>
      </w:r>
      <w:r>
        <w:rPr>
          <w:rFonts w:hint="eastAsia" w:ascii="Times New Roman" w:hAnsi="Times New Roman"/>
          <w:szCs w:val="24"/>
        </w:rPr>
        <w:t>单一墙：仅采用地下连续墙作为地下结构外墙，墙体应同时满足基坑开挖和永久使用两种不同阶段的受力和变形要求。</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2叠合墙：地下连续墙作为地下结构外墙的一部分，它与内侧设置的钢筋混凝土内衬墙间的结合面可承受剪力。永久使用阶段计算时的墙体厚度可取地下连续墙与内衬墙厚度之和。</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3复合墙：地下连续墙作为地下结构外墙的一部分，它与内侧设置的钢筋混凝土内衬墙间的结合面不承受剪力。永久使用阶段的墙体内力宜按地下连续墙与内衬墙的刚度比例进行分配。</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.5</w:t>
      </w:r>
      <w:r>
        <w:rPr>
          <w:rFonts w:hint="eastAsia" w:ascii="Times New Roman" w:hAnsi="Times New Roman"/>
          <w:color w:val="auto"/>
          <w:szCs w:val="24"/>
        </w:rPr>
        <w:t xml:space="preserve"> 地下连续墙兼作主体结构在基坑施工阶段的设计、计算应符合</w:t>
      </w:r>
      <w:r>
        <w:rPr>
          <w:rFonts w:hint="eastAsia" w:ascii="Times New Roman" w:hAnsi="Times New Roman"/>
          <w:color w:val="auto"/>
          <w:szCs w:val="24"/>
          <w:lang w:eastAsia="zh-CN"/>
        </w:rPr>
        <w:t>本标准</w:t>
      </w:r>
      <w:r>
        <w:rPr>
          <w:rFonts w:hint="eastAsia" w:ascii="Times New Roman" w:hAnsi="Times New Roman"/>
          <w:color w:val="auto"/>
          <w:szCs w:val="24"/>
        </w:rPr>
        <w:t>相关规定，永久使用阶段的设计计算除应符合本节规定外，尚应符合国家现行有关规范、标准的规定和主体结构设计的要求。</w:t>
      </w:r>
    </w:p>
    <w:p>
      <w:pPr>
        <w:widowControl w:val="0"/>
        <w:spacing w:line="480" w:lineRule="exact"/>
        <w:rPr>
          <w:rFonts w:hint="eastAsia" w:ascii="Times New Roman" w:hAnsi="Times New Roman"/>
          <w:b w:val="0"/>
          <w:bCs/>
          <w:i w:val="0"/>
          <w:iCs w:val="0"/>
          <w:szCs w:val="24"/>
        </w:rPr>
      </w:pPr>
      <w:bookmarkStart w:id="662" w:name="_Toc24666"/>
      <w:bookmarkStart w:id="663" w:name="_Toc30238"/>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.6 </w:t>
      </w:r>
      <w:r>
        <w:rPr>
          <w:rFonts w:hint="eastAsia" w:ascii="Times New Roman" w:hAnsi="Times New Roman"/>
          <w:b w:val="0"/>
          <w:bCs/>
          <w:i w:val="0"/>
          <w:iCs w:val="0"/>
          <w:color w:val="auto"/>
          <w:szCs w:val="24"/>
        </w:rPr>
        <w:t>地下连续墙兼作</w:t>
      </w:r>
      <w:r>
        <w:rPr>
          <w:rFonts w:hint="eastAsia" w:ascii="Times New Roman" w:hAnsi="Times New Roman"/>
          <w:b w:val="0"/>
          <w:bCs/>
          <w:i w:val="0"/>
          <w:iCs w:val="0"/>
          <w:szCs w:val="24"/>
        </w:rPr>
        <w:t>主体结构的设计计算应符合下列规定：</w:t>
      </w:r>
      <w:bookmarkEnd w:id="662"/>
      <w:bookmarkEnd w:id="663"/>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地下连续墙应分别按照承载能力极限状态和正常使用极限状态进行承载力、变形计算和裂缝计算；</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叠合墙和复合墙应分别根据基坑施工工况和永久使用阶段的不同情况，按内外墙实际受力进行墙体内力与变形计算；</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地下连续墙使用阶段最大裂缝宽度限值为0.2mm，裂缝验算时取用的计算保护层厚度为30mm。当有特殊耐久性要求时，应根据相关规范进行控制；</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地下连续墙墙身的防水等级应结合主体地下结构外墙防水等级确定；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地下连续墙与主体结构连接处应根据其受力特性和连接刚度进行节点的设计计算；</w:t>
      </w:r>
    </w:p>
    <w:p>
      <w:pPr>
        <w:widowControl w:val="0"/>
        <w:spacing w:line="480" w:lineRule="exact"/>
        <w:ind w:firstLine="480" w:firstLineChars="200"/>
        <w:rPr>
          <w:rFonts w:ascii="Times New Roman" w:hAnsi="Times New Roman"/>
          <w:color w:val="auto"/>
          <w:szCs w:val="24"/>
        </w:rPr>
      </w:pPr>
      <w:r>
        <w:rPr>
          <w:rFonts w:hint="eastAsia" w:ascii="Times New Roman" w:hAnsi="Times New Roman"/>
          <w:szCs w:val="24"/>
        </w:rPr>
        <w:t>6 墙体承受上部结构竖向荷载时，应根据相关规范分别按照承载能力极限状态和正常使用极限状态计算地下连续墙的竖向承载力和沉降量。兼作主体结构的地下连续墙竖向承载力可参照灌注桩的单桩竖向承载力计算方法进行估算</w:t>
      </w:r>
      <w:r>
        <w:rPr>
          <w:rFonts w:hint="eastAsia" w:ascii="Times New Roman" w:hAnsi="Times New Roman"/>
          <w:color w:val="0000FF"/>
          <w:szCs w:val="24"/>
        </w:rPr>
        <w:t>，</w:t>
      </w:r>
      <w:r>
        <w:rPr>
          <w:rFonts w:hint="eastAsia" w:ascii="Times New Roman" w:hAnsi="Times New Roman"/>
          <w:szCs w:val="24"/>
        </w:rPr>
        <w:t>墙体截面有效周长应取与周边土体接触部分的长度，墙体有效长度应取基坑开挖面以下的入土深度，根据受力和变形协调的要求可进行墙底后注浆。</w:t>
      </w:r>
      <w:r>
        <w:rPr>
          <w:rFonts w:hint="eastAsia" w:ascii="Times New Roman" w:hAnsi="Times New Roman"/>
          <w:color w:val="auto"/>
          <w:szCs w:val="24"/>
        </w:rPr>
        <w:t>其竖向承载力宜通过现场静荷载试验确定；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7 当由多幅地下连续墙共同承担上部结构竖向荷载时，槽段施工接头宜采用刚性接头，且应进行接头抗剪承载力计算；</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8 墙顶承受竖向偏心荷载时，应按偏心受压构件计算正截面受压承载力；</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9 墙顶圈梁与地下连续墙及上部结构的连接处应验算截面受剪承载力。</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.7</w:t>
      </w:r>
      <w:r>
        <w:rPr>
          <w:rFonts w:hint="eastAsia" w:ascii="Times New Roman" w:hAnsi="Times New Roman"/>
          <w:color w:val="auto"/>
          <w:szCs w:val="24"/>
        </w:rPr>
        <w:t xml:space="preserve"> 当地下连续墙作为主要竖向承重构件时，可采取如下措施协调地下连续墙与主</w:t>
      </w:r>
      <w:r>
        <w:rPr>
          <w:rFonts w:hint="eastAsia" w:ascii="Times New Roman" w:hAnsi="Times New Roman"/>
          <w:szCs w:val="24"/>
        </w:rPr>
        <w:t>体结构之间的差异沉降：</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宜选择压缩性较低的土层作为地下连续墙持力层；</w:t>
      </w:r>
    </w:p>
    <w:p>
      <w:pPr>
        <w:widowControl w:val="0"/>
        <w:spacing w:line="480" w:lineRule="exact"/>
        <w:rPr>
          <w:rFonts w:ascii="Times New Roman" w:hAnsi="Times New Roman"/>
          <w:szCs w:val="24"/>
        </w:rPr>
      </w:pPr>
      <w:r>
        <w:rPr>
          <w:rFonts w:hint="eastAsia" w:ascii="Times New Roman" w:hAnsi="Times New Roman"/>
          <w:szCs w:val="24"/>
        </w:rPr>
        <w:t xml:space="preserve">    2 应对地下连续墙采取墙底注浆的加固措施；</w:t>
      </w:r>
    </w:p>
    <w:p>
      <w:pPr>
        <w:widowControl w:val="0"/>
        <w:spacing w:line="480" w:lineRule="exact"/>
        <w:ind w:firstLine="120" w:firstLineChars="50"/>
        <w:rPr>
          <w:rFonts w:ascii="Times New Roman" w:hAnsi="Times New Roman"/>
          <w:szCs w:val="24"/>
        </w:rPr>
      </w:pPr>
      <w:r>
        <w:rPr>
          <w:rFonts w:hint="eastAsia" w:ascii="Times New Roman" w:hAnsi="Times New Roman"/>
          <w:szCs w:val="24"/>
        </w:rPr>
        <w:t xml:space="preserve">   3 宜在地下连续墙附近的基础底板下设置工程桩；</w:t>
      </w:r>
    </w:p>
    <w:p>
      <w:pPr>
        <w:widowControl w:val="0"/>
        <w:spacing w:line="480" w:lineRule="exact"/>
        <w:rPr>
          <w:rFonts w:ascii="Times New Roman" w:hAnsi="Times New Roman"/>
          <w:szCs w:val="24"/>
        </w:rPr>
      </w:pPr>
      <w:r>
        <w:rPr>
          <w:rFonts w:hint="eastAsia" w:ascii="Times New Roman" w:hAnsi="Times New Roman"/>
          <w:szCs w:val="24"/>
        </w:rPr>
        <w:t xml:space="preserve">    4 采用长短墙组合的方式。</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.8</w:t>
      </w:r>
      <w:r>
        <w:rPr>
          <w:rFonts w:hint="eastAsia" w:ascii="Times New Roman" w:hAnsi="Times New Roman"/>
          <w:color w:val="auto"/>
          <w:szCs w:val="24"/>
        </w:rPr>
        <w:t xml:space="preserve"> </w:t>
      </w:r>
      <w:r>
        <w:rPr>
          <w:rFonts w:hint="eastAsia" w:ascii="Times New Roman" w:hAnsi="Times New Roman"/>
          <w:szCs w:val="24"/>
        </w:rPr>
        <w:t>兼作主体结构的地下连续墙与主体结构构件的连接及防水构造应符合下列规定：</w:t>
      </w:r>
    </w:p>
    <w:p>
      <w:pPr>
        <w:widowControl w:val="0"/>
        <w:spacing w:line="480" w:lineRule="exact"/>
        <w:rPr>
          <w:rFonts w:ascii="Times New Roman" w:hAnsi="Times New Roman"/>
          <w:szCs w:val="24"/>
        </w:rPr>
      </w:pPr>
      <w:r>
        <w:rPr>
          <w:rFonts w:hint="eastAsia" w:ascii="Times New Roman" w:hAnsi="Times New Roman"/>
          <w:szCs w:val="24"/>
        </w:rPr>
        <w:t xml:space="preserve">    1 地下连续墙与主体结构构件的连接可采用墙内预埋钢筋、钢筋接驳器、锚板和剪力槽等，预埋钢筋直径不宜大于20mm，并采用HPB300级钢筋；需连接的主体结构构件钢筋直径大于20mm时，宜采用预埋钢筋接驳器连接；</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地下连续墙与地下结构梁板之间宜设置贯通的结构环梁，并通过预埋钢筋、剪力槽等方式与结构环梁连接；地下连续墙宜通过预埋钢筋接驳器、剪力槽等方式与基础底板连接，当基础底板厚度不小于1m时，宜在基础底板中设置构造环梁，地下连续墙通过预埋钢筋与构造环梁连接；地下连续墙与地下结构边柱、结构墙宜通过预留插筋或钢筋接驳器的方式连接；</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主体结构的沉降后浇带延伸至地下连续墙位置时，宜在对应沉降后浇带位置留设槽段分缝，分缝位置应采取可靠的截水措施；</w:t>
      </w:r>
    </w:p>
    <w:p>
      <w:pPr>
        <w:widowControl w:val="0"/>
        <w:spacing w:line="480" w:lineRule="exact"/>
        <w:ind w:firstLine="480" w:firstLineChars="200"/>
        <w:rPr>
          <w:rFonts w:ascii="Times New Roman" w:hAnsi="Times New Roman"/>
          <w:color w:val="auto"/>
          <w:szCs w:val="24"/>
        </w:rPr>
      </w:pPr>
      <w:r>
        <w:rPr>
          <w:rFonts w:hint="eastAsia" w:ascii="Times New Roman" w:hAnsi="Times New Roman"/>
          <w:szCs w:val="24"/>
        </w:rPr>
        <w:t>4 兼作主体结构的地下连续墙在使用阶段需要开设外接通道时，应根据开洞位置采取相应的加强措施和可靠的</w:t>
      </w:r>
      <w:r>
        <w:rPr>
          <w:rFonts w:hint="eastAsia" w:ascii="Times New Roman" w:hAnsi="Times New Roman"/>
          <w:color w:val="auto"/>
          <w:szCs w:val="24"/>
        </w:rPr>
        <w:t>防水措施，其开洞范围内可根据开洞工艺要求配置GFRP筋代替钢筋；</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兼作主体结构的地下连续墙槽段施工接头外侧可设置高压喷射注浆等防渗构造措施；内侧宜设置扶壁式构造柱或框架柱，当地下连续墙内侧设有构造衬墙时，应在地下连续墙与衬墙间设置排水通道；</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6 兼作主体结构的地下连续墙与主体结构连接的接缝位置可根据地下结构的防水等级要求，设置刚性止水片、遇水膨胀橡胶止水条或预埋注浆管等构造措施。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.9 </w:t>
      </w:r>
      <w:r>
        <w:rPr>
          <w:rFonts w:hint="eastAsia" w:ascii="Times New Roman" w:hAnsi="Times New Roman"/>
          <w:color w:val="auto"/>
          <w:szCs w:val="24"/>
        </w:rPr>
        <w:t>兼作主体结构的地下连续墙的成槽应采用具有自动纠偏功能的成槽设备。</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.10</w:t>
      </w:r>
      <w:r>
        <w:rPr>
          <w:rFonts w:hint="eastAsia" w:ascii="Times New Roman" w:hAnsi="Times New Roman"/>
          <w:color w:val="auto"/>
          <w:szCs w:val="24"/>
        </w:rPr>
        <w:t xml:space="preserve"> 兼</w:t>
      </w:r>
      <w:r>
        <w:rPr>
          <w:rFonts w:hint="eastAsia" w:ascii="Times New Roman" w:hAnsi="Times New Roman"/>
          <w:szCs w:val="24"/>
        </w:rPr>
        <w:t>作主体结构的地下连续墙接头形式的选择应满足地下结构防渗要求，可采用圆形接头、十字钢板接头、H型钢接头等形式。</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.11</w:t>
      </w:r>
      <w:r>
        <w:rPr>
          <w:rFonts w:hint="eastAsia" w:ascii="Times New Roman" w:hAnsi="Times New Roman"/>
          <w:color w:val="auto"/>
          <w:szCs w:val="24"/>
        </w:rPr>
        <w:t xml:space="preserve"> 钢筋笼制作时，</w:t>
      </w:r>
      <w:r>
        <w:rPr>
          <w:rFonts w:hint="eastAsia" w:ascii="Times New Roman" w:hAnsi="Times New Roman"/>
          <w:strike/>
          <w:color w:val="auto"/>
          <w:szCs w:val="24"/>
        </w:rPr>
        <w:t>应在</w:t>
      </w:r>
      <w:r>
        <w:rPr>
          <w:rFonts w:hint="eastAsia" w:ascii="Times New Roman" w:hAnsi="Times New Roman"/>
          <w:color w:val="auto"/>
          <w:szCs w:val="24"/>
        </w:rPr>
        <w:t>钢筋笼上预留的剪力槽、插筋、接驳器等预埋件应有可靠固定。</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.12</w:t>
      </w:r>
      <w:r>
        <w:rPr>
          <w:rFonts w:hint="eastAsia" w:ascii="Times New Roman" w:hAnsi="Times New Roman"/>
          <w:color w:val="auto"/>
          <w:szCs w:val="24"/>
        </w:rPr>
        <w:t xml:space="preserve"> 兼作主体结构的地下连续墙应进行墙底注浆，墙底注浆应符合下列要求：</w:t>
      </w:r>
    </w:p>
    <w:p>
      <w:pPr>
        <w:widowControl w:val="0"/>
        <w:spacing w:line="480" w:lineRule="exact"/>
        <w:rPr>
          <w:rFonts w:ascii="Times New Roman" w:hAnsi="Times New Roman"/>
          <w:szCs w:val="24"/>
        </w:rPr>
      </w:pPr>
      <w:r>
        <w:rPr>
          <w:rFonts w:hint="eastAsia" w:ascii="Times New Roman" w:hAnsi="Times New Roman"/>
          <w:szCs w:val="24"/>
        </w:rPr>
        <w:t xml:space="preserve">    1 注浆管应采用钢管，注浆管宜设置在墙体中部，且应沿槽段长度方向均匀布置；</w:t>
      </w:r>
    </w:p>
    <w:p>
      <w:pPr>
        <w:widowControl w:val="0"/>
        <w:spacing w:line="480" w:lineRule="exact"/>
        <w:ind w:firstLine="120" w:firstLineChars="50"/>
        <w:rPr>
          <w:rFonts w:hint="eastAsia" w:ascii="Times New Roman" w:hAnsi="Times New Roman"/>
          <w:szCs w:val="24"/>
        </w:rPr>
      </w:pPr>
      <w:r>
        <w:rPr>
          <w:rFonts w:hint="eastAsia" w:ascii="Times New Roman" w:hAnsi="Times New Roman"/>
          <w:szCs w:val="24"/>
        </w:rPr>
        <w:t xml:space="preserve">   2 单幅槽段注浆管数量不应少于2根，槽段长度大于6m宜增设注浆管；注浆管下端应伸至槽底一下200mm～500mm；</w:t>
      </w:r>
    </w:p>
    <w:p>
      <w:pPr>
        <w:widowControl w:val="0"/>
        <w:spacing w:line="480" w:lineRule="exact"/>
        <w:ind w:firstLine="120" w:firstLineChars="50"/>
        <w:rPr>
          <w:rFonts w:hint="eastAsia" w:ascii="Times New Roman" w:hAnsi="Times New Roman"/>
          <w:szCs w:val="24"/>
        </w:rPr>
      </w:pPr>
      <w:r>
        <w:rPr>
          <w:rFonts w:hint="eastAsia" w:ascii="Times New Roman" w:hAnsi="Times New Roman"/>
          <w:szCs w:val="24"/>
        </w:rPr>
        <w:t xml:space="preserve">   </w:t>
      </w:r>
      <w:bookmarkStart w:id="664" w:name="_Toc16521"/>
      <w:bookmarkStart w:id="665" w:name="_Toc2261"/>
      <w:r>
        <w:rPr>
          <w:rFonts w:hint="eastAsia" w:ascii="Times New Roman" w:hAnsi="Times New Roman"/>
          <w:szCs w:val="24"/>
        </w:rPr>
        <w:t>3 注浆管应在混凝土初凝之后，终凝之前进行清水开塞；</w:t>
      </w:r>
      <w:bookmarkEnd w:id="664"/>
      <w:bookmarkEnd w:id="665"/>
    </w:p>
    <w:p>
      <w:pPr>
        <w:widowControl w:val="0"/>
        <w:spacing w:line="480" w:lineRule="exact"/>
        <w:ind w:firstLine="120" w:firstLineChars="50"/>
        <w:rPr>
          <w:rFonts w:ascii="Times New Roman" w:hAnsi="Times New Roman"/>
          <w:szCs w:val="24"/>
        </w:rPr>
      </w:pPr>
      <w:r>
        <w:rPr>
          <w:rFonts w:hint="eastAsia" w:ascii="Times New Roman" w:hAnsi="Times New Roman"/>
          <w:szCs w:val="24"/>
        </w:rPr>
        <w:t xml:space="preserve">   4 注浆宜在成墙48h后进行；注浆量应符合设计要求，注浆压力宜控制在0.2MPa～0.4MPa。</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.13 </w:t>
      </w:r>
      <w:r>
        <w:rPr>
          <w:rFonts w:hint="eastAsia" w:ascii="Times New Roman" w:hAnsi="Times New Roman"/>
          <w:color w:val="auto"/>
          <w:szCs w:val="24"/>
        </w:rPr>
        <w:t>兼作主体结构的地下连续墙在与地下竖向、水平结构连接部位处，应凿出和清理剪力槽、预埋件，并应清除墙面疏松混凝土。</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.14</w:t>
      </w:r>
      <w:r>
        <w:rPr>
          <w:rFonts w:hint="eastAsia" w:ascii="Times New Roman" w:hAnsi="Times New Roman"/>
          <w:color w:val="auto"/>
          <w:szCs w:val="24"/>
        </w:rPr>
        <w:t xml:space="preserve"> 兼作</w:t>
      </w:r>
      <w:r>
        <w:rPr>
          <w:rFonts w:hint="eastAsia" w:ascii="Times New Roman" w:hAnsi="Times New Roman"/>
          <w:szCs w:val="24"/>
        </w:rPr>
        <w:t>主体结构的地下连续墙的施工与质量检测除应符合</w:t>
      </w:r>
      <w:r>
        <w:rPr>
          <w:rFonts w:hint="eastAsia" w:ascii="Times New Roman" w:hAnsi="Times New Roman"/>
          <w:szCs w:val="24"/>
          <w:lang w:eastAsia="zh-CN"/>
        </w:rPr>
        <w:t>本标准</w:t>
      </w:r>
      <w:r>
        <w:rPr>
          <w:rFonts w:hint="eastAsia" w:ascii="Times New Roman" w:hAnsi="Times New Roman"/>
          <w:szCs w:val="24"/>
        </w:rPr>
        <w:t>8.2节的要求外，质量检测尚应符合下列要求：</w:t>
      </w:r>
    </w:p>
    <w:p>
      <w:pPr>
        <w:widowControl w:val="0"/>
        <w:spacing w:line="480" w:lineRule="exact"/>
        <w:ind w:firstLine="570"/>
        <w:rPr>
          <w:rFonts w:ascii="Times New Roman" w:hAnsi="Times New Roman"/>
          <w:szCs w:val="24"/>
        </w:rPr>
      </w:pPr>
      <w:r>
        <w:rPr>
          <w:rFonts w:hint="eastAsia" w:ascii="Times New Roman" w:hAnsi="Times New Roman"/>
          <w:szCs w:val="24"/>
        </w:rPr>
        <w:t>1 应全数检测成槽垂直度，成槽垂直度不应大于1/300；</w:t>
      </w:r>
    </w:p>
    <w:p>
      <w:pPr>
        <w:widowControl w:val="0"/>
        <w:spacing w:line="480" w:lineRule="exact"/>
        <w:ind w:firstLine="570"/>
        <w:rPr>
          <w:rFonts w:ascii="Times New Roman" w:hAnsi="Times New Roman"/>
          <w:szCs w:val="24"/>
        </w:rPr>
      </w:pPr>
      <w:r>
        <w:rPr>
          <w:rFonts w:hint="eastAsia" w:ascii="Times New Roman" w:hAnsi="Times New Roman"/>
          <w:szCs w:val="24"/>
        </w:rPr>
        <w:t>2 应全数检测沉渣厚度，沉渣厚度不应大于100mm；</w:t>
      </w:r>
    </w:p>
    <w:p>
      <w:pPr>
        <w:widowControl w:val="0"/>
        <w:spacing w:line="480" w:lineRule="exact"/>
        <w:ind w:firstLine="570"/>
        <w:rPr>
          <w:rFonts w:ascii="Times New Roman" w:hAnsi="Times New Roman"/>
          <w:szCs w:val="24"/>
        </w:rPr>
      </w:pPr>
      <w:r>
        <w:rPr>
          <w:rFonts w:hint="eastAsia" w:ascii="Times New Roman" w:hAnsi="Times New Roman"/>
          <w:szCs w:val="24"/>
        </w:rPr>
        <w:t>3 槽段宽度允许偏差为0～+50mm；墙面平整度应小于100mm；</w:t>
      </w:r>
    </w:p>
    <w:p>
      <w:pPr>
        <w:widowControl w:val="0"/>
        <w:spacing w:line="480" w:lineRule="exact"/>
        <w:ind w:firstLine="570"/>
        <w:rPr>
          <w:rFonts w:ascii="Times New Roman" w:hAnsi="Times New Roman"/>
          <w:szCs w:val="24"/>
        </w:rPr>
      </w:pPr>
      <w:r>
        <w:rPr>
          <w:rFonts w:hint="eastAsia" w:ascii="Times New Roman" w:hAnsi="Times New Roman"/>
          <w:szCs w:val="24"/>
        </w:rPr>
        <w:t>4 钢筋笼安装深度允许偏差不大于20mm；</w:t>
      </w:r>
    </w:p>
    <w:p>
      <w:pPr>
        <w:widowControl w:val="0"/>
        <w:spacing w:line="480" w:lineRule="exact"/>
        <w:ind w:firstLine="570"/>
        <w:rPr>
          <w:rFonts w:ascii="Times New Roman" w:hAnsi="Times New Roman"/>
          <w:szCs w:val="24"/>
        </w:rPr>
      </w:pPr>
      <w:r>
        <w:rPr>
          <w:rFonts w:hint="eastAsia" w:ascii="Times New Roman" w:hAnsi="Times New Roman"/>
          <w:szCs w:val="24"/>
        </w:rPr>
        <w:t>5 预埋件位置偏差不宜大于10mm；</w:t>
      </w:r>
    </w:p>
    <w:p>
      <w:pPr>
        <w:widowControl w:val="0"/>
        <w:spacing w:line="480" w:lineRule="exact"/>
        <w:ind w:firstLine="570"/>
        <w:rPr>
          <w:rFonts w:ascii="Times New Roman" w:hAnsi="Times New Roman"/>
          <w:szCs w:val="24"/>
        </w:rPr>
      </w:pPr>
      <w:r>
        <w:rPr>
          <w:rFonts w:hint="eastAsia" w:ascii="Times New Roman" w:hAnsi="Times New Roman"/>
          <w:szCs w:val="24"/>
        </w:rPr>
        <w:t>6 墙体混凝土质量应采用超声波透射法进行检测，同类型槽段的检测数量不应少于10%，且不应少于3幅。</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.15 </w:t>
      </w:r>
      <w:r>
        <w:rPr>
          <w:rFonts w:hint="eastAsia" w:ascii="Times New Roman" w:hAnsi="Times New Roman"/>
          <w:color w:val="auto"/>
          <w:szCs w:val="24"/>
        </w:rPr>
        <w:t>必要</w:t>
      </w:r>
      <w:r>
        <w:rPr>
          <w:rFonts w:hint="eastAsia" w:ascii="Times New Roman" w:hAnsi="Times New Roman"/>
          <w:szCs w:val="24"/>
        </w:rPr>
        <w:t>时可对兼作主体结构的地下连续墙的混凝土采用钻孔取芯方法进行强度质量检测，单幅墙身的钻孔取芯数量不应少于2个；钻孔取芯完成后应对芯孔进行注浆填充密实。</w:t>
      </w:r>
    </w:p>
    <w:p>
      <w:pPr>
        <w:bidi w:val="0"/>
        <w:jc w:val="center"/>
        <w:rPr>
          <w:rFonts w:hint="eastAsia" w:ascii="宋体" w:hAnsi="宋体" w:eastAsia="宋体" w:cs="宋体"/>
          <w:b/>
          <w:bCs/>
          <w:sz w:val="28"/>
          <w:szCs w:val="24"/>
          <w:lang w:val="en-US" w:eastAsia="zh-CN"/>
        </w:rPr>
      </w:pPr>
      <w:bookmarkStart w:id="666" w:name="_Toc6667"/>
      <w:bookmarkStart w:id="667" w:name="_Toc867"/>
      <w:r>
        <w:rPr>
          <w:rFonts w:hint="eastAsia" w:ascii="宋体" w:hAnsi="宋体" w:eastAsia="宋体" w:cs="宋体"/>
          <w:b/>
          <w:bCs/>
          <w:sz w:val="28"/>
          <w:szCs w:val="24"/>
          <w:lang w:val="en-US" w:eastAsia="zh-CN"/>
        </w:rPr>
        <w:t>Ⅲ 水平支撑兼作主体结构</w:t>
      </w:r>
      <w:bookmarkEnd w:id="666"/>
      <w:bookmarkEnd w:id="667"/>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.16</w:t>
      </w:r>
      <w:r>
        <w:rPr>
          <w:rFonts w:hint="eastAsia" w:ascii="Times New Roman" w:hAnsi="Times New Roman"/>
          <w:color w:val="auto"/>
          <w:szCs w:val="24"/>
        </w:rPr>
        <w:t xml:space="preserve"> 水</w:t>
      </w:r>
      <w:r>
        <w:rPr>
          <w:rFonts w:hint="eastAsia" w:ascii="Times New Roman" w:hAnsi="Times New Roman"/>
          <w:szCs w:val="24"/>
        </w:rPr>
        <w:t>平支撑兼作主体结构宜采用梁板结构以增加水平刚度。对用作支撑的地下结构水平构件，可采用简化方法或有限元整体分析方法进行计算。对于主体地下结构水平构件兼作为施工平台或栈桥时，其构件的承载力和变形应同时按水平向和竖向受荷状态进行计算，并应同时满足基坑开挖实施工况和主体结构永久使用阶段的</w:t>
      </w:r>
      <w:r>
        <w:rPr>
          <w:rFonts w:hint="eastAsia" w:ascii="Times New Roman" w:hAnsi="Times New Roman"/>
          <w:color w:val="auto"/>
          <w:szCs w:val="24"/>
        </w:rPr>
        <w:t>设计要求。</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.17</w:t>
      </w:r>
      <w:r>
        <w:rPr>
          <w:rFonts w:hint="eastAsia" w:ascii="Times New Roman" w:hAnsi="Times New Roman"/>
          <w:color w:val="auto"/>
          <w:szCs w:val="24"/>
        </w:rPr>
        <w:t xml:space="preserve"> 水平支撑兼作主体结构的设计计算中，宜考虑由立柱桩之间的差异变形及立柱桩与围护墙之间的差异变形引起的结构次应力，并应采取防止有害裂缝产生的技术措施。</w:t>
      </w:r>
    </w:p>
    <w:p>
      <w:pPr>
        <w:widowControl w:val="0"/>
        <w:spacing w:line="480" w:lineRule="exact"/>
        <w:rPr>
          <w:rFonts w:hint="eastAsia" w:ascii="Times New Roman" w:hAnsi="Times New Roman"/>
          <w:b w:val="0"/>
          <w:bCs/>
          <w:szCs w:val="24"/>
        </w:rPr>
      </w:pPr>
      <w:bookmarkStart w:id="668" w:name="_Toc22600"/>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.18 </w:t>
      </w:r>
      <w:r>
        <w:rPr>
          <w:rFonts w:hint="eastAsia" w:ascii="Times New Roman" w:hAnsi="Times New Roman"/>
          <w:b w:val="0"/>
          <w:bCs/>
          <w:color w:val="auto"/>
          <w:szCs w:val="24"/>
        </w:rPr>
        <w:t>水平支撑兼作主体结构设计应符合下列规定</w:t>
      </w:r>
      <w:r>
        <w:rPr>
          <w:rFonts w:hint="eastAsia" w:ascii="Times New Roman" w:hAnsi="Times New Roman"/>
          <w:b w:val="0"/>
          <w:bCs/>
          <w:szCs w:val="24"/>
        </w:rPr>
        <w:t>：</w:t>
      </w:r>
      <w:bookmarkEnd w:id="668"/>
    </w:p>
    <w:p>
      <w:pPr>
        <w:widowControl w:val="0"/>
        <w:spacing w:line="480" w:lineRule="exact"/>
        <w:rPr>
          <w:rFonts w:ascii="Times New Roman" w:hAnsi="Times New Roman"/>
          <w:szCs w:val="24"/>
        </w:rPr>
      </w:pPr>
      <w:r>
        <w:rPr>
          <w:rFonts w:hint="eastAsia" w:ascii="Times New Roman" w:hAnsi="Times New Roman"/>
          <w:szCs w:val="24"/>
        </w:rPr>
        <w:t xml:space="preserve">    1 作为支撑的地下结构水平构件应通过计算确保水平刚度；</w:t>
      </w:r>
    </w:p>
    <w:p>
      <w:pPr>
        <w:widowControl w:val="0"/>
        <w:spacing w:line="480" w:lineRule="exact"/>
        <w:ind w:firstLine="120" w:firstLineChars="50"/>
        <w:rPr>
          <w:rFonts w:ascii="Times New Roman" w:hAnsi="Times New Roman"/>
          <w:szCs w:val="24"/>
        </w:rPr>
      </w:pPr>
      <w:r>
        <w:rPr>
          <w:rFonts w:hint="eastAsia" w:ascii="Times New Roman" w:hAnsi="Times New Roman"/>
          <w:szCs w:val="24"/>
        </w:rPr>
        <w:t xml:space="preserve">   2 对地下结构的同层楼板面存在高差的部位，应验算该部位构件的弯、剪、扭承载能力，必要时应设置可靠的水平转换结构或临时支撑等措施；对于坡道位置应进行整体计算，并应增设临时支撑；</w:t>
      </w:r>
    </w:p>
    <w:p>
      <w:pPr>
        <w:widowControl w:val="0"/>
        <w:spacing w:line="480" w:lineRule="exact"/>
        <w:ind w:firstLine="120" w:firstLineChars="50"/>
        <w:rPr>
          <w:rFonts w:ascii="Times New Roman" w:hAnsi="Times New Roman"/>
          <w:szCs w:val="24"/>
        </w:rPr>
      </w:pPr>
      <w:r>
        <w:rPr>
          <w:rFonts w:hint="eastAsia" w:ascii="Times New Roman" w:hAnsi="Times New Roman"/>
          <w:szCs w:val="24"/>
        </w:rPr>
        <w:t xml:space="preserve">   3 对结构楼板的洞口及车道开口部位，当洞口两侧的梁板不能满足水平传力要求时，应在缺少结构楼板处设置临时支撑等措施；</w:t>
      </w:r>
    </w:p>
    <w:p>
      <w:pPr>
        <w:widowControl w:val="0"/>
        <w:spacing w:line="480" w:lineRule="exact"/>
        <w:rPr>
          <w:rFonts w:ascii="Times New Roman" w:hAnsi="Times New Roman"/>
          <w:szCs w:val="24"/>
        </w:rPr>
      </w:pPr>
      <w:r>
        <w:rPr>
          <w:rFonts w:hint="eastAsia" w:ascii="Times New Roman" w:hAnsi="Times New Roman"/>
          <w:szCs w:val="24"/>
        </w:rPr>
        <w:t xml:space="preserve">    4 在各层结构留设结构分缝或基坑施工期间不能封闭的后浇带位置，应通过计算设置临时水平传力构件。</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.19</w:t>
      </w:r>
      <w:r>
        <w:rPr>
          <w:rFonts w:hint="eastAsia" w:ascii="Times New Roman" w:hAnsi="Times New Roman"/>
          <w:color w:val="auto"/>
          <w:szCs w:val="24"/>
        </w:rPr>
        <w:t xml:space="preserve"> 当主体地下结构为梁板结构时，框架梁可采用宽扁梁，当受到使用功能限制框架梁截面宽度不能满足要求时，宜在梁柱节点位置采用梁端宽度方向加腋、环梁、钢环板、柱帽或双梁等措施。</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.20</w:t>
      </w:r>
      <w:r>
        <w:rPr>
          <w:rFonts w:hint="eastAsia" w:ascii="Times New Roman" w:hAnsi="Times New Roman"/>
          <w:color w:val="auto"/>
          <w:szCs w:val="24"/>
        </w:rPr>
        <w:t xml:space="preserve"> 作为支</w:t>
      </w:r>
      <w:r>
        <w:rPr>
          <w:rFonts w:hint="eastAsia" w:ascii="Times New Roman" w:hAnsi="Times New Roman"/>
          <w:szCs w:val="24"/>
        </w:rPr>
        <w:t>撑的地下水平结构在施工期间的预留孔洞应符合下列规定：</w:t>
      </w:r>
    </w:p>
    <w:p>
      <w:pPr>
        <w:widowControl w:val="0"/>
        <w:spacing w:line="480" w:lineRule="exact"/>
        <w:rPr>
          <w:rFonts w:ascii="Times New Roman" w:hAnsi="Times New Roman"/>
          <w:szCs w:val="24"/>
        </w:rPr>
      </w:pPr>
      <w:r>
        <w:rPr>
          <w:rFonts w:hint="eastAsia" w:ascii="Times New Roman" w:hAnsi="Times New Roman"/>
          <w:szCs w:val="24"/>
        </w:rPr>
        <w:t xml:space="preserve">    1 同层楼板上需根据施工运输的要求设置多个孔洞时，孔洞的数量和位置不得影响地下结构作为水平支撑的受力和变形的要求；</w:t>
      </w:r>
    </w:p>
    <w:p>
      <w:pPr>
        <w:widowControl w:val="0"/>
        <w:spacing w:line="480" w:lineRule="exact"/>
        <w:ind w:firstLine="477" w:firstLineChars="199"/>
        <w:rPr>
          <w:rFonts w:ascii="Times New Roman" w:hAnsi="Times New Roman"/>
          <w:szCs w:val="24"/>
        </w:rPr>
      </w:pPr>
      <w:r>
        <w:rPr>
          <w:rFonts w:hint="eastAsia" w:ascii="Times New Roman" w:hAnsi="Times New Roman"/>
          <w:szCs w:val="24"/>
        </w:rPr>
        <w:t>2 对地下结构楼板上的垂直施工运输临时预留孔洞，应验算水平力和施工荷载作用下孔洞周边构件的承载力和变形，并应采取加强措施；</w:t>
      </w:r>
    </w:p>
    <w:p>
      <w:pPr>
        <w:widowControl w:val="0"/>
        <w:spacing w:line="480" w:lineRule="exact"/>
        <w:ind w:firstLine="477" w:firstLineChars="199"/>
        <w:rPr>
          <w:rFonts w:ascii="Times New Roman" w:hAnsi="Times New Roman"/>
          <w:szCs w:val="24"/>
        </w:rPr>
      </w:pPr>
      <w:r>
        <w:rPr>
          <w:rFonts w:hint="eastAsia" w:ascii="Times New Roman" w:hAnsi="Times New Roman"/>
          <w:szCs w:val="24"/>
        </w:rPr>
        <w:t>3 对基坑工程施工后需要封闭的临时孔洞，应预先在洞口周边设置钢筋或抗剪预埋件等结构连接措施；对有防水要求的洞口应设置膨胀止水条、刚性止水板或预埋注浆管等止水构造措施。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.21</w:t>
      </w:r>
      <w:r>
        <w:rPr>
          <w:rFonts w:hint="eastAsia" w:ascii="Times New Roman" w:hAnsi="Times New Roman"/>
          <w:color w:val="auto"/>
          <w:szCs w:val="24"/>
        </w:rPr>
        <w:t xml:space="preserve"> 水平结构与周边围护墙之间，应根据施工期间的水平传力要求以及主体结构永久使用阶段的结构受力要求，设置可靠的连接措施。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.22</w:t>
      </w:r>
      <w:r>
        <w:rPr>
          <w:rFonts w:hint="eastAsia" w:ascii="Times New Roman" w:hAnsi="Times New Roman"/>
          <w:color w:val="auto"/>
          <w:szCs w:val="24"/>
        </w:rPr>
        <w:t xml:space="preserve"> 结构水平构件与竖向结构连接部位，应按设计和施工要求预留柱、墙竖向连接钢筋；竖向连接钢筋应采取技术措施进行保护。</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.23</w:t>
      </w:r>
      <w:r>
        <w:rPr>
          <w:rFonts w:hint="eastAsia" w:ascii="Times New Roman" w:hAnsi="Times New Roman"/>
          <w:color w:val="auto"/>
          <w:szCs w:val="24"/>
        </w:rPr>
        <w:t xml:space="preserve"> 结构水平构件与两墙合一地下连续墙连接部位的钢筋、接驳器等预埋件，应按设计和施工要求进行连接，应在界面处理完善后方可进行混凝土浇筑施工。</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.24</w:t>
      </w:r>
      <w:r>
        <w:rPr>
          <w:rFonts w:hint="eastAsia" w:ascii="Times New Roman" w:hAnsi="Times New Roman"/>
          <w:color w:val="auto"/>
          <w:szCs w:val="24"/>
        </w:rPr>
        <w:t xml:space="preserve"> 结构水平构件与作为竖向支承结构的立柱的连接应符合支护与主体结构设计与构造要求。</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.25</w:t>
      </w:r>
      <w:r>
        <w:rPr>
          <w:rFonts w:hint="eastAsia" w:ascii="Times New Roman" w:hAnsi="Times New Roman"/>
          <w:color w:val="auto"/>
          <w:szCs w:val="24"/>
        </w:rPr>
        <w:t xml:space="preserve"> 应在结构水平构件与竖向结构连接部位留设满足混凝土浇筑下料和振捣要求的下层柱、墙混凝土浇筑孔。</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.26</w:t>
      </w:r>
      <w:r>
        <w:rPr>
          <w:rFonts w:hint="eastAsia" w:ascii="Times New Roman" w:hAnsi="Times New Roman"/>
          <w:color w:val="auto"/>
          <w:szCs w:val="24"/>
        </w:rPr>
        <w:t xml:space="preserve"> 宜在结构水平构件或竖向结构中预埋施工照明管线，施工照明管线宜与永久照明管线布设相结合。</w:t>
      </w:r>
    </w:p>
    <w:p>
      <w:pPr>
        <w:widowControl w:val="0"/>
        <w:spacing w:line="480" w:lineRule="exact"/>
        <w:rPr>
          <w:rFonts w:ascii="Times New Roman" w:hAnsi="Times New Roman"/>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.27</w:t>
      </w:r>
      <w:r>
        <w:rPr>
          <w:rFonts w:hint="eastAsia" w:ascii="Times New Roman" w:hAnsi="Times New Roman"/>
          <w:color w:val="auto"/>
          <w:szCs w:val="24"/>
        </w:rPr>
        <w:t xml:space="preserve"> 结构水平构件施工工况应与设计工况相一致，施工质量检测还应符合现行国家标准《混</w:t>
      </w:r>
      <w:r>
        <w:rPr>
          <w:rFonts w:hint="eastAsia" w:ascii="Times New Roman" w:hAnsi="Times New Roman"/>
          <w:szCs w:val="24"/>
        </w:rPr>
        <w:t>凝土结构工程施工质量验收规范》GB50204的要求。</w:t>
      </w:r>
    </w:p>
    <w:p>
      <w:pPr>
        <w:bidi w:val="0"/>
        <w:jc w:val="center"/>
        <w:rPr>
          <w:rFonts w:hint="eastAsia" w:ascii="宋体" w:hAnsi="宋体" w:eastAsia="宋体" w:cs="宋体"/>
          <w:b/>
          <w:bCs/>
          <w:sz w:val="28"/>
          <w:szCs w:val="24"/>
          <w:lang w:val="en-US" w:eastAsia="zh-CN"/>
        </w:rPr>
      </w:pPr>
      <w:r>
        <w:rPr>
          <w:rFonts w:hint="eastAsia" w:ascii="宋体" w:hAnsi="宋体" w:eastAsia="宋体" w:cs="宋体"/>
          <w:b/>
          <w:bCs/>
          <w:sz w:val="28"/>
          <w:szCs w:val="24"/>
          <w:lang w:val="en-US" w:eastAsia="zh-CN"/>
        </w:rPr>
        <w:t>Ⅳ 竖向支承构件兼作主体结构</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.28</w:t>
      </w:r>
      <w:r>
        <w:rPr>
          <w:rFonts w:hint="eastAsia" w:ascii="Times New Roman" w:hAnsi="Times New Roman"/>
          <w:color w:val="auto"/>
          <w:szCs w:val="24"/>
        </w:rPr>
        <w:t xml:space="preserve"> 基坑竖向支承结构包括立柱和立柱桩。竖向支撑构件兼作主体结构的设计应符合下列规定：</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1 兼作主体结构的竖向支承构件，应综合考虑主体的建筑使用功能空间的需求、地下结构布置、地下结构施工时地上结构的建设要求以及受荷大小等因素；当立柱和立柱桩结合地下结构桩或墙和工程桩布置时，立柱和立柱桩的定位应与主体地下结构的柱或墙及其工程桩的定位一致，并应满足主体结构对其承载力和构造的要求；</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2 兼作主体结构的竖向支承构件宜采用一根结构柱位置布置一根立柱桩的型式，当一根立柱桩无法满足逆作施工阶段的承载力与沉降要求时，也可采用一根结构柱位置周围布置多根临时立柱桩的型式，其连接构造尚应满足永久试用阶段设计要求；</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根据逆作阶段承受的竖向荷载与主体结构的设计要求，支承立柱可采用角钢格构柱、H型钢柱或钢管混凝土柱等型式。截面尺寸应根据计算确定，角钢格构柱的截面宽度不宜小于420mm；钢管混凝土柱的钢管直径不宜小于500mm；立柱长细比不应大于25，立柱桩宜采用灌注桩。</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.29</w:t>
      </w:r>
      <w:r>
        <w:rPr>
          <w:rFonts w:hint="eastAsia" w:ascii="Times New Roman" w:hAnsi="Times New Roman"/>
          <w:color w:val="auto"/>
          <w:szCs w:val="24"/>
        </w:rPr>
        <w:t xml:space="preserve"> 立柱在基坑开挖阶段承受的竖向设计荷载包括地下结构自重、同时施工的上部结构自重、结构板梁上的临时施工荷载等。</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.30</w:t>
      </w:r>
      <w:r>
        <w:rPr>
          <w:rFonts w:hint="eastAsia" w:ascii="Times New Roman" w:hAnsi="Times New Roman"/>
          <w:color w:val="auto"/>
          <w:szCs w:val="24"/>
        </w:rPr>
        <w:t xml:space="preserve"> 立柱应按偏心受压构件进行承载力计算和稳定性验算，立柱桩应进行单桩竖向承载力计算与沉降验算。立柱与立柱桩的设计计算应符合国家现行结构设计标准的规定。</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.31</w:t>
      </w:r>
      <w:r>
        <w:rPr>
          <w:rFonts w:hint="eastAsia" w:ascii="Times New Roman" w:hAnsi="Times New Roman"/>
          <w:color w:val="auto"/>
          <w:szCs w:val="24"/>
        </w:rPr>
        <w:t xml:space="preserve"> 立柱与水平结构构件连接节点应根据计算设置抗剪钢筋、栓钉或钢牛腿等有效且便于施工抗剪措施。</w:t>
      </w:r>
    </w:p>
    <w:p>
      <w:pPr>
        <w:widowControl w:val="0"/>
        <w:spacing w:line="480" w:lineRule="exact"/>
        <w:rPr>
          <w:rFonts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.32</w:t>
      </w:r>
      <w:r>
        <w:rPr>
          <w:rFonts w:hint="eastAsia" w:ascii="Times New Roman" w:hAnsi="Times New Roman"/>
          <w:color w:val="auto"/>
          <w:szCs w:val="24"/>
        </w:rPr>
        <w:t xml:space="preserve"> 当立柱需外</w:t>
      </w:r>
      <w:r>
        <w:rPr>
          <w:rFonts w:hint="eastAsia" w:ascii="Times New Roman" w:hAnsi="Times New Roman"/>
          <w:szCs w:val="24"/>
        </w:rPr>
        <w:t>包混凝土形成主体结构框架柱时，立柱的型式与截面设计应与地下结构梁、板和柱的截面相协调，并应采取构造措施以保证结构整体受力与节点连接的可靠性。框架柱位置处的立柱宜在地下结构底板混凝土浇筑完成后，逐层在立柱外侧浇筑混凝土形成地下结构的永久框架柱，临时立柱在永久框架柱完成并达到设计强度要求后方能拆除。</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.33</w:t>
      </w:r>
      <w:r>
        <w:rPr>
          <w:rFonts w:hint="eastAsia" w:ascii="Times New Roman" w:hAnsi="Times New Roman"/>
          <w:color w:val="auto"/>
          <w:szCs w:val="24"/>
        </w:rPr>
        <w:t xml:space="preserve"> 立柱插入立柱桩的深度应根据现行国家标准《混凝土结构设计规范》GB50010计算确定，且不应小于2.0m；钢管混凝土立柱插入立柱桩部分，钢管外的混凝土保护层厚度不应小于100mm。立柱在穿越基础底板位置应设置可靠的截水措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.34</w:t>
      </w:r>
      <w:r>
        <w:rPr>
          <w:rFonts w:hint="eastAsia" w:ascii="Times New Roman" w:hAnsi="Times New Roman"/>
          <w:color w:val="auto"/>
          <w:szCs w:val="24"/>
        </w:rPr>
        <w:t xml:space="preserve"> 在主体结构底板施工之前，相邻立柱柱间以及立柱桩与邻近基坑围护墙之间的差异沉降不宜大于1/400柱距，且不宜大于20mm。作为立柱桩的灌注桩应采用桩端后注浆措施。</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.35</w:t>
      </w:r>
      <w:r>
        <w:rPr>
          <w:rFonts w:hint="eastAsia" w:ascii="Times New Roman" w:hAnsi="Times New Roman"/>
          <w:color w:val="auto"/>
          <w:szCs w:val="24"/>
        </w:rPr>
        <w:t xml:space="preserve"> 立柱和立柱桩的施工应符合建筑桩基技术规范JGJ94的相关要求。</w:t>
      </w:r>
    </w:p>
    <w:p>
      <w:pPr>
        <w:widowControl w:val="0"/>
        <w:spacing w:line="480" w:lineRule="exact"/>
        <w:rPr>
          <w:rFonts w:hint="eastAsia" w:ascii="Times New Roman" w:hAnsi="Times New Roman"/>
          <w:b/>
          <w:szCs w:val="24"/>
        </w:rPr>
      </w:pPr>
      <w:bookmarkStart w:id="669" w:name="_Toc7715"/>
      <w:bookmarkStart w:id="670" w:name="_Toc11770"/>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.36 </w:t>
      </w:r>
      <w:r>
        <w:rPr>
          <w:rFonts w:hint="eastAsia" w:ascii="Times New Roman" w:hAnsi="Times New Roman"/>
          <w:b w:val="0"/>
          <w:bCs/>
          <w:color w:val="auto"/>
          <w:szCs w:val="24"/>
        </w:rPr>
        <w:t>立柱施工</w:t>
      </w:r>
      <w:r>
        <w:rPr>
          <w:rFonts w:hint="eastAsia" w:ascii="Times New Roman" w:hAnsi="Times New Roman"/>
          <w:b w:val="0"/>
          <w:bCs/>
          <w:szCs w:val="24"/>
        </w:rPr>
        <w:t>应符合下列要求：</w:t>
      </w:r>
      <w:bookmarkEnd w:id="669"/>
      <w:bookmarkEnd w:id="670"/>
    </w:p>
    <w:p>
      <w:pPr>
        <w:widowControl w:val="0"/>
        <w:spacing w:line="480" w:lineRule="exact"/>
        <w:ind w:firstLine="480" w:firstLineChars="200"/>
        <w:rPr>
          <w:rFonts w:ascii="Times New Roman" w:hAnsi="Times New Roman"/>
          <w:szCs w:val="24"/>
        </w:rPr>
      </w:pPr>
      <w:r>
        <w:rPr>
          <w:rFonts w:hint="eastAsia" w:ascii="Times New Roman" w:hAnsi="Times New Roman"/>
          <w:szCs w:val="24"/>
        </w:rPr>
        <w:t>1 钢立柱宜工程焊接制作；</w:t>
      </w:r>
    </w:p>
    <w:p>
      <w:pPr>
        <w:widowControl w:val="0"/>
        <w:spacing w:line="480" w:lineRule="exact"/>
        <w:ind w:firstLine="480" w:firstLineChars="200"/>
        <w:rPr>
          <w:rFonts w:ascii="Times New Roman" w:hAnsi="Times New Roman"/>
          <w:color w:val="auto"/>
          <w:szCs w:val="24"/>
        </w:rPr>
      </w:pPr>
      <w:r>
        <w:rPr>
          <w:rFonts w:hint="eastAsia" w:ascii="Times New Roman" w:hAnsi="Times New Roman"/>
          <w:szCs w:val="24"/>
        </w:rPr>
        <w:t>2 钢管混凝</w:t>
      </w:r>
      <w:r>
        <w:rPr>
          <w:rFonts w:hint="eastAsia" w:ascii="Times New Roman" w:hAnsi="Times New Roman"/>
          <w:color w:val="auto"/>
          <w:szCs w:val="24"/>
        </w:rPr>
        <w:t>土立柱，应先安放立柱，再进行立柱桩混凝土的浇筑；</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3 立柱在施工过程中应采用专用装置保证定位、垂直度和转向偏差满足要求。</w:t>
      </w:r>
    </w:p>
    <w:p>
      <w:pPr>
        <w:widowControl w:val="0"/>
        <w:spacing w:line="480" w:lineRule="exact"/>
        <w:rPr>
          <w:rFonts w:hint="eastAsia" w:ascii="Times New Roman" w:hAnsi="Times New Roman"/>
          <w:b w:val="0"/>
          <w:bCs/>
          <w:color w:val="auto"/>
          <w:szCs w:val="24"/>
        </w:rPr>
      </w:pPr>
      <w:bookmarkStart w:id="671" w:name="_Toc2127"/>
      <w:bookmarkStart w:id="672" w:name="_Toc465"/>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.37 </w:t>
      </w:r>
      <w:r>
        <w:rPr>
          <w:rFonts w:hint="eastAsia" w:ascii="Times New Roman" w:hAnsi="Times New Roman"/>
          <w:b w:val="0"/>
          <w:bCs/>
          <w:color w:val="auto"/>
          <w:szCs w:val="24"/>
        </w:rPr>
        <w:t>钢管混凝土立柱施工应符合下列要求：</w:t>
      </w:r>
      <w:bookmarkEnd w:id="671"/>
      <w:bookmarkEnd w:id="672"/>
    </w:p>
    <w:p>
      <w:pPr>
        <w:widowControl w:val="0"/>
        <w:spacing w:line="480" w:lineRule="exact"/>
        <w:ind w:firstLine="480" w:firstLineChars="200"/>
        <w:rPr>
          <w:rFonts w:hint="eastAsia" w:ascii="Times New Roman" w:hAnsi="Times New Roman"/>
          <w:szCs w:val="24"/>
        </w:rPr>
      </w:pPr>
      <w:bookmarkStart w:id="673" w:name="_Toc20822"/>
      <w:bookmarkStart w:id="674" w:name="_Toc7746"/>
      <w:r>
        <w:rPr>
          <w:rFonts w:hint="eastAsia" w:ascii="Times New Roman" w:hAnsi="Times New Roman"/>
          <w:color w:val="auto"/>
          <w:szCs w:val="24"/>
        </w:rPr>
        <w:t>1 钢管混凝土立柱内的混凝土</w:t>
      </w:r>
      <w:r>
        <w:rPr>
          <w:rFonts w:hint="eastAsia" w:ascii="Times New Roman" w:hAnsi="Times New Roman"/>
          <w:szCs w:val="24"/>
        </w:rPr>
        <w:t>应与立柱桩的混凝土连续浇筑完成；</w:t>
      </w:r>
      <w:bookmarkEnd w:id="673"/>
      <w:bookmarkEnd w:id="674"/>
    </w:p>
    <w:p>
      <w:pPr>
        <w:widowControl w:val="0"/>
        <w:spacing w:line="480" w:lineRule="exact"/>
        <w:ind w:firstLine="480" w:firstLineChars="200"/>
        <w:rPr>
          <w:rFonts w:ascii="Times New Roman" w:hAnsi="Times New Roman"/>
          <w:szCs w:val="24"/>
        </w:rPr>
      </w:pPr>
      <w:r>
        <w:rPr>
          <w:rFonts w:hint="eastAsia" w:ascii="Times New Roman" w:hAnsi="Times New Roman"/>
          <w:szCs w:val="24"/>
        </w:rPr>
        <w:t>2 钢管混凝土立柱内的混凝土与立柱桩的混凝土采用不同强度等级时，施工时应控制其交界面处于低强度等级混凝土一侧；</w:t>
      </w:r>
    </w:p>
    <w:p>
      <w:pPr>
        <w:widowControl w:val="0"/>
        <w:spacing w:line="480" w:lineRule="exact"/>
        <w:ind w:firstLine="480" w:firstLineChars="200"/>
        <w:rPr>
          <w:rFonts w:hint="eastAsia" w:ascii="Times New Roman" w:hAnsi="Times New Roman" w:eastAsia="宋体"/>
          <w:szCs w:val="24"/>
          <w:lang w:eastAsia="zh-CN"/>
        </w:rPr>
      </w:pPr>
      <w:r>
        <w:rPr>
          <w:rFonts w:hint="eastAsia" w:ascii="Times New Roman" w:hAnsi="Times New Roman"/>
          <w:szCs w:val="24"/>
        </w:rPr>
        <w:t>3 钢管混凝土立柱外部混凝土的上升高度应满足立柱桩混凝土泛浆高度要求</w:t>
      </w:r>
      <w:r>
        <w:rPr>
          <w:rFonts w:hint="eastAsia" w:ascii="Times New Roman" w:hAnsi="Times New Roman"/>
          <w:szCs w:val="24"/>
          <w:lang w:eastAsia="zh-CN"/>
        </w:rPr>
        <w:t>。</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.38</w:t>
      </w:r>
      <w:r>
        <w:rPr>
          <w:rFonts w:hint="eastAsia" w:ascii="Times New Roman" w:hAnsi="Times New Roman"/>
          <w:color w:val="auto"/>
          <w:szCs w:val="24"/>
        </w:rPr>
        <w:t xml:space="preserve"> 立柱桩后注浆施工应符合《建筑桩基技术规范》JGJ94的相关要求。</w:t>
      </w:r>
    </w:p>
    <w:p>
      <w:pPr>
        <w:widowControl w:val="0"/>
        <w:spacing w:line="480" w:lineRule="exact"/>
        <w:rPr>
          <w:rFonts w:ascii="Times New Roman" w:hAnsi="Times New Roman"/>
          <w:color w:val="auto"/>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.39</w:t>
      </w:r>
      <w:r>
        <w:rPr>
          <w:rFonts w:hint="eastAsia" w:ascii="Times New Roman" w:hAnsi="Times New Roman"/>
          <w:color w:val="auto"/>
          <w:szCs w:val="24"/>
        </w:rPr>
        <w:t xml:space="preserve"> 立柱外包混凝土结构浇筑前，立柱表面应清理干净。柱顶梁底混凝土应浇筑密实。</w:t>
      </w:r>
    </w:p>
    <w:p>
      <w:pPr>
        <w:widowControl w:val="0"/>
        <w:spacing w:line="480" w:lineRule="exact"/>
        <w:rPr>
          <w:rFonts w:hint="eastAsia" w:ascii="Times New Roman" w:hAnsi="Times New Roman"/>
          <w:b w:val="0"/>
          <w:bCs/>
          <w:color w:val="auto"/>
          <w:szCs w:val="24"/>
        </w:rPr>
      </w:pPr>
      <w:bookmarkStart w:id="675" w:name="_Toc2039"/>
      <w:bookmarkStart w:id="676" w:name="_Toc32728"/>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 xml:space="preserve">.40 </w:t>
      </w:r>
      <w:r>
        <w:rPr>
          <w:rFonts w:hint="eastAsia" w:ascii="Times New Roman" w:hAnsi="Times New Roman"/>
          <w:b w:val="0"/>
          <w:bCs/>
          <w:color w:val="auto"/>
          <w:szCs w:val="24"/>
        </w:rPr>
        <w:t>立柱和立柱桩的施工质量检测应符合下列要求：</w:t>
      </w:r>
      <w:bookmarkEnd w:id="675"/>
      <w:bookmarkEnd w:id="676"/>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1 立柱桩成孔垂直度不应大于1/150，立柱范围内的成孔垂直度不应大于1/200</w:t>
      </w:r>
      <w:r>
        <w:rPr>
          <w:rFonts w:hint="eastAsia" w:ascii="Times New Roman" w:hAnsi="Times New Roman"/>
          <w:color w:val="auto"/>
          <w:szCs w:val="24"/>
          <w:lang w:eastAsia="zh-CN"/>
        </w:rPr>
        <w:t>，</w:t>
      </w:r>
      <w:r>
        <w:rPr>
          <w:rFonts w:hint="eastAsia" w:ascii="Times New Roman" w:hAnsi="Times New Roman"/>
          <w:color w:val="auto"/>
          <w:szCs w:val="24"/>
        </w:rPr>
        <w:t>立柱桩成孔垂直度应全数检查；</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2 立柱和立柱桩定位偏差不应大于10mm；</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3 立柱的垂直度应满足设计要求，且不宜大于1/300；</w:t>
      </w:r>
    </w:p>
    <w:p>
      <w:pPr>
        <w:widowControl w:val="0"/>
        <w:spacing w:line="480" w:lineRule="exact"/>
        <w:ind w:firstLine="480" w:firstLineChars="200"/>
        <w:rPr>
          <w:rFonts w:ascii="Times New Roman" w:hAnsi="Times New Roman"/>
          <w:color w:val="auto"/>
          <w:szCs w:val="24"/>
        </w:rPr>
      </w:pPr>
      <w:r>
        <w:rPr>
          <w:rFonts w:hint="eastAsia" w:ascii="Times New Roman" w:hAnsi="Times New Roman"/>
          <w:color w:val="auto"/>
          <w:szCs w:val="24"/>
        </w:rPr>
        <w:t>4 立柱桩可采用超声波投射法检测桩身完整性，桩身完整性应全数检测。</w:t>
      </w:r>
    </w:p>
    <w:p>
      <w:pPr>
        <w:widowControl w:val="0"/>
        <w:spacing w:line="480" w:lineRule="exact"/>
        <w:rPr>
          <w:rFonts w:hint="eastAsia" w:ascii="Times New Roman" w:hAnsi="Times New Roman"/>
          <w:szCs w:val="24"/>
        </w:rPr>
      </w:pPr>
      <w:r>
        <w:rPr>
          <w:rFonts w:hint="eastAsia" w:ascii="Times New Roman" w:hAnsi="Times New Roman"/>
          <w:b/>
          <w:color w:val="auto"/>
          <w:szCs w:val="24"/>
        </w:rPr>
        <w:t>8.</w:t>
      </w:r>
      <w:r>
        <w:rPr>
          <w:rFonts w:hint="eastAsia" w:ascii="Times New Roman" w:hAnsi="Times New Roman"/>
          <w:b/>
          <w:color w:val="auto"/>
          <w:szCs w:val="24"/>
          <w:lang w:eastAsia="zh-CN"/>
        </w:rPr>
        <w:t>7</w:t>
      </w:r>
      <w:r>
        <w:rPr>
          <w:rFonts w:hint="eastAsia" w:ascii="Times New Roman" w:hAnsi="Times New Roman"/>
          <w:b/>
          <w:color w:val="auto"/>
          <w:szCs w:val="24"/>
        </w:rPr>
        <w:t>.41</w:t>
      </w:r>
      <w:r>
        <w:rPr>
          <w:rFonts w:hint="eastAsia" w:ascii="Times New Roman" w:hAnsi="Times New Roman"/>
          <w:color w:val="auto"/>
          <w:szCs w:val="24"/>
        </w:rPr>
        <w:t xml:space="preserve"> 钢管混凝土立</w:t>
      </w:r>
      <w:r>
        <w:rPr>
          <w:rFonts w:hint="eastAsia" w:ascii="Times New Roman" w:hAnsi="Times New Roman"/>
          <w:szCs w:val="24"/>
        </w:rPr>
        <w:t>柱在基坑开挖后应采用敲击法检测立柱质量，检测数量不应少于20%。必要时可采用超声波透射法或钻孔取芯方法对立柱质量作进一步检测。</w:t>
      </w:r>
    </w:p>
    <w:p>
      <w:pPr>
        <w:rPr>
          <w:rFonts w:hint="eastAsia" w:ascii="Times New Roman" w:hAnsi="Times New Roman"/>
          <w:szCs w:val="24"/>
        </w:rPr>
      </w:pPr>
      <w:r>
        <w:rPr>
          <w:rFonts w:hint="eastAsia" w:ascii="Times New Roman" w:hAnsi="Times New Roman"/>
          <w:szCs w:val="24"/>
        </w:rPr>
        <w:br w:type="page"/>
      </w:r>
    </w:p>
    <w:p>
      <w:pPr>
        <w:pStyle w:val="2"/>
        <w:bidi w:val="0"/>
      </w:pPr>
      <w:bookmarkStart w:id="677" w:name="_Toc19807"/>
      <w:bookmarkStart w:id="678" w:name="_Toc98"/>
      <w:r>
        <w:t xml:space="preserve">9 </w:t>
      </w:r>
      <w:r>
        <w:rPr>
          <w:rFonts w:hint="eastAsia"/>
        </w:rPr>
        <w:t xml:space="preserve"> 土钉墙及复合土钉墙</w:t>
      </w:r>
      <w:bookmarkEnd w:id="677"/>
      <w:bookmarkEnd w:id="678"/>
    </w:p>
    <w:p>
      <w:pPr>
        <w:pStyle w:val="3"/>
        <w:bidi w:val="0"/>
      </w:pPr>
      <w:bookmarkStart w:id="679" w:name="_Toc12825"/>
      <w:bookmarkStart w:id="680" w:name="_Toc3021"/>
      <w:r>
        <w:rPr>
          <w:rFonts w:hint="eastAsia"/>
        </w:rPr>
        <w:t>9</w:t>
      </w:r>
      <w:r>
        <w:t>.1</w:t>
      </w:r>
      <w:r>
        <w:rPr>
          <w:rFonts w:hint="eastAsia"/>
        </w:rPr>
        <w:t xml:space="preserve">  一般规定</w:t>
      </w:r>
      <w:bookmarkEnd w:id="679"/>
      <w:bookmarkEnd w:id="680"/>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 xml:space="preserve">.1 </w:t>
      </w:r>
      <w:r>
        <w:rPr>
          <w:rFonts w:hint="eastAsia" w:ascii="Times New Roman" w:hAnsi="Times New Roman" w:eastAsia="宋体" w:cs="Times New Roman"/>
          <w:bCs/>
          <w:sz w:val="24"/>
        </w:rPr>
        <w:t>土钉墙支护适用于地下水位以上的粘性土、粉土、砂土、填土等一般土质。当土钉墙用于杂填土、饱和黄土及砂土、碎石土层时，应采取有效措施保证成孔质量。基坑边坡的坡率不宜大于1：0.2，水位以下应采用帷幕截水措施。</w:t>
      </w:r>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.2</w:t>
      </w:r>
      <w:r>
        <w:rPr>
          <w:rFonts w:hint="eastAsia" w:ascii="Times New Roman" w:hAnsi="Times New Roman" w:eastAsia="宋体" w:cs="Times New Roman"/>
          <w:bCs/>
          <w:sz w:val="24"/>
        </w:rPr>
        <w:t xml:space="preserve"> 根据基坑深度、周边环境、地下水位及变形要求，可采用土钉墙或复合土钉墙。</w:t>
      </w:r>
    </w:p>
    <w:p>
      <w:pPr>
        <w:widowControl w:val="0"/>
        <w:spacing w:line="480" w:lineRule="exact"/>
        <w:rPr>
          <w:rFonts w:ascii="Times New Roman" w:hAnsi="Times New Roman" w:eastAsia="宋体" w:cs="Times New Roman"/>
          <w:bCs/>
          <w:sz w:val="24"/>
          <w:szCs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 xml:space="preserve">.3 </w:t>
      </w:r>
      <w:r>
        <w:rPr>
          <w:rFonts w:hint="eastAsia" w:ascii="Times New Roman" w:hAnsi="Times New Roman" w:eastAsia="宋体" w:cs="Times New Roman"/>
          <w:bCs/>
          <w:sz w:val="24"/>
          <w:szCs w:val="24"/>
        </w:rPr>
        <w:t>复合土钉墙的类型：</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1 土钉墙+截水帷幕；</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2 土钉墙+微型桩；</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3 土钉墙+预应力锚杆；</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4 土钉墙+截水帷幕+预应力锚杆；</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5 土钉墙+微型桩+预应力锚杆。</w:t>
      </w:r>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.4</w:t>
      </w:r>
      <w:r>
        <w:rPr>
          <w:rFonts w:hint="eastAsia" w:ascii="Times New Roman" w:hAnsi="Times New Roman" w:eastAsia="宋体" w:cs="Times New Roman"/>
          <w:bCs/>
          <w:sz w:val="24"/>
        </w:rPr>
        <w:t xml:space="preserve"> 软土地层中基坑开挖深度不宜大于6m，其它地层中基坑直立开挖深度不宜大于12m，可放坡的基坑开挖深度不宜大于15m。</w:t>
      </w:r>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 xml:space="preserve">5 </w:t>
      </w:r>
      <w:r>
        <w:rPr>
          <w:rFonts w:hint="eastAsia" w:ascii="Times New Roman" w:hAnsi="Times New Roman" w:eastAsia="宋体" w:cs="Times New Roman"/>
          <w:bCs/>
          <w:sz w:val="24"/>
        </w:rPr>
        <w:t>土钉墙及复合土钉墙应按照承载能力极限状态和正常使用极限状态进行设计。支护结构的构件强度、基坑稳定性、土钉的抗拔承载力等应按承载能力极限状态进行验算；支护结构的位移、基坑周边环境的变形应按正常使用极限状态进行验算。</w:t>
      </w:r>
    </w:p>
    <w:p>
      <w:pPr>
        <w:widowControl w:val="0"/>
        <w:spacing w:line="480" w:lineRule="exact"/>
        <w:rPr>
          <w:rFonts w:ascii="Times New Roman" w:hAnsi="Times New Roman" w:eastAsia="宋体" w:cs="Times New Roman"/>
          <w:bCs/>
          <w:sz w:val="24"/>
          <w:szCs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 xml:space="preserve">.6 </w:t>
      </w:r>
      <w:r>
        <w:rPr>
          <w:rFonts w:hint="eastAsia" w:ascii="Times New Roman" w:hAnsi="Times New Roman" w:eastAsia="宋体" w:cs="Times New Roman"/>
          <w:bCs/>
          <w:sz w:val="24"/>
          <w:szCs w:val="24"/>
        </w:rPr>
        <w:t>土钉墙、复合土钉墙不宜用于以下条件：</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1 安全等级为一级的基坑；</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2 对用地红线有严格要求的基坑；</w:t>
      </w:r>
    </w:p>
    <w:p>
      <w:pPr>
        <w:widowControl w:val="0"/>
        <w:spacing w:line="480" w:lineRule="exact"/>
        <w:ind w:firstLine="480" w:firstLineChars="200"/>
        <w:rPr>
          <w:rFonts w:ascii="Times New Roman" w:hAnsi="Times New Roman" w:eastAsia="宋体" w:cs="Times New Roman"/>
          <w:bCs/>
          <w:sz w:val="24"/>
        </w:rPr>
      </w:pPr>
      <w:r>
        <w:rPr>
          <w:rFonts w:ascii="Times New Roman" w:hAnsi="Times New Roman" w:eastAsia="宋体" w:cs="Times New Roman"/>
          <w:bCs/>
          <w:sz w:val="24"/>
        </w:rPr>
        <w:t xml:space="preserve">3 </w:t>
      </w:r>
      <w:r>
        <w:rPr>
          <w:rFonts w:hint="eastAsia" w:ascii="Times New Roman" w:hAnsi="Times New Roman" w:eastAsia="宋体" w:cs="Times New Roman"/>
          <w:bCs/>
          <w:sz w:val="24"/>
        </w:rPr>
        <w:t>坑壁为灵敏度较高的土层；</w:t>
      </w:r>
    </w:p>
    <w:p>
      <w:pPr>
        <w:widowControl w:val="0"/>
        <w:spacing w:line="480" w:lineRule="exact"/>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4 水位以下采用打入钢管工艺时的液化土层。</w:t>
      </w:r>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 xml:space="preserve">.7 </w:t>
      </w:r>
      <w:r>
        <w:rPr>
          <w:rFonts w:hint="eastAsia" w:ascii="Times New Roman" w:hAnsi="Times New Roman" w:eastAsia="宋体" w:cs="Times New Roman"/>
          <w:bCs/>
          <w:sz w:val="24"/>
        </w:rPr>
        <w:t>常用的土钉类型有成孔注浆钢筋土钉和钢管土钉，应优先选用成孔注浆钢筋土钉。</w:t>
      </w:r>
    </w:p>
    <w:p>
      <w:pPr>
        <w:keepNext/>
        <w:keepLines/>
        <w:widowControl/>
        <w:spacing w:line="416" w:lineRule="auto"/>
        <w:jc w:val="center"/>
        <w:outlineLvl w:val="1"/>
        <w:rPr>
          <w:rFonts w:ascii="Times New Roman" w:hAnsi="Times New Roman" w:eastAsia="宋体" w:cs="Times New Roman"/>
          <w:b/>
          <w:bCs/>
          <w:sz w:val="32"/>
          <w:szCs w:val="32"/>
        </w:rPr>
      </w:pPr>
      <w:bookmarkStart w:id="681" w:name="_Toc18256"/>
      <w:bookmarkStart w:id="682" w:name="_Toc8260"/>
      <w:r>
        <w:rPr>
          <w:rFonts w:ascii="Times New Roman" w:hAnsi="Times New Roman" w:eastAsia="宋体" w:cs="Times New Roman"/>
          <w:b/>
          <w:bCs/>
          <w:sz w:val="32"/>
          <w:szCs w:val="32"/>
        </w:rPr>
        <w:t>9.2  设计</w:t>
      </w:r>
      <w:bookmarkEnd w:id="681"/>
      <w:bookmarkEnd w:id="682"/>
    </w:p>
    <w:p>
      <w:pPr>
        <w:widowControl w:val="0"/>
        <w:tabs>
          <w:tab w:val="left" w:pos="540"/>
          <w:tab w:val="left" w:pos="720"/>
        </w:tabs>
        <w:spacing w:line="480" w:lineRule="exact"/>
        <w:ind w:left="2"/>
        <w:jc w:val="left"/>
        <w:rPr>
          <w:rFonts w:ascii="Times New Roman" w:hAnsi="Times New Roman" w:eastAsia="宋体" w:cs="Times New Roman"/>
          <w:bCs/>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 xml:space="preserve"> </w:t>
      </w:r>
      <w:r>
        <w:rPr>
          <w:rFonts w:hint="eastAsia" w:ascii="Times New Roman" w:hAnsi="Times New Roman" w:eastAsia="宋体" w:cs="Times New Roman"/>
          <w:bCs/>
          <w:sz w:val="24"/>
        </w:rPr>
        <w:t>初步设计时土钉长度及间距可按表</w:t>
      </w:r>
      <w:r>
        <w:rPr>
          <w:rFonts w:ascii="Times New Roman" w:hAnsi="Times New Roman" w:eastAsia="宋体" w:cs="Times New Roman"/>
          <w:bCs/>
          <w:sz w:val="24"/>
        </w:rPr>
        <w:t>9</w:t>
      </w:r>
      <w:r>
        <w:rPr>
          <w:rFonts w:hint="eastAsia" w:ascii="Times New Roman" w:hAnsi="Times New Roman" w:eastAsia="宋体" w:cs="Times New Roman"/>
          <w:bCs/>
          <w:sz w:val="24"/>
        </w:rPr>
        <w:t>.2.1选用，首层土钉标高应避开地下管线，距地表不宜大于2.0m，最下层土钉距基坑底面间距不宜大于土钉竖向间距的1</w:t>
      </w:r>
      <w:r>
        <w:rPr>
          <w:rFonts w:ascii="Times New Roman" w:hAnsi="Times New Roman" w:eastAsia="宋体" w:cs="Times New Roman"/>
          <w:bCs/>
          <w:sz w:val="24"/>
        </w:rPr>
        <w:t>/2</w:t>
      </w:r>
      <w:r>
        <w:rPr>
          <w:rFonts w:hint="eastAsia" w:ascii="Times New Roman" w:hAnsi="Times New Roman" w:eastAsia="宋体" w:cs="Times New Roman"/>
          <w:bCs/>
          <w:sz w:val="24"/>
        </w:rPr>
        <w:t>。</w:t>
      </w:r>
    </w:p>
    <w:p>
      <w:pPr>
        <w:widowControl w:val="0"/>
        <w:tabs>
          <w:tab w:val="left" w:pos="540"/>
          <w:tab w:val="left" w:pos="720"/>
        </w:tabs>
        <w:spacing w:line="480" w:lineRule="exact"/>
        <w:ind w:left="2"/>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表</w:t>
      </w:r>
      <w:r>
        <w:rPr>
          <w:rFonts w:ascii="Times New Roman" w:hAnsi="Times New Roman" w:eastAsia="宋体" w:cs="Times New Roman"/>
          <w:b/>
          <w:sz w:val="21"/>
          <w:szCs w:val="21"/>
        </w:rPr>
        <w:t>9</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2</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1</w:t>
      </w:r>
      <w:r>
        <w:rPr>
          <w:rFonts w:hint="eastAsia" w:ascii="Times New Roman" w:hAnsi="Times New Roman" w:eastAsia="宋体" w:cs="Times New Roman"/>
          <w:b/>
          <w:sz w:val="21"/>
          <w:szCs w:val="21"/>
        </w:rPr>
        <w:t xml:space="preserve">    土钉长度与间距经验值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317"/>
        <w:gridCol w:w="1836"/>
        <w:gridCol w:w="1997"/>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tcBorders>
              <w:top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土的名称</w:t>
            </w: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土的状态</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水平间距（m）</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竖向间距（m）</w:t>
            </w:r>
          </w:p>
        </w:tc>
        <w:tc>
          <w:tcPr>
            <w:tcW w:w="2495" w:type="dxa"/>
            <w:tcBorders>
              <w:top w:val="single" w:color="auto" w:sz="4" w:space="0"/>
              <w:left w:val="single" w:color="auto" w:sz="4" w:space="0"/>
              <w:bottom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土钉长度与基坑深度比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8" w:type="dxa"/>
            <w:tcBorders>
              <w:top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素填土</w:t>
            </w: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1.0～1.2</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1.0～1.2</w:t>
            </w:r>
          </w:p>
        </w:tc>
        <w:tc>
          <w:tcPr>
            <w:tcW w:w="2495" w:type="dxa"/>
            <w:tcBorders>
              <w:top w:val="single" w:color="auto" w:sz="4" w:space="0"/>
              <w:left w:val="single" w:color="auto" w:sz="4" w:space="0"/>
              <w:bottom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tcBorders>
              <w:top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淤泥质土</w:t>
            </w: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0.8～1.2</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0.8～1.2</w:t>
            </w:r>
          </w:p>
        </w:tc>
        <w:tc>
          <w:tcPr>
            <w:tcW w:w="2495" w:type="dxa"/>
            <w:tcBorders>
              <w:top w:val="single" w:color="auto" w:sz="4" w:space="0"/>
              <w:left w:val="single" w:color="auto" w:sz="4" w:space="0"/>
              <w:bottom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restart"/>
            <w:tcBorders>
              <w:top w:val="single" w:color="auto" w:sz="4" w:space="0"/>
              <w:left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粘性土</w:t>
            </w: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软塑</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1.0～1.2</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1.0～1.2</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continue"/>
            <w:tcBorders>
              <w:left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可塑</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1.2～1.5</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1.2～1.5</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continue"/>
            <w:tcBorders>
              <w:left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硬塑</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1.4～1.8</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1.4～1.8</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continue"/>
            <w:tcBorders>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坚硬</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1.8～2.0</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1.8～2.0</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restart"/>
            <w:tcBorders>
              <w:top w:val="single" w:color="auto" w:sz="4" w:space="0"/>
              <w:left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粉土</w:t>
            </w: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稍密～中密</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1.0～1.5</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1.0～1.4</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continue"/>
            <w:tcBorders>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密实</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1.2～1.8</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1.2～1.5</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restart"/>
            <w:tcBorders>
              <w:top w:val="single" w:color="auto" w:sz="4" w:space="0"/>
              <w:left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砂土</w:t>
            </w: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稍密～中密</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1.2～1.6</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1.0～1.5</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8" w:type="dxa"/>
            <w:vMerge w:val="continue"/>
            <w:tcBorders>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p>
        </w:tc>
        <w:tc>
          <w:tcPr>
            <w:tcW w:w="131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密实</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1.4～1.8</w:t>
            </w:r>
          </w:p>
        </w:tc>
        <w:tc>
          <w:tcPr>
            <w:tcW w:w="199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1.4～1.8</w:t>
            </w:r>
          </w:p>
        </w:tc>
        <w:tc>
          <w:tcPr>
            <w:tcW w:w="249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0.6～1.0</w:t>
            </w:r>
          </w:p>
        </w:tc>
      </w:tr>
    </w:tbl>
    <w:p>
      <w:pPr>
        <w:widowControl/>
        <w:spacing w:line="480" w:lineRule="exact"/>
        <w:rPr>
          <w:rFonts w:ascii="Calibri" w:hAnsi="Calibri" w:eastAsia="宋体" w:cs="Times New Roman"/>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Calibri" w:hAnsi="Calibri" w:eastAsia="宋体" w:cs="Times New Roman"/>
          <w:sz w:val="24"/>
        </w:rPr>
        <w:t xml:space="preserve"> 单根土钉的极限</w:t>
      </w:r>
      <w:r>
        <w:rPr>
          <w:rFonts w:hint="eastAsia" w:ascii="Times New Roman" w:hAnsi="Times New Roman" w:eastAsia="宋体" w:cs="Times New Roman"/>
          <w:sz w:val="24"/>
          <w:szCs w:val="24"/>
        </w:rPr>
        <w:t>抗拔承载力</w:t>
      </w:r>
      <w:r>
        <w:rPr>
          <w:rFonts w:hint="eastAsia" w:ascii="Calibri" w:hAnsi="Calibri" w:eastAsia="宋体" w:cs="Times New Roman"/>
          <w:sz w:val="24"/>
        </w:rPr>
        <w:t>应按下式计算：</w:t>
      </w:r>
    </w:p>
    <w:tbl>
      <w:tblPr>
        <w:tblStyle w:val="32"/>
        <w:tblW w:w="9854" w:type="dxa"/>
        <w:tblInd w:w="0" w:type="dxa"/>
        <w:tblLayout w:type="fixed"/>
        <w:tblCellMar>
          <w:top w:w="0" w:type="dxa"/>
          <w:left w:w="108" w:type="dxa"/>
          <w:bottom w:w="0" w:type="dxa"/>
          <w:right w:w="108" w:type="dxa"/>
        </w:tblCellMar>
      </w:tblPr>
      <w:tblGrid>
        <w:gridCol w:w="5778"/>
        <w:gridCol w:w="4076"/>
      </w:tblGrid>
      <w:tr>
        <w:tblPrEx>
          <w:tblCellMar>
            <w:top w:w="0" w:type="dxa"/>
            <w:left w:w="108" w:type="dxa"/>
            <w:bottom w:w="0" w:type="dxa"/>
            <w:right w:w="108" w:type="dxa"/>
          </w:tblCellMar>
        </w:tblPrEx>
        <w:tc>
          <w:tcPr>
            <w:tcW w:w="5778" w:type="dxa"/>
          </w:tcPr>
          <w:p>
            <w:pPr>
              <w:widowControl w:val="0"/>
              <w:ind w:right="854" w:rightChars="356"/>
              <w:jc w:val="right"/>
              <w:rPr>
                <w:rFonts w:ascii="Times New Roman" w:hAnsi="Times New Roman" w:eastAsia="宋体" w:cs="Times New Roman"/>
                <w:position w:val="-32"/>
                <w:sz w:val="24"/>
                <w:szCs w:val="21"/>
              </w:rPr>
            </w:pPr>
            <w:r>
              <w:rPr>
                <w:rFonts w:ascii="Times New Roman" w:hAnsi="Times New Roman" w:eastAsia="宋体" w:cs="Times New Roman"/>
                <w:position w:val="-32"/>
                <w:sz w:val="24"/>
                <w:szCs w:val="24"/>
              </w:rPr>
              <w:object>
                <v:shape id="_x0000_i1173" o:spt="75" type="#_x0000_t75" style="height:37.2pt;width:48pt;" o:ole="t" filled="f" o:preferrelative="t" stroked="f" coordsize="21600,21600">
                  <v:path/>
                  <v:fill on="f" focussize="0,0"/>
                  <v:stroke on="f" joinstyle="miter"/>
                  <v:imagedata r:id="rId500" o:title=""/>
                  <o:lock v:ext="edit" aspectratio="t"/>
                  <w10:wrap type="none"/>
                  <w10:anchorlock/>
                </v:shape>
                <o:OLEObject Type="Embed" ProgID="Equation.DSMT4" ShapeID="_x0000_i1173" DrawAspect="Content" ObjectID="_1468075873" r:id="rId499">
                  <o:LockedField>false</o:LockedField>
                </o:OLEObject>
              </w:object>
            </w:r>
          </w:p>
        </w:tc>
        <w:tc>
          <w:tcPr>
            <w:tcW w:w="4076" w:type="dxa"/>
          </w:tcPr>
          <w:p>
            <w:pPr>
              <w:widowControl w:val="0"/>
              <w:tabs>
                <w:tab w:val="left" w:pos="2755"/>
              </w:tabs>
              <w:spacing w:line="720" w:lineRule="auto"/>
              <w:ind w:left="2753" w:leftChars="1147"/>
              <w:jc w:val="right"/>
              <w:rPr>
                <w:rFonts w:ascii="Times New Roman" w:hAnsi="Times New Roman" w:eastAsia="宋体" w:cs="Times New Roman"/>
                <w:position w:val="-32"/>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9.2.2</w:t>
            </w:r>
            <w:r>
              <w:rPr>
                <w:rFonts w:hint="eastAsia" w:ascii="Times New Roman" w:hAnsi="Times New Roman" w:eastAsia="宋体" w:cs="Times New Roman"/>
                <w:sz w:val="24"/>
                <w:szCs w:val="24"/>
              </w:rPr>
              <w:t>）</w:t>
            </w:r>
          </w:p>
        </w:tc>
      </w:tr>
    </w:tbl>
    <w:p>
      <w:pPr>
        <w:widowControl w:val="0"/>
        <w:spacing w:line="480" w:lineRule="exact"/>
        <w:ind w:left="1"/>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sz w:val="24"/>
          <w:szCs w:val="24"/>
        </w:rPr>
        <w:t xml:space="preserve"> </w:t>
      </w:r>
      <m:oMath>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K</m:t>
            </m:r>
            <m:ctrlPr>
              <w:rPr>
                <w:rFonts w:ascii="Cambria Math" w:hAnsi="Cambria Math" w:eastAsia="Cambria Math" w:cs="Times New Roman"/>
                <w:sz w:val="24"/>
                <w:szCs w:val="24"/>
              </w:rPr>
            </m:ctrlPr>
          </m:e>
          <m:sub>
            <m:r>
              <m:rPr>
                <m:sty m:val="p"/>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w:r>
        <w:rPr>
          <w:rFonts w:ascii="Times New Roman" w:hAnsi="Times New Roman" w:eastAsia="宋体" w:cs="Times New Roman"/>
          <w:sz w:val="24"/>
        </w:rPr>
        <w:t>——</w:t>
      </w:r>
      <w:r>
        <w:rPr>
          <w:rFonts w:hint="eastAsia" w:ascii="Times New Roman" w:hAnsi="Times New Roman" w:eastAsia="宋体" w:cs="Times New Roman"/>
          <w:sz w:val="24"/>
          <w:szCs w:val="24"/>
        </w:rPr>
        <w:t>土钉抗拔安全系数，安全等级为二、三级的土钉墙，分别不应小于</w:t>
      </w:r>
    </w:p>
    <w:p>
      <w:pPr>
        <w:widowControl w:val="0"/>
        <w:spacing w:line="480" w:lineRule="exact"/>
        <w:ind w:left="1" w:firstLine="1557" w:firstLineChars="649"/>
        <w:rPr>
          <w:rFonts w:ascii="Times New Roman" w:hAnsi="Times New Roman" w:eastAsia="宋体" w:cs="Times New Roman"/>
          <w:sz w:val="24"/>
          <w:szCs w:val="24"/>
        </w:rPr>
      </w:pPr>
      <w:r>
        <w:rPr>
          <w:rFonts w:ascii="Times New Roman" w:hAnsi="Times New Roman" w:eastAsia="宋体" w:cs="Times New Roman"/>
          <w:sz w:val="24"/>
          <w:szCs w:val="24"/>
        </w:rPr>
        <w:t>1.6</w:t>
      </w:r>
      <w:r>
        <w:rPr>
          <w:rFonts w:hint="eastAsia" w:ascii="Times New Roman" w:hAnsi="Times New Roman" w:eastAsia="宋体" w:cs="Times New Roman"/>
          <w:sz w:val="24"/>
          <w:szCs w:val="24"/>
        </w:rPr>
        <w:t>、</w:t>
      </w:r>
      <w:r>
        <w:rPr>
          <w:rFonts w:ascii="Times New Roman" w:hAnsi="Times New Roman" w:eastAsia="宋体" w:cs="Times New Roman"/>
          <w:sz w:val="24"/>
          <w:szCs w:val="24"/>
        </w:rPr>
        <w:t>1.4</w:t>
      </w:r>
      <w:r>
        <w:rPr>
          <w:rFonts w:hint="eastAsia" w:ascii="Times New Roman" w:hAnsi="Times New Roman" w:eastAsia="宋体" w:cs="Times New Roman"/>
          <w:sz w:val="24"/>
          <w:szCs w:val="24"/>
        </w:rPr>
        <w:t>；</w:t>
      </w:r>
    </w:p>
    <w:p>
      <w:pPr>
        <w:widowControl w:val="0"/>
        <w:spacing w:line="480" w:lineRule="exact"/>
        <w:ind w:left="566" w:leftChars="236" w:firstLine="240" w:firstLineChars="100"/>
        <w:rPr>
          <w:rFonts w:ascii="Times New Roman" w:hAnsi="Times New Roman" w:eastAsia="宋体" w:cs="Times New Roman"/>
          <w:sz w:val="24"/>
        </w:rPr>
      </w:pPr>
      <m:oMath>
        <m:sSub>
          <m:sSubPr>
            <m:ctrlPr>
              <w:rPr>
                <w:rFonts w:ascii="Cambria Math" w:hAnsi="Cambria Math" w:eastAsia="Cambria Math" w:cs="Times New Roman"/>
                <w:sz w:val="24"/>
              </w:rPr>
            </m:ctrlPr>
          </m:sSubPr>
          <m:e>
            <m:r>
              <m:rPr/>
              <w:rPr>
                <w:rFonts w:ascii="Cambria Math" w:hAnsi="Cambria Math" w:eastAsia="Cambria Math" w:cs="Times New Roman"/>
                <w:sz w:val="24"/>
              </w:rPr>
              <m:t>N</m:t>
            </m:r>
            <m:ctrlPr>
              <w:rPr>
                <w:rFonts w:ascii="Cambria Math" w:hAnsi="Cambria Math" w:eastAsia="Cambria Math" w:cs="Times New Roman"/>
                <w:sz w:val="24"/>
              </w:rPr>
            </m:ctrlPr>
          </m:e>
          <m:sub>
            <m:r>
              <m:rPr>
                <m:sty m:val="p"/>
              </m:rPr>
              <w:rPr>
                <w:rFonts w:ascii="Cambria Math" w:hAnsi="Cambria Math" w:eastAsia="Cambria Math" w:cs="Times New Roman"/>
                <w:sz w:val="24"/>
              </w:rPr>
              <m:t>k,</m:t>
            </m:r>
            <m:r>
              <m:rPr/>
              <w:rPr>
                <w:rFonts w:ascii="Cambria Math" w:hAnsi="Cambria Math" w:eastAsia="Cambria Math" w:cs="Times New Roman"/>
                <w:sz w:val="24"/>
              </w:rPr>
              <m:t>j</m:t>
            </m:r>
            <m:ctrlPr>
              <w:rPr>
                <w:rFonts w:ascii="Cambria Math" w:hAnsi="Cambria Math" w:eastAsia="Cambria Math" w:cs="Times New Roman"/>
                <w:sz w:val="24"/>
              </w:rPr>
            </m:ctrlPr>
          </m:sub>
        </m:sSub>
      </m:oMath>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层土钉的轴向拉力标准值（</w:t>
      </w:r>
      <w:r>
        <w:rPr>
          <w:rFonts w:ascii="Times New Roman" w:hAnsi="Times New Roman" w:eastAsia="宋体" w:cs="Times New Roman"/>
          <w:sz w:val="24"/>
          <w:szCs w:val="24"/>
        </w:rPr>
        <w:t>kN</w:t>
      </w:r>
      <w:r>
        <w:rPr>
          <w:rFonts w:hint="eastAsia" w:ascii="Times New Roman" w:hAnsi="Times New Roman" w:eastAsia="宋体" w:cs="Times New Roman"/>
          <w:sz w:val="24"/>
          <w:szCs w:val="24"/>
        </w:rPr>
        <w:t>）；</w:t>
      </w:r>
    </w:p>
    <w:p>
      <w:pPr>
        <w:widowControl w:val="0"/>
        <w:spacing w:line="480" w:lineRule="exact"/>
        <w:ind w:left="566" w:leftChars="236" w:firstLine="240" w:firstLineChars="100"/>
        <w:rPr>
          <w:rFonts w:ascii="Times New Roman" w:hAnsi="Times New Roman" w:eastAsia="宋体" w:cs="Times New Roman"/>
          <w:sz w:val="24"/>
          <w:szCs w:val="24"/>
        </w:rPr>
      </w:pPr>
      <m:oMath>
        <m:sSub>
          <m:sSubPr>
            <m:ctrlPr>
              <w:rPr>
                <w:rFonts w:ascii="Cambria Math" w:hAnsi="Cambria Math" w:eastAsia="Cambria Math" w:cs="Times New Roman"/>
                <w:sz w:val="24"/>
              </w:rPr>
            </m:ctrlPr>
          </m:sSubPr>
          <m:e>
            <m:r>
              <m:rPr/>
              <w:rPr>
                <w:rFonts w:ascii="Cambria Math" w:hAnsi="Cambria Math" w:eastAsia="Cambria Math" w:cs="Times New Roman"/>
                <w:sz w:val="24"/>
              </w:rPr>
              <m:t>R</m:t>
            </m:r>
            <m:ctrlPr>
              <w:rPr>
                <w:rFonts w:ascii="Cambria Math" w:hAnsi="Cambria Math" w:eastAsia="Cambria Math" w:cs="Times New Roman"/>
                <w:sz w:val="24"/>
              </w:rPr>
            </m:ctrlPr>
          </m:e>
          <m:sub>
            <m:r>
              <m:rPr>
                <m:sty m:val="p"/>
              </m:rPr>
              <w:rPr>
                <w:rFonts w:ascii="Cambria Math" w:hAnsi="Cambria Math" w:eastAsia="Cambria Math" w:cs="Times New Roman"/>
                <w:sz w:val="24"/>
              </w:rPr>
              <m:t>k,</m:t>
            </m:r>
            <m:r>
              <m:rPr/>
              <w:rPr>
                <w:rFonts w:ascii="Cambria Math" w:hAnsi="Cambria Math" w:eastAsia="Cambria Math" w:cs="Times New Roman"/>
                <w:sz w:val="24"/>
              </w:rPr>
              <m:t>j</m:t>
            </m:r>
            <m:ctrlPr>
              <w:rPr>
                <w:rFonts w:ascii="Cambria Math" w:hAnsi="Cambria Math" w:eastAsia="Cambria Math" w:cs="Times New Roman"/>
                <w:sz w:val="24"/>
              </w:rPr>
            </m:ctrlPr>
          </m:sub>
        </m:sSub>
      </m:oMath>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层土钉的极限抗拔承载力标准值（</w:t>
      </w:r>
      <w:r>
        <w:rPr>
          <w:rFonts w:ascii="Times New Roman" w:hAnsi="Times New Roman" w:eastAsia="宋体" w:cs="Times New Roman"/>
          <w:sz w:val="24"/>
          <w:szCs w:val="24"/>
        </w:rPr>
        <w:t>kN</w:t>
      </w:r>
      <w:r>
        <w:rPr>
          <w:rFonts w:hint="eastAsia" w:ascii="Times New Roman" w:hAnsi="Times New Roman" w:eastAsia="宋体" w:cs="Times New Roman"/>
          <w:sz w:val="24"/>
          <w:szCs w:val="24"/>
        </w:rPr>
        <w:t>）。</w:t>
      </w:r>
    </w:p>
    <w:p>
      <w:pPr>
        <w:widowControl w:val="0"/>
        <w:spacing w:line="480" w:lineRule="exact"/>
        <w:rPr>
          <w:rFonts w:ascii="Times New Roman" w:hAnsi="Times New Roman" w:eastAsia="宋体" w:cs="Times New Roman"/>
          <w:bCs/>
          <w:sz w:val="24"/>
          <w:szCs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3</w:t>
      </w:r>
      <w:r>
        <w:rPr>
          <w:rFonts w:hint="eastAsia" w:ascii="Times New Roman" w:hAnsi="Times New Roman" w:eastAsia="宋体" w:cs="Times New Roman"/>
          <w:b/>
          <w:sz w:val="24"/>
          <w:szCs w:val="24"/>
        </w:rPr>
        <w:t xml:space="preserve"> </w:t>
      </w:r>
      <w:r>
        <w:rPr>
          <w:rFonts w:hint="eastAsia" w:ascii="Times New Roman" w:hAnsi="Times New Roman" w:eastAsia="宋体" w:cs="Times New Roman"/>
          <w:bCs/>
          <w:sz w:val="24"/>
          <w:szCs w:val="24"/>
        </w:rPr>
        <w:t>单根土钉的轴向拉力标准值可按下式计算：</w:t>
      </w:r>
    </w:p>
    <w:tbl>
      <w:tblPr>
        <w:tblStyle w:val="32"/>
        <w:tblW w:w="0" w:type="auto"/>
        <w:tblInd w:w="0" w:type="dxa"/>
        <w:tblLayout w:type="fixed"/>
        <w:tblCellMar>
          <w:top w:w="0" w:type="dxa"/>
          <w:left w:w="108" w:type="dxa"/>
          <w:bottom w:w="0" w:type="dxa"/>
          <w:right w:w="108" w:type="dxa"/>
        </w:tblCellMar>
      </w:tblPr>
      <w:tblGrid>
        <w:gridCol w:w="5778"/>
        <w:gridCol w:w="4076"/>
      </w:tblGrid>
      <w:tr>
        <w:tblPrEx>
          <w:tblCellMar>
            <w:top w:w="0" w:type="dxa"/>
            <w:left w:w="108" w:type="dxa"/>
            <w:bottom w:w="0" w:type="dxa"/>
            <w:right w:w="108" w:type="dxa"/>
          </w:tblCellMar>
        </w:tblPrEx>
        <w:tc>
          <w:tcPr>
            <w:tcW w:w="5778" w:type="dxa"/>
          </w:tcPr>
          <w:p>
            <w:pPr>
              <w:widowControl w:val="0"/>
              <w:jc w:val="right"/>
              <w:rPr>
                <w:rFonts w:ascii="Times New Roman" w:hAnsi="Times New Roman" w:eastAsia="宋体" w:cs="Times New Roman"/>
                <w:position w:val="-32"/>
                <w:sz w:val="24"/>
                <w:szCs w:val="21"/>
              </w:rPr>
            </w:pPr>
            <w:r>
              <w:rPr>
                <w:rFonts w:ascii="Times New Roman" w:hAnsi="Times New Roman" w:eastAsia="宋体" w:cs="Times New Roman"/>
                <w:position w:val="-32"/>
                <w:sz w:val="24"/>
                <w:szCs w:val="21"/>
              </w:rPr>
              <w:object>
                <v:shape id="_x0000_i1174" o:spt="75" type="#_x0000_t75" style="height:34.2pt;width:133.8pt;" o:ole="t" filled="f" o:preferrelative="t" stroked="f" coordsize="21600,21600">
                  <v:path/>
                  <v:fill on="f" focussize="0,0"/>
                  <v:stroke on="f" joinstyle="miter"/>
                  <v:imagedata r:id="rId502" o:title=""/>
                  <o:lock v:ext="edit" aspectratio="t"/>
                  <w10:wrap type="none"/>
                  <w10:anchorlock/>
                </v:shape>
                <o:OLEObject Type="Embed" ProgID="Equation.DSMT4" ShapeID="_x0000_i1174" DrawAspect="Content" ObjectID="_1468075874" r:id="rId501">
                  <o:LockedField>false</o:LockedField>
                </o:OLEObject>
              </w:object>
            </w:r>
          </w:p>
        </w:tc>
        <w:tc>
          <w:tcPr>
            <w:tcW w:w="4076" w:type="dxa"/>
          </w:tcPr>
          <w:p>
            <w:pPr>
              <w:widowControl w:val="0"/>
              <w:tabs>
                <w:tab w:val="left" w:pos="2755"/>
              </w:tabs>
              <w:spacing w:line="720" w:lineRule="auto"/>
              <w:ind w:left="2753" w:leftChars="1147"/>
              <w:jc w:val="right"/>
              <w:rPr>
                <w:rFonts w:ascii="Times New Roman" w:hAnsi="Times New Roman" w:eastAsia="宋体" w:cs="Times New Roman"/>
                <w:position w:val="-32"/>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9.2.3</w:t>
            </w:r>
            <w:r>
              <w:rPr>
                <w:rFonts w:hint="eastAsia" w:ascii="Times New Roman" w:hAnsi="Times New Roman" w:eastAsia="宋体" w:cs="Times New Roman"/>
                <w:sz w:val="24"/>
                <w:szCs w:val="24"/>
              </w:rPr>
              <w:t>）</w:t>
            </w:r>
          </w:p>
        </w:tc>
      </w:tr>
    </w:tbl>
    <w:p>
      <w:pPr>
        <w:widowControl w:val="0"/>
        <w:spacing w:line="480" w:lineRule="exact"/>
        <w:rPr>
          <w:rFonts w:ascii="Times New Roman" w:hAnsi="Times New Roman" w:eastAsia="宋体" w:cs="Times New Roman"/>
          <w:sz w:val="24"/>
          <w:szCs w:val="21"/>
        </w:rPr>
      </w:pPr>
      <w:r>
        <w:rPr>
          <w:rFonts w:hint="eastAsia" w:ascii="Times New Roman" w:hAnsi="Times New Roman" w:eastAsia="宋体" w:cs="Times New Roman"/>
          <w:sz w:val="24"/>
          <w:szCs w:val="21"/>
        </w:rPr>
        <w:t>式中：</w:t>
      </w:r>
      <w:r>
        <w:rPr>
          <w:rFonts w:ascii="Times New Roman" w:hAnsi="Times New Roman" w:eastAsia="宋体" w:cs="Times New Roman"/>
          <w:sz w:val="24"/>
          <w:szCs w:val="21"/>
        </w:rPr>
        <w:t xml:space="preserve"> </w:t>
      </w:r>
      <m:oMath>
        <m:sSub>
          <m:sSubPr>
            <m:ctrlPr>
              <w:rPr>
                <w:rFonts w:ascii="Cambria Math" w:hAnsi="Cambria Math" w:eastAsia="Cambria Math" w:cs="Times New Roman"/>
                <w:sz w:val="24"/>
              </w:rPr>
            </m:ctrlPr>
          </m:sSubPr>
          <m:e>
            <m:r>
              <m:rPr/>
              <w:rPr>
                <w:rFonts w:ascii="Cambria Math" w:hAnsi="Cambria Math" w:eastAsia="Cambria Math" w:cs="Times New Roman"/>
                <w:sz w:val="24"/>
              </w:rPr>
              <m:t>N</m:t>
            </m:r>
            <m:ctrlPr>
              <w:rPr>
                <w:rFonts w:ascii="Cambria Math" w:hAnsi="Cambria Math" w:eastAsia="Cambria Math" w:cs="Times New Roman"/>
                <w:sz w:val="24"/>
              </w:rPr>
            </m:ctrlPr>
          </m:e>
          <m:sub>
            <m:r>
              <m:rPr>
                <m:sty m:val="p"/>
              </m:rPr>
              <w:rPr>
                <w:rFonts w:ascii="Cambria Math" w:hAnsi="Cambria Math" w:eastAsia="Cambria Math" w:cs="Times New Roman"/>
                <w:sz w:val="24"/>
              </w:rPr>
              <m:t>k,</m:t>
            </m:r>
            <m:r>
              <m:rPr/>
              <w:rPr>
                <w:rFonts w:ascii="Cambria Math" w:hAnsi="Cambria Math" w:eastAsia="Cambria Math" w:cs="Times New Roman"/>
                <w:sz w:val="24"/>
              </w:rPr>
              <m:t>j</m:t>
            </m:r>
            <m:ctrlPr>
              <w:rPr>
                <w:rFonts w:ascii="Cambria Math" w:hAnsi="Cambria Math" w:eastAsia="Cambria Math" w:cs="Times New Roman"/>
                <w:sz w:val="24"/>
              </w:rPr>
            </m:ctrlPr>
          </m:sub>
        </m:sSub>
      </m:oMath>
      <w:r>
        <w:rPr>
          <w:rFonts w:ascii="Times New Roman" w:hAnsi="Times New Roman" w:eastAsia="宋体" w:cs="Times New Roman"/>
          <w:sz w:val="24"/>
        </w:rPr>
        <w:t>——</w:t>
      </w:r>
      <w:r>
        <w:rPr>
          <w:rFonts w:hint="eastAsia" w:ascii="Times New Roman" w:hAnsi="Times New Roman" w:eastAsia="宋体" w:cs="Times New Roman"/>
          <w:sz w:val="24"/>
          <w:szCs w:val="21"/>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1"/>
        </w:rPr>
        <w:t>层土钉的轴向拉力标准值（</w:t>
      </w:r>
      <w:r>
        <w:rPr>
          <w:rFonts w:ascii="Times New Roman" w:hAnsi="Times New Roman" w:eastAsia="宋体" w:cs="Times New Roman"/>
          <w:sz w:val="24"/>
          <w:szCs w:val="21"/>
        </w:rPr>
        <w:t>kN</w:t>
      </w:r>
      <w:r>
        <w:rPr>
          <w:rFonts w:hint="eastAsia" w:ascii="Times New Roman" w:hAnsi="Times New Roman" w:eastAsia="宋体" w:cs="Times New Roman"/>
          <w:sz w:val="24"/>
          <w:szCs w:val="21"/>
        </w:rPr>
        <w:t>）；</w:t>
      </w:r>
    </w:p>
    <w:p>
      <w:pPr>
        <w:widowControl w:val="0"/>
        <w:spacing w:line="480" w:lineRule="exact"/>
        <w:ind w:firstLine="840" w:firstLineChars="350"/>
        <w:rPr>
          <w:rFonts w:ascii="Times New Roman" w:hAnsi="Times New Roman" w:eastAsia="宋体" w:cs="Times New Roman"/>
          <w:sz w:val="24"/>
          <w:szCs w:val="21"/>
        </w:rPr>
      </w:pPr>
      <w:r>
        <w:rPr>
          <w:rFonts w:ascii="Times New Roman" w:hAnsi="Times New Roman" w:eastAsia="宋体" w:cs="Times New Roman"/>
          <w:position w:val="-14"/>
          <w:sz w:val="24"/>
          <w:szCs w:val="21"/>
        </w:rPr>
        <w:object>
          <v:shape id="_x0000_i1175" o:spt="75" type="#_x0000_t75" style="height:19.8pt;width:15pt;" o:ole="t" filled="f" o:preferrelative="t" stroked="f" coordsize="21600,21600">
            <v:path/>
            <v:fill on="f" focussize="0,0"/>
            <v:stroke on="f" joinstyle="miter"/>
            <v:imagedata r:id="rId504" o:title=""/>
            <o:lock v:ext="edit" aspectratio="t"/>
            <w10:wrap type="none"/>
            <w10:anchorlock/>
          </v:shape>
          <o:OLEObject Type="Embed" ProgID="Equation.DSMT4" ShapeID="_x0000_i1175" DrawAspect="Content" ObjectID="_1468075875" r:id="rId503">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1"/>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1"/>
        </w:rPr>
        <w:t>层土钉的倾角（</w:t>
      </w:r>
      <m:oMath>
        <m:r>
          <m:rPr/>
          <w:rPr>
            <w:rFonts w:ascii="Cambria Math" w:hAnsi="Cambria Math" w:eastAsia="Cambria Math" w:cs="Cambria Math"/>
            <w:sz w:val="24"/>
            <w:szCs w:val="21"/>
          </w:rPr>
          <m:t>°</m:t>
        </m:r>
      </m:oMath>
      <w:r>
        <w:rPr>
          <w:rFonts w:hint="eastAsia" w:ascii="Times New Roman" w:hAnsi="Times New Roman" w:eastAsia="宋体" w:cs="Times New Roman"/>
          <w:sz w:val="24"/>
          <w:szCs w:val="21"/>
        </w:rPr>
        <w:t>）；</w:t>
      </w:r>
    </w:p>
    <w:p>
      <w:pPr>
        <w:widowControl w:val="0"/>
        <w:spacing w:line="480" w:lineRule="exact"/>
        <w:ind w:firstLine="960" w:firstLineChars="400"/>
        <w:rPr>
          <w:rFonts w:ascii="Times New Roman" w:hAnsi="Times New Roman" w:eastAsia="宋体" w:cs="Times New Roman"/>
          <w:sz w:val="24"/>
          <w:szCs w:val="21"/>
        </w:rPr>
      </w:pPr>
      <w:r>
        <w:rPr>
          <w:rFonts w:ascii="Times New Roman" w:hAnsi="Times New Roman" w:eastAsia="宋体" w:cs="Times New Roman"/>
          <w:position w:val="-10"/>
          <w:sz w:val="24"/>
          <w:szCs w:val="21"/>
        </w:rPr>
        <w:drawing>
          <wp:inline distT="0" distB="0" distL="0" distR="0">
            <wp:extent cx="152400" cy="198120"/>
            <wp:effectExtent l="0" t="0" r="0" b="0"/>
            <wp:docPr id="70"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true" noChangeArrowheads="true"/>
                    </pic:cNvPicPr>
                  </pic:nvPicPr>
                  <pic:blipFill>
                    <a:blip r:embed="rId505" cstate="print">
                      <a:extLst>
                        <a:ext uri="{28A0092B-C50C-407E-A947-70E740481C1C}">
                          <a14:useLocalDpi xmlns:a14="http://schemas.microsoft.com/office/drawing/2010/main" val="false"/>
                        </a:ext>
                      </a:extLst>
                    </a:blip>
                    <a:srcRect/>
                    <a:stretch>
                      <a:fillRect/>
                    </a:stretch>
                  </pic:blipFill>
                  <pic:spPr>
                    <a:xfrm>
                      <a:off x="0" y="0"/>
                      <a:ext cx="152400" cy="198120"/>
                    </a:xfrm>
                    <a:prstGeom prst="rect">
                      <a:avLst/>
                    </a:prstGeom>
                    <a:noFill/>
                    <a:ln>
                      <a:noFill/>
                    </a:ln>
                  </pic:spPr>
                </pic:pic>
              </a:graphicData>
            </a:graphic>
          </wp:inline>
        </w:drawing>
      </w:r>
      <w:r>
        <w:rPr>
          <w:rFonts w:ascii="Times New Roman" w:hAnsi="Times New Roman" w:eastAsia="宋体" w:cs="Times New Roman"/>
          <w:sz w:val="24"/>
        </w:rPr>
        <w:t>——</w:t>
      </w:r>
      <w:r>
        <w:rPr>
          <w:rFonts w:hint="eastAsia" w:ascii="Times New Roman" w:hAnsi="Times New Roman" w:eastAsia="宋体" w:cs="Times New Roman"/>
          <w:sz w:val="24"/>
          <w:szCs w:val="21"/>
        </w:rPr>
        <w:t>墙面倾斜时的主动土压力折减系数，可按本</w:t>
      </w:r>
      <w:r>
        <w:rPr>
          <w:rFonts w:hint="eastAsia" w:ascii="Times New Roman" w:hAnsi="Times New Roman" w:cs="Times New Roman"/>
          <w:sz w:val="24"/>
          <w:szCs w:val="21"/>
          <w:lang w:eastAsia="zh-CN"/>
        </w:rPr>
        <w:t>标准</w:t>
      </w:r>
      <w:r>
        <w:rPr>
          <w:rFonts w:ascii="Times New Roman" w:hAnsi="Times New Roman" w:eastAsia="宋体" w:cs="Times New Roman"/>
          <w:sz w:val="24"/>
          <w:szCs w:val="21"/>
        </w:rPr>
        <w:t>9.2.4</w:t>
      </w:r>
      <w:r>
        <w:rPr>
          <w:rFonts w:hint="eastAsia" w:ascii="Times New Roman" w:hAnsi="Times New Roman" w:eastAsia="宋体" w:cs="Times New Roman"/>
          <w:sz w:val="24"/>
          <w:szCs w:val="21"/>
        </w:rPr>
        <w:t>条确定；</w:t>
      </w:r>
    </w:p>
    <w:p>
      <w:pPr>
        <w:widowControl w:val="0"/>
        <w:spacing w:line="480" w:lineRule="exact"/>
        <w:ind w:firstLine="960" w:firstLineChars="400"/>
        <w:rPr>
          <w:rFonts w:ascii="Times New Roman" w:hAnsi="Times New Roman" w:eastAsia="宋体" w:cs="Times New Roman"/>
          <w:sz w:val="24"/>
          <w:szCs w:val="21"/>
        </w:rPr>
      </w:pPr>
      <w:r>
        <w:rPr>
          <w:rFonts w:ascii="Times New Roman" w:hAnsi="Times New Roman" w:eastAsia="宋体" w:cs="Times New Roman"/>
          <w:position w:val="-14"/>
          <w:sz w:val="24"/>
          <w:szCs w:val="21"/>
        </w:rPr>
        <w:drawing>
          <wp:inline distT="0" distB="0" distL="0" distR="0">
            <wp:extent cx="182880" cy="236220"/>
            <wp:effectExtent l="0" t="0" r="0" b="5080"/>
            <wp:docPr id="72" name="图片 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true" noChangeArrowheads="true"/>
                    </pic:cNvPicPr>
                  </pic:nvPicPr>
                  <pic:blipFill>
                    <a:blip r:embed="rId506" cstate="print">
                      <a:extLst>
                        <a:ext uri="{28A0092B-C50C-407E-A947-70E740481C1C}">
                          <a14:useLocalDpi xmlns:a14="http://schemas.microsoft.com/office/drawing/2010/main" val="false"/>
                        </a:ext>
                      </a:extLst>
                    </a:blip>
                    <a:srcRect/>
                    <a:stretch>
                      <a:fillRect/>
                    </a:stretch>
                  </pic:blipFill>
                  <pic:spPr>
                    <a:xfrm>
                      <a:off x="0" y="0"/>
                      <a:ext cx="182880" cy="236220"/>
                    </a:xfrm>
                    <a:prstGeom prst="rect">
                      <a:avLst/>
                    </a:prstGeom>
                    <a:noFill/>
                    <a:ln>
                      <a:noFill/>
                    </a:ln>
                  </pic:spPr>
                </pic:pic>
              </a:graphicData>
            </a:graphic>
          </wp:inline>
        </w:drawing>
      </w:r>
      <w:r>
        <w:rPr>
          <w:rFonts w:ascii="Times New Roman" w:hAnsi="Times New Roman" w:eastAsia="宋体" w:cs="Times New Roman"/>
          <w:sz w:val="24"/>
        </w:rPr>
        <w:t>——</w:t>
      </w:r>
      <w:r>
        <w:rPr>
          <w:rFonts w:hint="eastAsia" w:ascii="Times New Roman" w:hAnsi="Times New Roman" w:eastAsia="宋体" w:cs="Times New Roman"/>
          <w:sz w:val="24"/>
          <w:szCs w:val="21"/>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1"/>
        </w:rPr>
        <w:t>层土钉轴向拉力调整系数，可按本</w:t>
      </w:r>
      <w:r>
        <w:rPr>
          <w:rFonts w:hint="eastAsia" w:ascii="Times New Roman" w:hAnsi="Times New Roman" w:cs="Times New Roman"/>
          <w:sz w:val="24"/>
          <w:szCs w:val="21"/>
          <w:lang w:eastAsia="zh-CN"/>
        </w:rPr>
        <w:t>标准</w:t>
      </w:r>
      <w:r>
        <w:rPr>
          <w:rFonts w:hint="eastAsia" w:ascii="Times New Roman" w:hAnsi="Times New Roman" w:eastAsia="宋体" w:cs="Times New Roman"/>
          <w:sz w:val="24"/>
          <w:szCs w:val="21"/>
        </w:rPr>
        <w:t>公式（</w:t>
      </w:r>
      <w:r>
        <w:rPr>
          <w:rFonts w:ascii="Times New Roman" w:hAnsi="Times New Roman" w:eastAsia="宋体" w:cs="Times New Roman"/>
          <w:sz w:val="24"/>
          <w:szCs w:val="21"/>
        </w:rPr>
        <w:t>9.2.5-1</w:t>
      </w:r>
      <w:r>
        <w:rPr>
          <w:rFonts w:hint="eastAsia" w:ascii="Times New Roman" w:hAnsi="Times New Roman" w:eastAsia="宋体" w:cs="Times New Roman"/>
          <w:sz w:val="24"/>
          <w:szCs w:val="21"/>
        </w:rPr>
        <w:t>）计算；</w:t>
      </w:r>
    </w:p>
    <w:p>
      <w:pPr>
        <w:widowControl w:val="0"/>
        <w:spacing w:line="480" w:lineRule="exact"/>
        <w:ind w:firstLine="840" w:firstLineChars="350"/>
        <w:rPr>
          <w:rFonts w:ascii="Times New Roman" w:hAnsi="Times New Roman" w:eastAsia="宋体" w:cs="Times New Roman"/>
          <w:sz w:val="24"/>
          <w:szCs w:val="21"/>
        </w:rPr>
      </w:pPr>
      <w:r>
        <w:rPr>
          <w:rFonts w:ascii="Times New Roman" w:hAnsi="Times New Roman" w:eastAsia="宋体" w:cs="Times New Roman"/>
          <w:position w:val="-14"/>
          <w:sz w:val="24"/>
        </w:rPr>
        <w:object>
          <v:shape id="_x0000_i1176" o:spt="75" type="#_x0000_t75" style="height:19.8pt;width:24pt;" o:ole="t" filled="f" o:preferrelative="t" stroked="f" coordsize="21600,21600">
            <v:path/>
            <v:fill on="f" focussize="0,0"/>
            <v:stroke on="f" joinstyle="miter"/>
            <v:imagedata r:id="rId508" o:title=""/>
            <o:lock v:ext="edit" aspectratio="t"/>
            <w10:wrap type="none"/>
            <w10:anchorlock/>
          </v:shape>
          <o:OLEObject Type="Embed" ProgID="Equation.DSMT4" ShapeID="_x0000_i1176" DrawAspect="Content" ObjectID="_1468075876" r:id="rId507">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1"/>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1"/>
        </w:rPr>
        <w:t>层土钉处的主动土压力强度标准值（</w:t>
      </w:r>
      <w:r>
        <w:rPr>
          <w:rFonts w:ascii="Times New Roman" w:hAnsi="Times New Roman" w:eastAsia="宋体" w:cs="Times New Roman"/>
          <w:sz w:val="24"/>
          <w:szCs w:val="21"/>
        </w:rPr>
        <w:t>kPa</w:t>
      </w:r>
      <w:r>
        <w:rPr>
          <w:rFonts w:hint="eastAsia" w:ascii="Times New Roman" w:hAnsi="Times New Roman" w:eastAsia="宋体" w:cs="Times New Roman"/>
          <w:sz w:val="24"/>
          <w:szCs w:val="21"/>
        </w:rPr>
        <w:t>）；</w:t>
      </w:r>
    </w:p>
    <w:p>
      <w:pPr>
        <w:widowControl w:val="0"/>
        <w:spacing w:line="480" w:lineRule="exact"/>
        <w:ind w:firstLine="840" w:firstLineChars="350"/>
        <w:rPr>
          <w:rFonts w:ascii="Times New Roman" w:hAnsi="Times New Roman" w:eastAsia="宋体" w:cs="Times New Roman"/>
          <w:sz w:val="24"/>
          <w:szCs w:val="21"/>
        </w:rPr>
      </w:pPr>
      <w:r>
        <w:rPr>
          <w:rFonts w:ascii="Times New Roman" w:hAnsi="Times New Roman" w:eastAsia="宋体" w:cs="Times New Roman"/>
          <w:position w:val="-14"/>
          <w:sz w:val="24"/>
        </w:rPr>
        <w:object>
          <v:shape id="_x0000_i1177" o:spt="75" type="#_x0000_t75" style="height:19.8pt;width:18pt;" o:ole="t" filled="f" o:preferrelative="t" stroked="f" coordsize="21600,21600">
            <v:path/>
            <v:fill on="f" focussize="0,0"/>
            <v:stroke on="f" joinstyle="miter"/>
            <v:imagedata r:id="rId510" o:title=""/>
            <o:lock v:ext="edit" aspectratio="t"/>
            <w10:wrap type="none"/>
            <w10:anchorlock/>
          </v:shape>
          <o:OLEObject Type="Embed" ProgID="Equation.DSMT4" ShapeID="_x0000_i1177" DrawAspect="Content" ObjectID="_1468075877" r:id="rId509">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1"/>
        </w:rPr>
        <w:t>土钉的水平间距（</w:t>
      </w:r>
      <w:r>
        <w:rPr>
          <w:rFonts w:ascii="Times New Roman" w:hAnsi="Times New Roman" w:eastAsia="宋体" w:cs="Times New Roman"/>
          <w:sz w:val="24"/>
          <w:szCs w:val="21"/>
        </w:rPr>
        <w:t>m</w:t>
      </w:r>
      <w:r>
        <w:rPr>
          <w:rFonts w:hint="eastAsia" w:ascii="Times New Roman" w:hAnsi="Times New Roman" w:eastAsia="宋体" w:cs="Times New Roman"/>
          <w:sz w:val="24"/>
          <w:szCs w:val="21"/>
        </w:rPr>
        <w:t>）；</w:t>
      </w:r>
    </w:p>
    <w:p>
      <w:pPr>
        <w:widowControl w:val="0"/>
        <w:spacing w:line="480" w:lineRule="exact"/>
        <w:ind w:firstLine="840" w:firstLineChars="350"/>
        <w:rPr>
          <w:rFonts w:ascii="Times New Roman" w:hAnsi="Times New Roman" w:eastAsia="宋体" w:cs="Times New Roman"/>
          <w:sz w:val="24"/>
          <w:szCs w:val="21"/>
        </w:rPr>
      </w:pPr>
      <w:r>
        <w:rPr>
          <w:rFonts w:ascii="Times New Roman" w:hAnsi="Times New Roman" w:eastAsia="宋体" w:cs="Times New Roman"/>
          <w:position w:val="-14"/>
          <w:sz w:val="24"/>
        </w:rPr>
        <w:object>
          <v:shape id="_x0000_i1178" o:spt="75" type="#_x0000_t75" style="height:19.8pt;width:18pt;" o:ole="t" filled="f" o:preferrelative="t" stroked="f" coordsize="21600,21600">
            <v:path/>
            <v:fill on="f" focussize="0,0"/>
            <v:stroke on="f" joinstyle="miter"/>
            <v:imagedata r:id="rId512" o:title=""/>
            <o:lock v:ext="edit" aspectratio="t"/>
            <w10:wrap type="none"/>
            <w10:anchorlock/>
          </v:shape>
          <o:OLEObject Type="Embed" ProgID="Equation.DSMT4" ShapeID="_x0000_i1178" DrawAspect="Content" ObjectID="_1468075878" r:id="rId511">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1"/>
        </w:rPr>
        <w:t>土钉的垂直间距（</w:t>
      </w:r>
      <w:r>
        <w:rPr>
          <w:rFonts w:ascii="Times New Roman" w:hAnsi="Times New Roman" w:eastAsia="宋体" w:cs="Times New Roman"/>
          <w:sz w:val="24"/>
          <w:szCs w:val="21"/>
        </w:rPr>
        <w:t>m</w:t>
      </w:r>
      <w:r>
        <w:rPr>
          <w:rFonts w:hint="eastAsia" w:ascii="Times New Roman" w:hAnsi="Times New Roman" w:eastAsia="宋体" w:cs="Times New Roman"/>
          <w:sz w:val="24"/>
          <w:szCs w:val="21"/>
        </w:rPr>
        <w:t>）。</w:t>
      </w:r>
    </w:p>
    <w:p>
      <w:pPr>
        <w:widowControl w:val="0"/>
        <w:tabs>
          <w:tab w:val="left" w:pos="540"/>
          <w:tab w:val="left" w:pos="1000"/>
        </w:tabs>
        <w:rPr>
          <w:rFonts w:ascii="Times New Roman" w:hAnsi="Times New Roman" w:eastAsia="宋体" w:cs="Times New Roman"/>
          <w:sz w:val="24"/>
          <w:szCs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4</w:t>
      </w:r>
      <w:r>
        <w:rPr>
          <w:rFonts w:hint="eastAsia" w:ascii="Times New Roman" w:hAnsi="Times New Roman" w:eastAsia="宋体" w:cs="Times New Roman"/>
          <w:sz w:val="24"/>
          <w:szCs w:val="24"/>
        </w:rPr>
        <w:t xml:space="preserve"> 坡面倾斜时的主动土压力折减系数可按下式计算：</w:t>
      </w:r>
    </w:p>
    <w:tbl>
      <w:tblPr>
        <w:tblStyle w:val="32"/>
        <w:tblW w:w="0" w:type="auto"/>
        <w:tblInd w:w="0" w:type="dxa"/>
        <w:tblLayout w:type="fixed"/>
        <w:tblCellMar>
          <w:top w:w="0" w:type="dxa"/>
          <w:left w:w="108" w:type="dxa"/>
          <w:bottom w:w="0" w:type="dxa"/>
          <w:right w:w="108" w:type="dxa"/>
        </w:tblCellMar>
      </w:tblPr>
      <w:tblGrid>
        <w:gridCol w:w="7196"/>
        <w:gridCol w:w="2658"/>
      </w:tblGrid>
      <w:tr>
        <w:tblPrEx>
          <w:tblCellMar>
            <w:top w:w="0" w:type="dxa"/>
            <w:left w:w="108" w:type="dxa"/>
            <w:bottom w:w="0" w:type="dxa"/>
            <w:right w:w="108" w:type="dxa"/>
          </w:tblCellMar>
        </w:tblPrEx>
        <w:trPr>
          <w:trHeight w:val="1298" w:hRule="atLeast"/>
        </w:trPr>
        <w:tc>
          <w:tcPr>
            <w:tcW w:w="7196" w:type="dxa"/>
            <w:vAlign w:val="center"/>
          </w:tcPr>
          <w:p>
            <w:pPr>
              <w:widowControl w:val="0"/>
              <w:jc w:val="right"/>
              <w:rPr>
                <w:rFonts w:ascii="Times New Roman" w:hAnsi="Times New Roman" w:eastAsia="宋体" w:cs="Times New Roman"/>
                <w:position w:val="-58"/>
                <w:sz w:val="24"/>
                <w:szCs w:val="21"/>
              </w:rPr>
            </w:pPr>
            <w:r>
              <w:rPr>
                <w:rFonts w:ascii="Times New Roman" w:hAnsi="Times New Roman" w:eastAsia="宋体" w:cs="Times New Roman"/>
                <w:position w:val="-54"/>
                <w:sz w:val="24"/>
                <w:szCs w:val="21"/>
              </w:rPr>
              <w:object>
                <v:shape id="_x0000_i1179" o:spt="75" type="#_x0000_t75" style="height:60pt;width:264pt;" o:ole="t" filled="f" o:preferrelative="t" stroked="f" coordsize="21600,21600">
                  <v:path/>
                  <v:fill on="f" focussize="0,0"/>
                  <v:stroke on="f" joinstyle="miter"/>
                  <v:imagedata r:id="rId514" o:title=""/>
                  <o:lock v:ext="edit" aspectratio="t"/>
                  <w10:wrap type="none"/>
                  <w10:anchorlock/>
                </v:shape>
                <o:OLEObject Type="Embed" ProgID="Equation.DSMT4" ShapeID="_x0000_i1179" DrawAspect="Content" ObjectID="_1468075879" r:id="rId513">
                  <o:LockedField>false</o:LockedField>
                </o:OLEObject>
              </w:object>
            </w:r>
          </w:p>
        </w:tc>
        <w:tc>
          <w:tcPr>
            <w:tcW w:w="2658" w:type="dxa"/>
            <w:vAlign w:val="center"/>
          </w:tcPr>
          <w:p>
            <w:pPr>
              <w:widowControl w:val="0"/>
              <w:jc w:val="right"/>
              <w:rPr>
                <w:rFonts w:ascii="Times New Roman" w:hAnsi="Times New Roman" w:eastAsia="宋体" w:cs="Times New Roman"/>
                <w:position w:val="-58"/>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9.2.4</w:t>
            </w:r>
            <w:r>
              <w:rPr>
                <w:rFonts w:hint="eastAsia" w:ascii="Times New Roman" w:hAnsi="Times New Roman" w:eastAsia="宋体" w:cs="Times New Roman"/>
                <w:sz w:val="24"/>
                <w:szCs w:val="24"/>
              </w:rPr>
              <w:t>）</w:t>
            </w:r>
          </w:p>
        </w:tc>
      </w:tr>
    </w:tbl>
    <w:p>
      <w:pPr>
        <w:widowControl w:val="0"/>
        <w:spacing w:line="48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position w:val="-10"/>
          <w:sz w:val="24"/>
        </w:rPr>
        <w:object>
          <v:shape id="_x0000_i1180" o:spt="75" type="#_x0000_t75" style="height:16.2pt;width:12pt;" o:ole="t" filled="f" o:preferrelative="t" stroked="f" coordsize="21600,21600">
            <v:path/>
            <v:fill on="f" focussize="0,0"/>
            <v:stroke on="f" joinstyle="miter"/>
            <v:imagedata r:id="rId516" o:title=""/>
            <o:lock v:ext="edit" aspectratio="t"/>
            <w10:wrap type="none"/>
            <w10:anchorlock/>
          </v:shape>
          <o:OLEObject Type="Embed" ProgID="Equation.DSMT4" ShapeID="_x0000_i1180" DrawAspect="Content" ObjectID="_1468075880" r:id="rId515">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土钉墙坡面与水平面的夹角</w:t>
      </w:r>
      <w:r>
        <w:rPr>
          <w:rFonts w:hint="eastAsia" w:ascii="Times New Roman" w:hAnsi="Times New Roman" w:eastAsia="宋体" w:cs="Times New Roman"/>
          <w:sz w:val="24"/>
          <w:szCs w:val="21"/>
        </w:rPr>
        <w:t>（</w:t>
      </w:r>
      <m:oMath>
        <m:r>
          <m:rPr/>
          <w:rPr>
            <w:rFonts w:ascii="Cambria Math" w:hAnsi="Cambria Math" w:eastAsia="Cambria Math" w:cs="Cambria Math"/>
            <w:sz w:val="24"/>
            <w:szCs w:val="21"/>
          </w:rPr>
          <m:t>°</m:t>
        </m:r>
      </m:oMath>
      <w:r>
        <w:rPr>
          <w:rFonts w:hint="eastAsia" w:ascii="Times New Roman" w:hAnsi="Times New Roman" w:eastAsia="宋体" w:cs="Times New Roman"/>
          <w:sz w:val="24"/>
          <w:szCs w:val="21"/>
        </w:rPr>
        <w:t>）</w:t>
      </w:r>
      <w:r>
        <w:rPr>
          <w:rFonts w:hint="eastAsia" w:ascii="Times New Roman" w:hAnsi="Times New Roman" w:eastAsia="宋体" w:cs="Times New Roman"/>
          <w:sz w:val="24"/>
          <w:szCs w:val="24"/>
        </w:rPr>
        <w:t>；</w:t>
      </w:r>
    </w:p>
    <w:p>
      <w:pPr>
        <w:widowControl w:val="0"/>
        <w:spacing w:line="480" w:lineRule="exact"/>
        <w:ind w:left="564" w:leftChars="235" w:firstLine="240" w:firstLineChars="100"/>
        <w:rPr>
          <w:rFonts w:ascii="Times New Roman" w:hAnsi="Times New Roman" w:eastAsia="宋体" w:cs="Times New Roman"/>
          <w:sz w:val="24"/>
          <w:szCs w:val="24"/>
        </w:rPr>
      </w:pPr>
      <w:r>
        <w:rPr>
          <w:rFonts w:ascii="Times New Roman" w:hAnsi="Times New Roman" w:eastAsia="宋体" w:cs="Times New Roman"/>
          <w:position w:val="-12"/>
          <w:sz w:val="24"/>
        </w:rPr>
        <w:object>
          <v:shape id="_x0000_i1181" o:spt="75" type="#_x0000_t75" style="height:18pt;width:16.2pt;" o:ole="t" filled="f" o:preferrelative="t" stroked="f" coordsize="21600,21600">
            <v:path/>
            <v:fill on="f" focussize="0,0"/>
            <v:stroke on="f" joinstyle="miter"/>
            <v:imagedata r:id="rId518" o:title=""/>
            <o:lock v:ext="edit" aspectratio="t"/>
            <w10:wrap type="none"/>
            <w10:anchorlock/>
          </v:shape>
          <o:OLEObject Type="Embed" ProgID="Equation.DSMT4" ShapeID="_x0000_i1181" DrawAspect="Content" ObjectID="_1468075881" r:id="rId517">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基坑底面以上各土层按土层厚度加权的等效内摩擦角平均值</w:t>
      </w:r>
      <w:r>
        <w:rPr>
          <w:rFonts w:hint="eastAsia" w:ascii="Times New Roman" w:hAnsi="Times New Roman" w:eastAsia="宋体" w:cs="Times New Roman"/>
          <w:sz w:val="24"/>
          <w:szCs w:val="21"/>
        </w:rPr>
        <w:t>（</w:t>
      </w:r>
      <m:oMath>
        <m:r>
          <m:rPr/>
          <w:rPr>
            <w:rFonts w:ascii="Cambria Math" w:hAnsi="Cambria Math" w:eastAsia="Cambria Math" w:cs="Cambria Math"/>
            <w:sz w:val="24"/>
            <w:szCs w:val="21"/>
          </w:rPr>
          <m:t>°</m:t>
        </m:r>
      </m:oMath>
      <w:r>
        <w:rPr>
          <w:rFonts w:hint="eastAsia" w:ascii="Times New Roman" w:hAnsi="Times New Roman" w:eastAsia="宋体" w:cs="Times New Roman"/>
          <w:sz w:val="24"/>
          <w:szCs w:val="21"/>
        </w:rPr>
        <w:t>）</w:t>
      </w:r>
      <w:r>
        <w:rPr>
          <w:rFonts w:hint="eastAsia" w:ascii="Times New Roman" w:hAnsi="Times New Roman" w:eastAsia="宋体" w:cs="Times New Roman"/>
          <w:sz w:val="24"/>
          <w:szCs w:val="24"/>
        </w:rPr>
        <w:t>。</w:t>
      </w:r>
    </w:p>
    <w:p>
      <w:pPr>
        <w:widowControl w:val="0"/>
        <w:tabs>
          <w:tab w:val="left" w:pos="1000"/>
        </w:tabs>
        <w:spacing w:line="480" w:lineRule="exact"/>
        <w:rPr>
          <w:rFonts w:ascii="Times New Roman" w:hAnsi="Times New Roman" w:eastAsia="宋体" w:cs="Times New Roman"/>
          <w:sz w:val="24"/>
          <w:szCs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5</w:t>
      </w:r>
      <w:r>
        <w:rPr>
          <w:rFonts w:hint="eastAsia" w:ascii="Times New Roman" w:hAnsi="Times New Roman" w:eastAsia="宋体" w:cs="Times New Roman"/>
          <w:b/>
          <w:bCs/>
          <w:sz w:val="24"/>
        </w:rPr>
        <w:t xml:space="preserve"> </w:t>
      </w:r>
      <w:r>
        <w:rPr>
          <w:rFonts w:hint="eastAsia" w:ascii="Times New Roman" w:hAnsi="Times New Roman" w:eastAsia="宋体" w:cs="Times New Roman"/>
          <w:sz w:val="24"/>
          <w:szCs w:val="24"/>
        </w:rPr>
        <w:t>土钉轴向拉力调整系数可按下列公式计算：</w:t>
      </w:r>
    </w:p>
    <w:tbl>
      <w:tblPr>
        <w:tblStyle w:val="32"/>
        <w:tblW w:w="10211" w:type="dxa"/>
        <w:tblInd w:w="-181" w:type="dxa"/>
        <w:tblLayout w:type="fixed"/>
        <w:tblCellMar>
          <w:top w:w="0" w:type="dxa"/>
          <w:left w:w="108" w:type="dxa"/>
          <w:bottom w:w="0" w:type="dxa"/>
          <w:right w:w="108" w:type="dxa"/>
        </w:tblCellMar>
      </w:tblPr>
      <w:tblGrid>
        <w:gridCol w:w="5284"/>
        <w:gridCol w:w="4927"/>
      </w:tblGrid>
      <w:tr>
        <w:tblPrEx>
          <w:tblCellMar>
            <w:top w:w="0" w:type="dxa"/>
            <w:left w:w="108" w:type="dxa"/>
            <w:bottom w:w="0" w:type="dxa"/>
            <w:right w:w="108" w:type="dxa"/>
          </w:tblCellMar>
        </w:tblPrEx>
        <w:tc>
          <w:tcPr>
            <w:tcW w:w="5284" w:type="dxa"/>
          </w:tcPr>
          <w:p>
            <w:pPr>
              <w:widowControl w:val="0"/>
              <w:tabs>
                <w:tab w:val="left" w:pos="1000"/>
              </w:tabs>
              <w:ind w:right="-180" w:rightChars="-75"/>
              <w:jc w:val="right"/>
              <w:rPr>
                <w:rFonts w:ascii="Times New Roman" w:hAnsi="Times New Roman" w:eastAsia="宋体" w:cs="Times New Roman"/>
                <w:position w:val="-24"/>
                <w:sz w:val="24"/>
                <w:szCs w:val="21"/>
              </w:rPr>
            </w:pPr>
            <w:r>
              <w:rPr>
                <w:rFonts w:ascii="Times New Roman" w:hAnsi="Times New Roman" w:eastAsia="宋体" w:cs="Times New Roman"/>
                <w:position w:val="-24"/>
                <w:sz w:val="24"/>
                <w:szCs w:val="21"/>
              </w:rPr>
              <w:object>
                <v:shape id="_x0000_i1182" o:spt="75" type="#_x0000_t75" style="height:33pt;width:105pt;" o:ole="t" filled="f" o:preferrelative="t" stroked="f" coordsize="21600,21600">
                  <v:path/>
                  <v:fill on="f" focussize="0,0"/>
                  <v:stroke on="f" joinstyle="miter"/>
                  <v:imagedata r:id="rId520" o:title=""/>
                  <o:lock v:ext="edit" aspectratio="t"/>
                  <w10:wrap type="none"/>
                  <w10:anchorlock/>
                </v:shape>
                <o:OLEObject Type="Embed" ProgID="Equation.DSMT4" ShapeID="_x0000_i1182" DrawAspect="Content" ObjectID="_1468075882" r:id="rId519">
                  <o:LockedField>false</o:LockedField>
                </o:OLEObject>
              </w:object>
            </w:r>
          </w:p>
        </w:tc>
        <w:tc>
          <w:tcPr>
            <w:tcW w:w="4927" w:type="dxa"/>
          </w:tcPr>
          <w:p>
            <w:pPr>
              <w:widowControl w:val="0"/>
              <w:tabs>
                <w:tab w:val="left" w:pos="1000"/>
              </w:tabs>
              <w:spacing w:line="720" w:lineRule="auto"/>
              <w:ind w:right="137" w:rightChars="57"/>
              <w:jc w:val="right"/>
              <w:rPr>
                <w:rFonts w:ascii="Times New Roman" w:hAnsi="Times New Roman" w:eastAsia="宋体" w:cs="Times New Roman"/>
                <w:position w:val="-24"/>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9.2.5-1</w:t>
            </w:r>
            <w:r>
              <w:rPr>
                <w:rFonts w:hint="eastAsia" w:ascii="Times New Roman" w:hAnsi="Times New Roman" w:eastAsia="宋体" w:cs="Times New Roman"/>
                <w:sz w:val="24"/>
                <w:szCs w:val="24"/>
              </w:rPr>
              <w:t>）</w:t>
            </w:r>
          </w:p>
        </w:tc>
      </w:tr>
      <w:tr>
        <w:tblPrEx>
          <w:tblCellMar>
            <w:top w:w="0" w:type="dxa"/>
            <w:left w:w="108" w:type="dxa"/>
            <w:bottom w:w="0" w:type="dxa"/>
            <w:right w:w="108" w:type="dxa"/>
          </w:tblCellMar>
        </w:tblPrEx>
        <w:tc>
          <w:tcPr>
            <w:tcW w:w="5284" w:type="dxa"/>
          </w:tcPr>
          <w:p>
            <w:pPr>
              <w:widowControl w:val="0"/>
              <w:tabs>
                <w:tab w:val="left" w:pos="1000"/>
              </w:tabs>
              <w:ind w:right="-180" w:rightChars="-75"/>
              <w:jc w:val="right"/>
              <w:rPr>
                <w:rFonts w:ascii="Times New Roman" w:hAnsi="Times New Roman" w:eastAsia="宋体" w:cs="Times New Roman"/>
                <w:position w:val="-24"/>
                <w:sz w:val="24"/>
                <w:szCs w:val="21"/>
              </w:rPr>
            </w:pPr>
            <w:r>
              <w:rPr>
                <w:rFonts w:ascii="Times New Roman" w:hAnsi="Times New Roman" w:eastAsia="宋体" w:cs="Times New Roman"/>
                <w:position w:val="-60"/>
                <w:sz w:val="24"/>
                <w:szCs w:val="21"/>
              </w:rPr>
              <w:object>
                <v:shape id="_x0000_i1183" o:spt="75" type="#_x0000_t75" style="height:64.8pt;width:111pt;" o:ole="t" filled="f" o:preferrelative="t" stroked="f" coordsize="21600,21600">
                  <v:path/>
                  <v:fill on="f" focussize="0,0"/>
                  <v:stroke on="f" joinstyle="miter"/>
                  <v:imagedata r:id="rId522" o:title=""/>
                  <o:lock v:ext="edit" aspectratio="t"/>
                  <w10:wrap type="none"/>
                  <w10:anchorlock/>
                </v:shape>
                <o:OLEObject Type="Embed" ProgID="Equation.DSMT4" ShapeID="_x0000_i1183" DrawAspect="Content" ObjectID="_1468075883" r:id="rId521">
                  <o:LockedField>false</o:LockedField>
                </o:OLEObject>
              </w:object>
            </w:r>
          </w:p>
        </w:tc>
        <w:tc>
          <w:tcPr>
            <w:tcW w:w="4927" w:type="dxa"/>
          </w:tcPr>
          <w:p>
            <w:pPr>
              <w:widowControl w:val="0"/>
              <w:tabs>
                <w:tab w:val="left" w:pos="1000"/>
              </w:tabs>
              <w:spacing w:line="1200" w:lineRule="auto"/>
              <w:ind w:right="137" w:rightChars="57"/>
              <w:jc w:val="right"/>
              <w:rPr>
                <w:rFonts w:ascii="Times New Roman" w:hAnsi="Times New Roman" w:eastAsia="宋体" w:cs="Times New Roman"/>
                <w:position w:val="-24"/>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9.2.5-2</w:t>
            </w:r>
            <w:r>
              <w:rPr>
                <w:rFonts w:hint="eastAsia" w:ascii="Times New Roman" w:hAnsi="Times New Roman" w:eastAsia="宋体" w:cs="Times New Roman"/>
                <w:sz w:val="24"/>
                <w:szCs w:val="24"/>
              </w:rPr>
              <w:t>）</w:t>
            </w:r>
          </w:p>
        </w:tc>
      </w:tr>
    </w:tbl>
    <w:p>
      <w:pPr>
        <w:widowControl w:val="0"/>
        <w:spacing w:line="48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sz w:val="24"/>
          <w:szCs w:val="24"/>
        </w:rPr>
        <w:t xml:space="preserve"> </w:t>
      </w:r>
      <w:r>
        <w:rPr>
          <w:rFonts w:ascii="Times New Roman" w:hAnsi="Times New Roman" w:eastAsia="宋体" w:cs="Times New Roman"/>
          <w:position w:val="-14"/>
          <w:sz w:val="24"/>
        </w:rPr>
        <w:object>
          <v:shape id="_x0000_i1184" o:spt="75" type="#_x0000_t75" style="height:19.8pt;width:15pt;" o:ole="t" filled="f" o:preferrelative="t" stroked="f" coordsize="21600,21600">
            <v:path/>
            <v:fill on="f" focussize="0,0"/>
            <v:stroke on="f" joinstyle="miter"/>
            <v:imagedata r:id="rId524" o:title=""/>
            <o:lock v:ext="edit" aspectratio="t"/>
            <w10:wrap type="none"/>
            <w10:anchorlock/>
          </v:shape>
          <o:OLEObject Type="Embed" ProgID="Equation.DSMT4" ShapeID="_x0000_i1184" DrawAspect="Content" ObjectID="_1468075884" r:id="rId523">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层土钉至基坑顶面的垂直距离（</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spacing w:line="480" w:lineRule="exact"/>
        <w:ind w:firstLine="960" w:firstLineChars="400"/>
        <w:rPr>
          <w:rFonts w:ascii="Times New Roman" w:hAnsi="Times New Roman" w:eastAsia="宋体" w:cs="Times New Roman"/>
          <w:sz w:val="24"/>
          <w:szCs w:val="24"/>
        </w:rPr>
      </w:pPr>
      <w:r>
        <w:rPr>
          <w:rFonts w:ascii="Times New Roman" w:hAnsi="Times New Roman" w:eastAsia="宋体" w:cs="Times New Roman"/>
          <w:position w:val="-6"/>
          <w:sz w:val="24"/>
          <w:szCs w:val="21"/>
        </w:rPr>
        <w:drawing>
          <wp:inline distT="0" distB="0" distL="0" distR="0">
            <wp:extent cx="121920" cy="182880"/>
            <wp:effectExtent l="0" t="0" r="0" b="0"/>
            <wp:docPr id="73"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true" noChangeArrowheads="true"/>
                    </pic:cNvPicPr>
                  </pic:nvPicPr>
                  <pic:blipFill>
                    <a:blip r:embed="rId525" cstate="print">
                      <a:extLst>
                        <a:ext uri="{28A0092B-C50C-407E-A947-70E740481C1C}">
                          <a14:useLocalDpi xmlns:a14="http://schemas.microsoft.com/office/drawing/2010/main" val="false"/>
                        </a:ext>
                      </a:extLst>
                    </a:blip>
                    <a:srcRect/>
                    <a:stretch>
                      <a:fillRect/>
                    </a:stretch>
                  </pic:blipFill>
                  <pic:spPr>
                    <a:xfrm>
                      <a:off x="0" y="0"/>
                      <a:ext cx="121920" cy="182880"/>
                    </a:xfrm>
                    <a:prstGeom prst="rect">
                      <a:avLst/>
                    </a:prstGeom>
                    <a:noFill/>
                    <a:ln>
                      <a:noFill/>
                    </a:ln>
                  </pic:spPr>
                </pic:pic>
              </a:graphicData>
            </a:graphic>
          </wp:inline>
        </w:drawing>
      </w:r>
      <w:r>
        <w:rPr>
          <w:rFonts w:ascii="Times New Roman" w:hAnsi="Times New Roman" w:eastAsia="宋体" w:cs="Times New Roman"/>
          <w:sz w:val="24"/>
        </w:rPr>
        <w:t>——</w:t>
      </w:r>
      <w:r>
        <w:rPr>
          <w:rFonts w:hint="eastAsia" w:ascii="Times New Roman" w:hAnsi="Times New Roman" w:eastAsia="宋体" w:cs="Times New Roman"/>
          <w:sz w:val="24"/>
          <w:szCs w:val="24"/>
        </w:rPr>
        <w:t>基坑深度（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position w:val="-14"/>
          <w:sz w:val="24"/>
        </w:rPr>
        <w:object>
          <v:shape id="_x0000_i1185" o:spt="75" type="#_x0000_t75" style="height:19.8pt;width:24pt;" o:ole="t" filled="f" o:preferrelative="t" stroked="f" coordsize="21600,21600">
            <v:path/>
            <v:fill on="f" focussize="0,0"/>
            <v:stroke on="f" joinstyle="miter"/>
            <v:imagedata r:id="rId527" o:title=""/>
            <o:lock v:ext="edit" aspectratio="t"/>
            <w10:wrap type="none"/>
            <w10:anchorlock/>
          </v:shape>
          <o:OLEObject Type="Embed" ProgID="Equation.DSMT4" ShapeID="_x0000_i1185" DrawAspect="Content" ObjectID="_1468075885" r:id="rId526">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作用在以</w:t>
      </w:r>
      <w:r>
        <w:rPr>
          <w:rFonts w:ascii="Times New Roman" w:hAnsi="Times New Roman" w:eastAsia="宋体" w:cs="Times New Roman"/>
          <w:position w:val="-14"/>
          <w:sz w:val="24"/>
        </w:rPr>
        <w:object>
          <v:shape id="_x0000_i1186" o:spt="75" type="#_x0000_t75" style="height:19.8pt;width:18pt;" o:ole="t" filled="f" o:preferrelative="t" stroked="f" coordsize="21600,21600">
            <v:path/>
            <v:fill on="f" focussize="0,0"/>
            <v:stroke on="f" joinstyle="miter"/>
            <v:imagedata r:id="rId510" o:title=""/>
            <o:lock v:ext="edit" aspectratio="t"/>
            <w10:wrap type="none"/>
            <w10:anchorlock/>
          </v:shape>
          <o:OLEObject Type="Embed" ProgID="Equation.DSMT4" ShapeID="_x0000_i1186" DrawAspect="Content" ObjectID="_1468075886" r:id="rId528">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position w:val="-14"/>
          <w:sz w:val="24"/>
        </w:rPr>
        <w:object>
          <v:shape id="_x0000_i1187" o:spt="75" type="#_x0000_t75" style="height:19.8pt;width:18pt;" o:ole="t" filled="f" o:preferrelative="t" stroked="f" coordsize="21600,21600">
            <v:path/>
            <v:fill on="f" focussize="0,0"/>
            <v:stroke on="f" joinstyle="miter"/>
            <v:imagedata r:id="rId512" o:title=""/>
            <o:lock v:ext="edit" aspectratio="t"/>
            <w10:wrap type="none"/>
            <w10:anchorlock/>
          </v:shape>
          <o:OLEObject Type="Embed" ProgID="Equation.DSMT4" ShapeID="_x0000_i1187" DrawAspect="Content" ObjectID="_1468075887" r:id="rId529">
            <o:LockedField>false</o:LockedField>
          </o:OLEObject>
        </w:object>
      </w:r>
      <w:r>
        <w:rPr>
          <w:rFonts w:hint="eastAsia" w:ascii="Times New Roman" w:hAnsi="Times New Roman" w:eastAsia="宋体" w:cs="Times New Roman"/>
          <w:sz w:val="24"/>
          <w:szCs w:val="24"/>
        </w:rPr>
        <w:t>为边长的面积内的主动土压力标准值（</w:t>
      </w:r>
      <w:r>
        <w:rPr>
          <w:rFonts w:ascii="Times New Roman" w:hAnsi="Times New Roman" w:eastAsia="宋体" w:cs="Times New Roman"/>
          <w:sz w:val="24"/>
          <w:szCs w:val="24"/>
        </w:rPr>
        <w:t>kN</w:t>
      </w:r>
      <w:r>
        <w:rPr>
          <w:rFonts w:hint="eastAsia" w:ascii="Times New Roman" w:hAnsi="Times New Roman" w:eastAsia="宋体" w:cs="Times New Roman"/>
          <w:sz w:val="24"/>
          <w:szCs w:val="24"/>
        </w:rPr>
        <w:t>）；</w:t>
      </w:r>
    </w:p>
    <w:p>
      <w:pPr>
        <w:widowControl w:val="0"/>
        <w:spacing w:line="480" w:lineRule="exact"/>
        <w:ind w:firstLine="840" w:firstLineChars="350"/>
        <w:rPr>
          <w:rFonts w:ascii="Times New Roman" w:hAnsi="Times New Roman" w:eastAsia="宋体" w:cs="Times New Roman"/>
          <w:sz w:val="24"/>
          <w:szCs w:val="24"/>
        </w:rPr>
      </w:pPr>
      <w:r>
        <w:rPr>
          <w:rFonts w:ascii="Times New Roman" w:hAnsi="Times New Roman" w:eastAsia="宋体" w:cs="Times New Roman"/>
          <w:position w:val="-12"/>
          <w:sz w:val="24"/>
        </w:rPr>
        <w:object>
          <v:shape id="_x0000_i1188" o:spt="75" type="#_x0000_t75" style="height:18pt;width:13.2pt;" o:ole="t" filled="f" o:preferrelative="t" stroked="f" coordsize="21600,21600">
            <v:path/>
            <v:fill on="f" focussize="0,0"/>
            <v:stroke on="f" joinstyle="miter"/>
            <v:imagedata r:id="rId531" o:title=""/>
            <o:lock v:ext="edit" aspectratio="t"/>
            <w10:wrap type="none"/>
            <w10:anchorlock/>
          </v:shape>
          <o:OLEObject Type="Embed" ProgID="Equation.DSMT4" ShapeID="_x0000_i1188" DrawAspect="Content" ObjectID="_1468075888" r:id="rId530">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计算系数；</w:t>
      </w:r>
    </w:p>
    <w:p>
      <w:pPr>
        <w:widowControl w:val="0"/>
        <w:spacing w:line="480" w:lineRule="exact"/>
        <w:ind w:left="1560" w:leftChars="350" w:hanging="720" w:hangingChars="300"/>
        <w:rPr>
          <w:rFonts w:ascii="Times New Roman" w:hAnsi="Times New Roman" w:eastAsia="宋体" w:cs="Times New Roman"/>
          <w:sz w:val="24"/>
          <w:szCs w:val="24"/>
        </w:rPr>
      </w:pPr>
      <w:r>
        <w:rPr>
          <w:rFonts w:ascii="Times New Roman" w:hAnsi="Times New Roman" w:eastAsia="宋体" w:cs="Times New Roman"/>
          <w:position w:val="-12"/>
          <w:sz w:val="24"/>
        </w:rPr>
        <w:object>
          <v:shape id="_x0000_i1189" o:spt="75" type="#_x0000_t75" style="height:18pt;width:13.2pt;" o:ole="t" filled="f" o:preferrelative="t" stroked="f" coordsize="21600,21600">
            <v:path/>
            <v:fill on="f" focussize="0,0"/>
            <v:stroke on="f" joinstyle="miter"/>
            <v:imagedata r:id="rId533" o:title=""/>
            <o:lock v:ext="edit" aspectratio="t"/>
            <w10:wrap type="none"/>
            <w10:anchorlock/>
          </v:shape>
          <o:OLEObject Type="Embed" ProgID="Equation.DSMT4" ShapeID="_x0000_i1189" DrawAspect="Content" ObjectID="_1468075889" r:id="rId532">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经验系数，可取</w:t>
      </w:r>
      <w:r>
        <w:rPr>
          <w:rFonts w:ascii="Times New Roman" w:hAnsi="Times New Roman" w:eastAsia="宋体" w:cs="Times New Roman"/>
          <w:sz w:val="24"/>
          <w:szCs w:val="24"/>
        </w:rPr>
        <w:t xml:space="preserve">0.6~1.0 </w:t>
      </w:r>
      <w:r>
        <w:rPr>
          <w:rFonts w:hint="eastAsia" w:ascii="Times New Roman" w:hAnsi="Times New Roman" w:eastAsia="宋体" w:cs="Times New Roman"/>
          <w:sz w:val="24"/>
          <w:szCs w:val="24"/>
        </w:rPr>
        <w:t>（硬塑以上粘性土取</w:t>
      </w:r>
      <w:r>
        <w:rPr>
          <w:rFonts w:ascii="Times New Roman" w:hAnsi="Times New Roman" w:eastAsia="宋体" w:cs="Times New Roman"/>
          <w:sz w:val="24"/>
          <w:szCs w:val="24"/>
        </w:rPr>
        <w:t>0.5</w:t>
      </w:r>
      <w:r>
        <w:rPr>
          <w:rFonts w:hint="eastAsia" w:ascii="Times New Roman" w:hAnsi="Times New Roman" w:eastAsia="宋体" w:cs="Times New Roman"/>
          <w:sz w:val="24"/>
          <w:szCs w:val="24"/>
        </w:rPr>
        <w:t>，一般粘性土取</w:t>
      </w:r>
      <w:r>
        <w:rPr>
          <w:rFonts w:ascii="Times New Roman" w:hAnsi="Times New Roman" w:eastAsia="宋体" w:cs="Times New Roman"/>
          <w:sz w:val="24"/>
          <w:szCs w:val="24"/>
        </w:rPr>
        <w:t>0.6</w:t>
      </w:r>
      <w:r>
        <w:rPr>
          <w:rFonts w:hint="eastAsia" w:ascii="Times New Roman" w:hAnsi="Times New Roman" w:eastAsia="宋体" w:cs="Times New Roman"/>
          <w:sz w:val="24"/>
          <w:szCs w:val="24"/>
        </w:rPr>
        <w:t>；砂土、软土取</w:t>
      </w:r>
      <w:r>
        <w:rPr>
          <w:rFonts w:ascii="Times New Roman" w:hAnsi="Times New Roman" w:eastAsia="宋体" w:cs="Times New Roman"/>
          <w:sz w:val="24"/>
          <w:szCs w:val="24"/>
        </w:rPr>
        <w:t>0.7</w:t>
      </w:r>
      <w:r>
        <w:rPr>
          <w:rFonts w:hint="eastAsia" w:ascii="Times New Roman" w:hAnsi="Times New Roman" w:eastAsia="宋体" w:cs="Times New Roman"/>
          <w:sz w:val="24"/>
          <w:szCs w:val="24"/>
        </w:rPr>
        <w:t>；淤泥取</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p>
    <w:p>
      <w:pPr>
        <w:widowControl w:val="0"/>
        <w:spacing w:line="480" w:lineRule="exact"/>
        <w:ind w:firstLine="960" w:firstLineChars="400"/>
        <w:rPr>
          <w:rFonts w:ascii="Times New Roman" w:hAnsi="Times New Roman" w:eastAsia="宋体" w:cs="Times New Roman"/>
          <w:sz w:val="24"/>
          <w:szCs w:val="24"/>
        </w:rPr>
      </w:pPr>
      <w:r>
        <w:rPr>
          <w:rFonts w:ascii="Times New Roman" w:hAnsi="Times New Roman" w:eastAsia="宋体" w:cs="Times New Roman"/>
          <w:i/>
          <w:sz w:val="24"/>
          <w:szCs w:val="24"/>
        </w:rPr>
        <w:t>n</w:t>
      </w:r>
      <w:r>
        <w:rPr>
          <w:rFonts w:ascii="Times New Roman" w:hAnsi="Times New Roman" w:eastAsia="宋体" w:cs="Times New Roman"/>
          <w:sz w:val="24"/>
        </w:rPr>
        <w:t>——</w:t>
      </w:r>
      <w:r>
        <w:rPr>
          <w:rFonts w:hint="eastAsia" w:ascii="Times New Roman" w:hAnsi="Times New Roman" w:eastAsia="宋体" w:cs="Times New Roman"/>
          <w:sz w:val="24"/>
          <w:szCs w:val="24"/>
        </w:rPr>
        <w:t>土钉层数。</w:t>
      </w:r>
    </w:p>
    <w:p>
      <w:pPr>
        <w:widowControl w:val="0"/>
        <w:tabs>
          <w:tab w:val="left" w:pos="540"/>
          <w:tab w:val="left" w:pos="1000"/>
        </w:tabs>
        <w:spacing w:line="480" w:lineRule="exact"/>
        <w:rPr>
          <w:rFonts w:ascii="Times New Roman" w:hAnsi="Times New Roman" w:eastAsia="宋体" w:cs="Times New Roman"/>
          <w:sz w:val="24"/>
          <w:szCs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6</w:t>
      </w:r>
      <w:r>
        <w:rPr>
          <w:rFonts w:hint="eastAsia" w:ascii="Times New Roman" w:hAnsi="Times New Roman" w:eastAsia="宋体" w:cs="Times New Roman"/>
          <w:sz w:val="24"/>
          <w:szCs w:val="24"/>
        </w:rPr>
        <w:t xml:space="preserve"> 单根土钉的极限抗拔承载力应按下列规定确定：</w:t>
      </w:r>
    </w:p>
    <w:p>
      <w:pPr>
        <w:widowControl w:val="0"/>
        <w:tabs>
          <w:tab w:val="left" w:pos="540"/>
          <w:tab w:val="left" w:pos="1000"/>
        </w:tabs>
        <w:spacing w:line="480" w:lineRule="exac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1 对安全等级为二级的土钉墙，单根土钉的极限抗拔承载力应通过抗拔试验确定，其试验方法应符合本</w:t>
      </w:r>
      <w:r>
        <w:rPr>
          <w:rFonts w:hint="eastAsia" w:ascii="Times New Roman" w:hAnsi="Times New Roman" w:cs="Times New Roman"/>
          <w:sz w:val="24"/>
          <w:szCs w:val="24"/>
          <w:lang w:eastAsia="zh-CN"/>
        </w:rPr>
        <w:t>标准</w:t>
      </w:r>
      <w:r>
        <w:rPr>
          <w:rFonts w:hint="eastAsia" w:ascii="Times New Roman" w:hAnsi="Times New Roman" w:eastAsia="宋体" w:cs="Times New Roman"/>
          <w:sz w:val="24"/>
          <w:szCs w:val="24"/>
        </w:rPr>
        <w:t>附录B的规定</w:t>
      </w:r>
      <w:r>
        <w:rPr>
          <w:rFonts w:hint="eastAsia" w:ascii="Times New Roman" w:hAnsi="Times New Roman" w:cs="Times New Roman"/>
          <w:sz w:val="24"/>
          <w:szCs w:val="24"/>
          <w:lang w:eastAsia="zh-CN"/>
        </w:rPr>
        <w:t>；</w:t>
      </w:r>
    </w:p>
    <w:p>
      <w:pPr>
        <w:widowControl w:val="0"/>
        <w:tabs>
          <w:tab w:val="left" w:pos="540"/>
          <w:tab w:val="left" w:pos="1000"/>
        </w:tabs>
        <w:spacing w:line="480" w:lineRule="exac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2 对安全等级为三级的土钉墙，单根土钉的极限拉拔承载力标准值可按下式估算，并通过土钉抗拔试验进行验证，其试验方法应符合本</w:t>
      </w:r>
      <w:r>
        <w:rPr>
          <w:rFonts w:hint="eastAsia" w:ascii="Times New Roman" w:hAnsi="Times New Roman" w:cs="Times New Roman"/>
          <w:sz w:val="24"/>
          <w:szCs w:val="24"/>
          <w:lang w:eastAsia="zh-CN"/>
        </w:rPr>
        <w:t>标准</w:t>
      </w:r>
      <w:r>
        <w:rPr>
          <w:rFonts w:hint="eastAsia" w:ascii="Times New Roman" w:hAnsi="Times New Roman" w:eastAsia="宋体" w:cs="Times New Roman"/>
          <w:sz w:val="24"/>
          <w:szCs w:val="24"/>
        </w:rPr>
        <w:t>附录B的规定</w:t>
      </w:r>
      <w:r>
        <w:rPr>
          <w:rFonts w:hint="eastAsia" w:ascii="Times New Roman" w:hAnsi="Times New Roman" w:cs="Times New Roman"/>
          <w:sz w:val="24"/>
          <w:szCs w:val="24"/>
          <w:lang w:eastAsia="zh-CN"/>
        </w:rPr>
        <w:t>；</w:t>
      </w:r>
    </w:p>
    <w:tbl>
      <w:tblPr>
        <w:tblStyle w:val="32"/>
        <w:tblW w:w="9854" w:type="dxa"/>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276" w:lineRule="auto"/>
              <w:jc w:val="right"/>
              <w:rPr>
                <w:rFonts w:ascii="Times New Roman" w:hAnsi="Times New Roman" w:eastAsia="宋体" w:cs="Times New Roman"/>
                <w:position w:val="-14"/>
                <w:sz w:val="24"/>
                <w:szCs w:val="21"/>
              </w:rPr>
            </w:pPr>
            <w:r>
              <w:rPr>
                <w:rFonts w:ascii="Times New Roman" w:hAnsi="Times New Roman" w:eastAsia="宋体" w:cs="Times New Roman"/>
                <w:position w:val="-14"/>
                <w:sz w:val="24"/>
                <w:szCs w:val="21"/>
              </w:rPr>
              <w:object>
                <v:shape id="_x0000_i1190" o:spt="75" type="#_x0000_t75" style="height:21pt;width:90pt;" o:ole="t" filled="f" o:preferrelative="t" stroked="f" coordsize="21600,21600">
                  <v:path/>
                  <v:fill on="f" focussize="0,0"/>
                  <v:stroke on="f" joinstyle="miter"/>
                  <v:imagedata r:id="rId535" o:title=""/>
                  <o:lock v:ext="edit" aspectratio="t"/>
                  <w10:wrap type="none"/>
                  <w10:anchorlock/>
                </v:shape>
                <o:OLEObject Type="Embed" ProgID="Equation.DSMT4" ShapeID="_x0000_i1190" DrawAspect="Content" ObjectID="_1468075890" r:id="rId534">
                  <o:LockedField>false</o:LockedField>
                </o:OLEObject>
              </w:object>
            </w:r>
          </w:p>
        </w:tc>
        <w:tc>
          <w:tcPr>
            <w:tcW w:w="4927" w:type="dxa"/>
          </w:tcPr>
          <w:p>
            <w:pPr>
              <w:widowControl w:val="0"/>
              <w:spacing w:line="480" w:lineRule="auto"/>
              <w:jc w:val="right"/>
              <w:rPr>
                <w:rFonts w:ascii="Times New Roman" w:hAnsi="Times New Roman" w:eastAsia="宋体" w:cs="Times New Roman"/>
                <w:position w:val="-14"/>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9.2.6</w:t>
            </w:r>
            <w:r>
              <w:rPr>
                <w:rFonts w:hint="eastAsia" w:ascii="Times New Roman" w:hAnsi="Times New Roman" w:eastAsia="宋体" w:cs="Times New Roman"/>
                <w:sz w:val="24"/>
                <w:szCs w:val="24"/>
              </w:rPr>
              <w:t>）</w:t>
            </w:r>
          </w:p>
        </w:tc>
      </w:tr>
    </w:tbl>
    <w:p>
      <w:pPr>
        <w:widowControl w:val="0"/>
        <w:spacing w:line="48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sz w:val="24"/>
          <w:szCs w:val="24"/>
        </w:rPr>
        <w:t xml:space="preserve"> </w:t>
      </w:r>
      <w:r>
        <w:rPr>
          <w:rFonts w:ascii="Times New Roman" w:hAnsi="Times New Roman" w:eastAsia="宋体" w:cs="Times New Roman"/>
          <w:position w:val="-14"/>
          <w:sz w:val="24"/>
          <w:szCs w:val="21"/>
        </w:rPr>
        <w:drawing>
          <wp:inline distT="0" distB="0" distL="0" distR="0">
            <wp:extent cx="182880" cy="236220"/>
            <wp:effectExtent l="0" t="0" r="0" b="6350"/>
            <wp:docPr id="76"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true" noChangeArrowheads="true"/>
                    </pic:cNvPicPr>
                  </pic:nvPicPr>
                  <pic:blipFill>
                    <a:blip r:embed="rId536" cstate="print">
                      <a:extLst>
                        <a:ext uri="{28A0092B-C50C-407E-A947-70E740481C1C}">
                          <a14:useLocalDpi xmlns:a14="http://schemas.microsoft.com/office/drawing/2010/main" val="false"/>
                        </a:ext>
                      </a:extLst>
                    </a:blip>
                    <a:srcRect/>
                    <a:stretch>
                      <a:fillRect/>
                    </a:stretch>
                  </pic:blipFill>
                  <pic:spPr>
                    <a:xfrm>
                      <a:off x="0" y="0"/>
                      <a:ext cx="182880" cy="236220"/>
                    </a:xfrm>
                    <a:prstGeom prst="rect">
                      <a:avLst/>
                    </a:prstGeom>
                    <a:noFill/>
                    <a:ln>
                      <a:noFill/>
                    </a:ln>
                  </pic:spPr>
                </pic:pic>
              </a:graphicData>
            </a:graphic>
          </wp:inline>
        </w:drawing>
      </w:r>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4"/>
        </w:rPr>
        <w:t>层土钉的锚固体直径（</w:t>
      </w:r>
      <w:r>
        <w:rPr>
          <w:rFonts w:ascii="Times New Roman" w:hAnsi="Times New Roman" w:eastAsia="宋体" w:cs="Times New Roman"/>
          <w:sz w:val="24"/>
          <w:szCs w:val="24"/>
        </w:rPr>
        <w:t>m</w:t>
      </w:r>
      <w:r>
        <w:rPr>
          <w:rFonts w:hint="eastAsia" w:ascii="Times New Roman" w:hAnsi="Times New Roman" w:eastAsia="宋体" w:cs="Times New Roman"/>
          <w:sz w:val="24"/>
          <w:szCs w:val="24"/>
        </w:rPr>
        <w:t>）；对成孔注浆土钉，按成孔直径计算，</w:t>
      </w:r>
    </w:p>
    <w:p>
      <w:pPr>
        <w:widowControl w:val="0"/>
        <w:spacing w:line="480" w:lineRule="exact"/>
        <w:ind w:left="1560" w:leftChars="650"/>
        <w:rPr>
          <w:rFonts w:ascii="Times New Roman" w:hAnsi="Times New Roman" w:eastAsia="宋体" w:cs="Times New Roman"/>
          <w:sz w:val="24"/>
          <w:szCs w:val="24"/>
        </w:rPr>
      </w:pPr>
      <w:r>
        <w:rPr>
          <w:rFonts w:hint="eastAsia" w:ascii="Times New Roman" w:hAnsi="Times New Roman" w:eastAsia="宋体" w:cs="Times New Roman"/>
          <w:sz w:val="24"/>
          <w:szCs w:val="24"/>
        </w:rPr>
        <w:t>对打入钢管土钉，按钢管外径计算；</w:t>
      </w:r>
    </w:p>
    <w:p>
      <w:pPr>
        <w:widowControl w:val="0"/>
        <w:spacing w:line="480" w:lineRule="exact"/>
        <w:ind w:left="1560" w:leftChars="350" w:hanging="720" w:hangingChars="300"/>
        <w:rPr>
          <w:rFonts w:ascii="Times New Roman" w:hAnsi="Times New Roman" w:eastAsia="宋体" w:cs="Times New Roman"/>
          <w:sz w:val="24"/>
          <w:szCs w:val="24"/>
        </w:rPr>
      </w:pPr>
      <w:r>
        <w:rPr>
          <w:rFonts w:ascii="Times New Roman" w:hAnsi="Times New Roman" w:eastAsia="宋体" w:cs="Times New Roman"/>
          <w:position w:val="-14"/>
          <w:sz w:val="24"/>
        </w:rPr>
        <w:object>
          <v:shape id="_x0000_i1191" o:spt="75" type="#_x0000_t75" style="height:19.8pt;width:21pt;" o:ole="t" filled="f" o:preferrelative="t" stroked="f" coordsize="21600,21600">
            <v:path/>
            <v:fill on="f" focussize="0,0"/>
            <v:stroke on="f" joinstyle="miter"/>
            <v:imagedata r:id="rId538" o:title=""/>
            <o:lock v:ext="edit" aspectratio="t"/>
            <w10:wrap type="none"/>
            <w10:anchorlock/>
          </v:shape>
          <o:OLEObject Type="Embed" ProgID="Equation.DSMT4" ShapeID="_x0000_i1191" DrawAspect="Content" ObjectID="_1468075891" r:id="rId537">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4"/>
        </w:rPr>
        <w:t>层土钉在第</w:t>
      </w:r>
      <w:r>
        <w:rPr>
          <w:rFonts w:ascii="Times New Roman" w:hAnsi="Times New Roman" w:eastAsia="宋体" w:cs="Times New Roman"/>
          <w:i/>
          <w:sz w:val="24"/>
          <w:szCs w:val="24"/>
        </w:rPr>
        <w:t>i</w:t>
      </w:r>
      <w:r>
        <w:rPr>
          <w:rFonts w:hint="eastAsia" w:ascii="Times New Roman" w:hAnsi="Times New Roman" w:eastAsia="宋体" w:cs="Times New Roman"/>
          <w:sz w:val="24"/>
          <w:szCs w:val="24"/>
        </w:rPr>
        <w:t>土层的极限粘结强度标准值（</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），应根据经验或按表</w:t>
      </w:r>
      <w:r>
        <w:rPr>
          <w:rFonts w:ascii="Times New Roman" w:hAnsi="Times New Roman" w:eastAsia="宋体" w:cs="Times New Roman"/>
          <w:sz w:val="24"/>
          <w:szCs w:val="24"/>
        </w:rPr>
        <w:t>9.2.6</w:t>
      </w:r>
      <w:r>
        <w:rPr>
          <w:rFonts w:hint="eastAsia" w:ascii="Times New Roman" w:hAnsi="Times New Roman" w:eastAsia="宋体" w:cs="Times New Roman"/>
          <w:sz w:val="24"/>
          <w:szCs w:val="24"/>
        </w:rPr>
        <w:t>取值；</w:t>
      </w:r>
    </w:p>
    <w:p>
      <w:pPr>
        <w:widowControl w:val="0"/>
        <w:spacing w:line="880" w:lineRule="exact"/>
        <w:ind w:left="1560" w:leftChars="400" w:hanging="600" w:hangingChars="250"/>
        <w:jc w:val="left"/>
        <w:rPr>
          <w:rFonts w:ascii="Times New Roman" w:hAnsi="Times New Roman" w:eastAsia="宋体" w:cs="Times New Roman"/>
          <w:sz w:val="24"/>
          <w:szCs w:val="24"/>
        </w:rPr>
      </w:pPr>
      <w:r>
        <w:rPr>
          <w:rFonts w:ascii="Times New Roman" w:hAnsi="Times New Roman" w:eastAsia="宋体" w:cs="Times New Roman"/>
          <w:position w:val="-12"/>
          <w:sz w:val="24"/>
          <w:szCs w:val="21"/>
        </w:rPr>
        <w:drawing>
          <wp:inline distT="0" distB="0" distL="0" distR="0">
            <wp:extent cx="114300" cy="228600"/>
            <wp:effectExtent l="0" t="0" r="0" b="0"/>
            <wp:docPr id="199" name="图片 1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true" noChangeArrowheads="true"/>
                    </pic:cNvPicPr>
                  </pic:nvPicPr>
                  <pic:blipFill>
                    <a:blip r:embed="rId539" cstate="print">
                      <a:extLst>
                        <a:ext uri="{28A0092B-C50C-407E-A947-70E740481C1C}">
                          <a14:useLocalDpi xmlns:a14="http://schemas.microsoft.com/office/drawing/2010/main" val="false"/>
                        </a:ext>
                      </a:extLst>
                    </a:blip>
                    <a:srcRect/>
                    <a:stretch>
                      <a:fillRect/>
                    </a:stretch>
                  </pic:blipFill>
                  <pic:spPr>
                    <a:xfrm>
                      <a:off x="0" y="0"/>
                      <a:ext cx="114300" cy="228600"/>
                    </a:xfrm>
                    <a:prstGeom prst="rect">
                      <a:avLst/>
                    </a:prstGeom>
                    <a:noFill/>
                    <a:ln>
                      <a:noFill/>
                    </a:ln>
                  </pic:spPr>
                </pic:pic>
              </a:graphicData>
            </a:graphic>
          </wp:inline>
        </w:drawing>
      </w:r>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4"/>
        </w:rPr>
        <w:t>层土钉在滑动面外第</w:t>
      </w:r>
      <w:r>
        <w:rPr>
          <w:rFonts w:ascii="Times New Roman" w:hAnsi="Times New Roman" w:eastAsia="宋体" w:cs="Times New Roman"/>
          <w:i/>
          <w:sz w:val="24"/>
          <w:szCs w:val="24"/>
        </w:rPr>
        <w:t>i</w:t>
      </w:r>
      <w:r>
        <w:rPr>
          <w:rFonts w:hint="eastAsia" w:ascii="Times New Roman" w:hAnsi="Times New Roman" w:eastAsia="宋体" w:cs="Times New Roman"/>
          <w:sz w:val="24"/>
          <w:szCs w:val="24"/>
        </w:rPr>
        <w:t>土层中的长度（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），直线滑动面</w:t>
      </w:r>
      <w:r>
        <w:rPr>
          <w:rFonts w:ascii="Times New Roman" w:hAnsi="Times New Roman" w:eastAsia="宋体" w:cs="Times New Roman"/>
          <w:sz w:val="24"/>
          <w:szCs w:val="24"/>
        </w:rPr>
        <w:t>与水平面的夹角取</w:t>
      </w:r>
      <w:r>
        <w:rPr>
          <w:rFonts w:ascii="Times New Roman" w:hAnsi="Times New Roman" w:eastAsia="宋体" w:cs="Times New Roman"/>
          <w:position w:val="-24"/>
          <w:sz w:val="24"/>
          <w:szCs w:val="21"/>
        </w:rPr>
        <w:object>
          <v:shape id="_x0000_i1192" o:spt="75" type="#_x0000_t75" style="height:34.2pt;width:43.2pt;" o:ole="t" filled="f" o:preferrelative="t" stroked="f" coordsize="21600,21600">
            <v:path/>
            <v:fill on="f" focussize="0,0"/>
            <v:stroke on="f" joinstyle="miter"/>
            <v:imagedata r:id="rId541" o:title=""/>
            <o:lock v:ext="edit" aspectratio="t"/>
            <w10:wrap type="none"/>
            <w10:anchorlock/>
          </v:shape>
          <o:OLEObject Type="Embed" ProgID="Equation.DSMT4" ShapeID="_x0000_i1192" DrawAspect="Content" ObjectID="_1468075892" r:id="rId540">
            <o:LockedField>false</o:LockedField>
          </o:OLEObject>
        </w:object>
      </w:r>
      <w:r>
        <w:rPr>
          <w:rFonts w:hint="eastAsia" w:ascii="Times New Roman" w:hAnsi="Times New Roman" w:eastAsia="宋体" w:cs="Times New Roman"/>
          <w:sz w:val="24"/>
          <w:szCs w:val="24"/>
        </w:rPr>
        <w:t>。</w:t>
      </w:r>
    </w:p>
    <w:tbl>
      <w:tblPr>
        <w:tblStyle w:val="32"/>
        <w:tblpPr w:leftFromText="180" w:rightFromText="180" w:vertAnchor="text" w:horzAnchor="margin" w:tblpXSpec="center" w:tblpY="6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2182"/>
        <w:gridCol w:w="2191"/>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trPr>
        <w:tc>
          <w:tcPr>
            <w:tcW w:w="2173" w:type="dxa"/>
            <w:vMerge w:val="restart"/>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土的名称</w:t>
            </w:r>
          </w:p>
        </w:tc>
        <w:tc>
          <w:tcPr>
            <w:tcW w:w="2182" w:type="dxa"/>
            <w:vMerge w:val="restart"/>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土的状态</w:t>
            </w:r>
          </w:p>
        </w:tc>
        <w:tc>
          <w:tcPr>
            <w:tcW w:w="4385" w:type="dxa"/>
            <w:gridSpan w:val="2"/>
            <w:vAlign w:val="center"/>
          </w:tcPr>
          <w:p>
            <w:pPr>
              <w:widowControl w:val="0"/>
              <w:jc w:val="center"/>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193" o:spt="75" type="#_x0000_t75" style="height:18pt;width:16.2pt;" o:ole="t" filled="f" o:preferrelative="t" stroked="f" coordsize="21600,21600">
                  <v:path/>
                  <v:fill on="f" focussize="0,0"/>
                  <v:stroke on="f" joinstyle="miter"/>
                  <v:imagedata r:id="rId543" o:title=""/>
                  <o:lock v:ext="edit" aspectratio="t"/>
                  <w10:wrap type="none"/>
                  <w10:anchorlock/>
                </v:shape>
                <o:OLEObject Type="Embed" ProgID="Equation.DSMT4" ShapeID="_x0000_i1193" DrawAspect="Content" ObjectID="_1468075893" r:id="rId542">
                  <o:LockedField>false</o:LockedField>
                </o:OLEObject>
              </w:object>
            </w:r>
            <w:r>
              <w:rPr>
                <w:rFonts w:hint="eastAsia" w:ascii="Times New Roman" w:hAnsi="Times New Roman" w:eastAsia="宋体" w:cs="Times New Roman"/>
                <w:sz w:val="21"/>
                <w:szCs w:val="21"/>
              </w:rPr>
              <w:t>（</w:t>
            </w:r>
            <w:r>
              <w:rPr>
                <w:rFonts w:ascii="Times New Roman" w:hAnsi="Times New Roman" w:eastAsia="宋体" w:cs="Times New Roman"/>
                <w:sz w:val="21"/>
                <w:szCs w:val="21"/>
              </w:rPr>
              <w:t>kPa</w:t>
            </w: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成孔注浆土钉</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打入钢管土钉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173"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素填土</w:t>
            </w:r>
          </w:p>
        </w:tc>
        <w:tc>
          <w:tcPr>
            <w:tcW w:w="2182" w:type="dxa"/>
            <w:vAlign w:val="center"/>
          </w:tcPr>
          <w:p>
            <w:pPr>
              <w:widowControl w:val="0"/>
              <w:spacing w:line="240" w:lineRule="exact"/>
              <w:jc w:val="center"/>
              <w:rPr>
                <w:rFonts w:ascii="Times New Roman" w:hAnsi="Times New Roman" w:eastAsia="宋体" w:cs="Times New Roman"/>
                <w:sz w:val="21"/>
                <w:szCs w:val="21"/>
              </w:rPr>
            </w:pP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15～30</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173"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淤泥质土</w:t>
            </w:r>
          </w:p>
        </w:tc>
        <w:tc>
          <w:tcPr>
            <w:tcW w:w="2182" w:type="dxa"/>
            <w:vAlign w:val="center"/>
          </w:tcPr>
          <w:p>
            <w:pPr>
              <w:widowControl w:val="0"/>
              <w:spacing w:line="240" w:lineRule="exact"/>
              <w:jc w:val="center"/>
              <w:rPr>
                <w:rFonts w:ascii="Times New Roman" w:hAnsi="Times New Roman" w:eastAsia="宋体" w:cs="Times New Roman"/>
                <w:sz w:val="21"/>
                <w:szCs w:val="21"/>
              </w:rPr>
            </w:pP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10～20</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restart"/>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粘性土</w:t>
            </w: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0.75＜ </w:t>
            </w:r>
            <w:r>
              <w:rPr>
                <w:rFonts w:hint="eastAsia" w:ascii="Times New Roman" w:hAnsi="Times New Roman" w:eastAsia="宋体" w:cs="Times New Roman"/>
                <w:i/>
                <w:sz w:val="21"/>
                <w:szCs w:val="21"/>
              </w:rPr>
              <w:t>I</w:t>
            </w:r>
            <w:r>
              <w:rPr>
                <w:rFonts w:hint="eastAsia" w:ascii="Times New Roman" w:hAnsi="Times New Roman" w:eastAsia="宋体" w:cs="Times New Roman"/>
                <w:sz w:val="21"/>
                <w:szCs w:val="21"/>
                <w:vertAlign w:val="subscript"/>
              </w:rPr>
              <w:t>L</w:t>
            </w:r>
            <w:r>
              <w:rPr>
                <w:rFonts w:ascii="Times New Roman" w:hAnsi="Times New Roman" w:eastAsia="宋体" w:cs="Times New Roman"/>
                <w:sz w:val="21"/>
                <w:szCs w:val="21"/>
                <w:vertAlign w:val="subscript"/>
              </w:rPr>
              <w:t xml:space="preserve"> </w:t>
            </w:r>
            <w:r>
              <w:rPr>
                <w:rFonts w:hint="eastAsia" w:ascii="Times New Roman" w:hAnsi="Times New Roman" w:eastAsia="宋体" w:cs="Times New Roman"/>
                <w:sz w:val="21"/>
                <w:szCs w:val="21"/>
              </w:rPr>
              <w:t>≤1</w:t>
            </w: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20～30</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0.25＜</w:t>
            </w:r>
            <w:r>
              <w:rPr>
                <w:rFonts w:hint="eastAsia" w:ascii="Times New Roman" w:hAnsi="Times New Roman" w:eastAsia="宋体" w:cs="Times New Roman"/>
                <w:i/>
                <w:sz w:val="21"/>
                <w:szCs w:val="21"/>
              </w:rPr>
              <w:t xml:space="preserve"> I</w:t>
            </w:r>
            <w:r>
              <w:rPr>
                <w:rFonts w:hint="eastAsia" w:ascii="Times New Roman" w:hAnsi="Times New Roman" w:eastAsia="宋体" w:cs="Times New Roman"/>
                <w:sz w:val="21"/>
                <w:szCs w:val="21"/>
                <w:vertAlign w:val="subscript"/>
              </w:rPr>
              <w:t>L</w:t>
            </w:r>
            <w:r>
              <w:rPr>
                <w:rFonts w:hint="eastAsia" w:ascii="Times New Roman" w:hAnsi="Times New Roman" w:eastAsia="宋体" w:cs="Times New Roman"/>
                <w:sz w:val="21"/>
                <w:szCs w:val="21"/>
              </w:rPr>
              <w:t xml:space="preserve"> ≤0.75</w:t>
            </w: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30～45</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r>
              <w:rPr>
                <w:rFonts w:hint="eastAsia" w:ascii="Times New Roman" w:hAnsi="Times New Roman" w:eastAsia="宋体" w:cs="Times New Roman"/>
                <w:i/>
                <w:sz w:val="21"/>
                <w:szCs w:val="21"/>
              </w:rPr>
              <w:t xml:space="preserve"> I</w:t>
            </w:r>
            <w:r>
              <w:rPr>
                <w:rFonts w:hint="eastAsia" w:ascii="Times New Roman" w:hAnsi="Times New Roman" w:eastAsia="宋体" w:cs="Times New Roman"/>
                <w:sz w:val="21"/>
                <w:szCs w:val="21"/>
                <w:vertAlign w:val="subscript"/>
              </w:rPr>
              <w:t>L</w:t>
            </w:r>
            <w:r>
              <w:rPr>
                <w:rFonts w:hint="eastAsia" w:ascii="Times New Roman" w:hAnsi="Times New Roman" w:eastAsia="宋体" w:cs="Times New Roman"/>
                <w:sz w:val="21"/>
                <w:szCs w:val="21"/>
              </w:rPr>
              <w:t xml:space="preserve"> ≤0.25</w:t>
            </w: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45～60</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i/>
                <w:sz w:val="21"/>
                <w:szCs w:val="21"/>
              </w:rPr>
              <w:t>I</w:t>
            </w:r>
            <w:r>
              <w:rPr>
                <w:rFonts w:hint="eastAsia" w:ascii="Times New Roman" w:hAnsi="Times New Roman" w:eastAsia="宋体" w:cs="Times New Roman"/>
                <w:sz w:val="21"/>
                <w:szCs w:val="21"/>
                <w:vertAlign w:val="subscript"/>
              </w:rPr>
              <w:t>L</w:t>
            </w:r>
            <w:r>
              <w:rPr>
                <w:rFonts w:hint="eastAsia" w:ascii="Times New Roman" w:hAnsi="Times New Roman" w:eastAsia="宋体" w:cs="Times New Roman"/>
                <w:sz w:val="21"/>
                <w:szCs w:val="21"/>
              </w:rPr>
              <w:t xml:space="preserve"> ≤0</w:t>
            </w:r>
          </w:p>
        </w:tc>
        <w:tc>
          <w:tcPr>
            <w:tcW w:w="2191"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60～70</w:t>
            </w:r>
          </w:p>
        </w:tc>
        <w:tc>
          <w:tcPr>
            <w:tcW w:w="2194" w:type="dxa"/>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粉土</w:t>
            </w: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稍密～中密</w:t>
            </w:r>
          </w:p>
        </w:tc>
        <w:tc>
          <w:tcPr>
            <w:tcW w:w="2191"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40～80</w:t>
            </w:r>
          </w:p>
        </w:tc>
        <w:tc>
          <w:tcPr>
            <w:tcW w:w="2194"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restart"/>
            <w:vAlign w:val="center"/>
          </w:tcPr>
          <w:p>
            <w:pPr>
              <w:widowControl w:val="0"/>
              <w:spacing w:line="24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砂土</w:t>
            </w: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松散</w:t>
            </w:r>
          </w:p>
        </w:tc>
        <w:tc>
          <w:tcPr>
            <w:tcW w:w="2191"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35～50</w:t>
            </w:r>
          </w:p>
        </w:tc>
        <w:tc>
          <w:tcPr>
            <w:tcW w:w="2194"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稍密</w:t>
            </w:r>
          </w:p>
        </w:tc>
        <w:tc>
          <w:tcPr>
            <w:tcW w:w="2191"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50～65</w:t>
            </w:r>
          </w:p>
        </w:tc>
        <w:tc>
          <w:tcPr>
            <w:tcW w:w="2194"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中密</w:t>
            </w:r>
          </w:p>
        </w:tc>
        <w:tc>
          <w:tcPr>
            <w:tcW w:w="2191"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65～80</w:t>
            </w:r>
          </w:p>
        </w:tc>
        <w:tc>
          <w:tcPr>
            <w:tcW w:w="2194"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73" w:type="dxa"/>
            <w:vMerge w:val="continue"/>
            <w:vAlign w:val="center"/>
          </w:tcPr>
          <w:p>
            <w:pPr>
              <w:widowControl w:val="0"/>
              <w:spacing w:line="240" w:lineRule="exact"/>
              <w:jc w:val="center"/>
              <w:rPr>
                <w:rFonts w:ascii="Times New Roman" w:hAnsi="Times New Roman" w:eastAsia="宋体" w:cs="Times New Roman"/>
                <w:sz w:val="21"/>
                <w:szCs w:val="21"/>
              </w:rPr>
            </w:pPr>
          </w:p>
        </w:tc>
        <w:tc>
          <w:tcPr>
            <w:tcW w:w="2182"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密实</w:t>
            </w:r>
          </w:p>
        </w:tc>
        <w:tc>
          <w:tcPr>
            <w:tcW w:w="2191"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80～100</w:t>
            </w:r>
          </w:p>
        </w:tc>
        <w:tc>
          <w:tcPr>
            <w:tcW w:w="2194" w:type="dxa"/>
            <w:vAlign w:val="center"/>
          </w:tcPr>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100～120</w:t>
            </w:r>
          </w:p>
        </w:tc>
      </w:tr>
    </w:tbl>
    <w:p>
      <w:pPr>
        <w:widowControl w:val="0"/>
        <w:spacing w:line="480" w:lineRule="exact"/>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表</w:t>
      </w:r>
      <w:r>
        <w:rPr>
          <w:rFonts w:ascii="Times New Roman" w:hAnsi="Times New Roman" w:eastAsia="宋体" w:cs="Times New Roman"/>
          <w:b/>
          <w:sz w:val="21"/>
          <w:szCs w:val="21"/>
        </w:rPr>
        <w:t>9</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2</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6</w:t>
      </w:r>
      <w:r>
        <w:rPr>
          <w:rFonts w:hint="eastAsia" w:ascii="Times New Roman" w:hAnsi="Times New Roman" w:eastAsia="宋体" w:cs="Times New Roman"/>
          <w:b/>
          <w:sz w:val="21"/>
          <w:szCs w:val="21"/>
        </w:rPr>
        <w:t xml:space="preserve">   土钉的极限粘结强度标准值</w:t>
      </w:r>
    </w:p>
    <w:p>
      <w:pPr>
        <w:widowControl w:val="0"/>
        <w:jc w:val="center"/>
        <w:rPr>
          <w:rFonts w:ascii="Times New Roman" w:hAnsi="Times New Roman" w:eastAsia="宋体" w:cs="Times New Roman"/>
          <w:sz w:val="21"/>
          <w:szCs w:val="21"/>
        </w:rPr>
      </w:pPr>
    </w:p>
    <w:p>
      <w:pPr>
        <w:widowControl w:val="0"/>
        <w:jc w:val="center"/>
        <w:rPr>
          <w:rFonts w:ascii="Times New Roman" w:hAnsi="Times New Roman" w:eastAsia="宋体" w:cs="Times New Roman"/>
          <w:sz w:val="21"/>
          <w:szCs w:val="21"/>
        </w:rPr>
      </w:pPr>
      <w:r>
        <w:rPr>
          <w:rFonts w:ascii="Calibri" w:hAnsi="Calibri" w:eastAsia="宋体" w:cs="Times New Roman"/>
          <w:sz w:val="24"/>
        </w:rPr>
        <w:drawing>
          <wp:inline distT="0" distB="0" distL="0" distR="0">
            <wp:extent cx="4409440" cy="2116455"/>
            <wp:effectExtent l="0" t="0" r="10160" b="1905"/>
            <wp:docPr id="205" name="图片 205" descr="C:\Users\Administrator\AppData\Roaming\feiq\RichOle\45662602.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 name="图片 205" descr="C:\Users\Administrator\AppData\Roaming\feiq\RichOle\45662602.bmp"/>
                    <pic:cNvPicPr>
                      <a:picLocks noChangeAspect="true" noChangeArrowheads="true"/>
                    </pic:cNvPicPr>
                  </pic:nvPicPr>
                  <pic:blipFill>
                    <a:blip r:embed="rId544">
                      <a:extLst>
                        <a:ext uri="{28A0092B-C50C-407E-A947-70E740481C1C}">
                          <a14:useLocalDpi xmlns:a14="http://schemas.microsoft.com/office/drawing/2010/main" val="false"/>
                        </a:ext>
                      </a:extLst>
                    </a:blip>
                    <a:srcRect/>
                    <a:stretch>
                      <a:fillRect/>
                    </a:stretch>
                  </pic:blipFill>
                  <pic:spPr>
                    <a:xfrm>
                      <a:off x="0" y="0"/>
                      <a:ext cx="4410000" cy="2116800"/>
                    </a:xfrm>
                    <a:prstGeom prst="rect">
                      <a:avLst/>
                    </a:prstGeom>
                    <a:noFill/>
                    <a:ln>
                      <a:noFill/>
                    </a:ln>
                  </pic:spPr>
                </pic:pic>
              </a:graphicData>
            </a:graphic>
          </wp:inline>
        </w:drawing>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图</w:t>
      </w:r>
      <w:r>
        <w:rPr>
          <w:rFonts w:ascii="Times New Roman" w:hAnsi="Times New Roman" w:eastAsia="宋体" w:cs="Times New Roman"/>
          <w:sz w:val="21"/>
          <w:szCs w:val="21"/>
        </w:rPr>
        <w:t>9</w:t>
      </w:r>
      <w:r>
        <w:rPr>
          <w:rFonts w:hint="eastAsia" w:ascii="Times New Roman" w:hAnsi="Times New Roman" w:eastAsia="宋体" w:cs="Times New Roman"/>
          <w:sz w:val="21"/>
          <w:szCs w:val="21"/>
        </w:rPr>
        <w:t>.2.</w:t>
      </w:r>
      <w:r>
        <w:rPr>
          <w:rFonts w:ascii="Times New Roman" w:hAnsi="Times New Roman" w:eastAsia="宋体" w:cs="Times New Roman"/>
          <w:sz w:val="21"/>
          <w:szCs w:val="21"/>
        </w:rPr>
        <w:t>6</w:t>
      </w:r>
      <w:r>
        <w:rPr>
          <w:rFonts w:hint="eastAsia" w:ascii="Times New Roman" w:hAnsi="Times New Roman" w:eastAsia="宋体" w:cs="Times New Roman"/>
          <w:sz w:val="21"/>
          <w:szCs w:val="21"/>
        </w:rPr>
        <w:t xml:space="preserve">   土钉抗拔承载力计算</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1—土钉；2—喷射混凝土面层；3—滑动面</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当按本条第（</w:t>
      </w:r>
      <w:r>
        <w:rPr>
          <w:rFonts w:ascii="Times New Roman" w:hAnsi="Times New Roman" w:eastAsia="宋体" w:cs="Times New Roman"/>
          <w:sz w:val="24"/>
          <w:szCs w:val="24"/>
        </w:rPr>
        <w:t>1~2</w:t>
      </w:r>
      <w:r>
        <w:rPr>
          <w:rFonts w:hint="eastAsia" w:ascii="Times New Roman" w:hAnsi="Times New Roman" w:eastAsia="宋体" w:cs="Times New Roman"/>
          <w:sz w:val="24"/>
          <w:szCs w:val="24"/>
        </w:rPr>
        <w:t>）款确定的土钉极限抗拔承载力标准值大于杆体受拉</w:t>
      </w:r>
      <w:r>
        <w:rPr>
          <w:rFonts w:ascii="Times New Roman" w:hAnsi="Times New Roman" w:eastAsia="宋体" w:cs="Times New Roman"/>
          <w:sz w:val="24"/>
          <w:szCs w:val="24"/>
        </w:rPr>
        <w:t>承载力标准值</w:t>
      </w:r>
      <w:r>
        <w:rPr>
          <w:rFonts w:ascii="Times New Roman" w:hAnsi="Times New Roman" w:eastAsia="宋体" w:cs="Times New Roman"/>
          <w:position w:val="-14"/>
          <w:sz w:val="24"/>
          <w:szCs w:val="24"/>
        </w:rPr>
        <w:object>
          <v:shape id="_x0000_i1194" o:spt="75" type="#_x0000_t75" style="height:19.8pt;width:28.2pt;" o:ole="t" filled="f" o:preferrelative="t" stroked="f" coordsize="21600,21600">
            <v:path/>
            <v:fill on="f" focussize="0,0"/>
            <v:stroke on="f" joinstyle="miter"/>
            <v:imagedata r:id="rId546" o:title=""/>
            <o:lock v:ext="edit" aspectratio="t"/>
            <w10:wrap type="none"/>
            <w10:anchorlock/>
          </v:shape>
          <o:OLEObject Type="Embed" ProgID="Equation.DSMT4" ShapeID="_x0000_i1194" DrawAspect="Content" ObjectID="_1468075894" r:id="rId545">
            <o:LockedField>false</o:LockedField>
          </o:OLEObject>
        </w:object>
      </w:r>
      <w:r>
        <w:rPr>
          <w:rFonts w:hint="eastAsia" w:ascii="Times New Roman" w:hAnsi="Times New Roman" w:eastAsia="宋体" w:cs="Times New Roman"/>
          <w:sz w:val="24"/>
          <w:szCs w:val="24"/>
        </w:rPr>
        <w:t>时，应取</w:t>
      </w:r>
      <w:r>
        <w:rPr>
          <w:rFonts w:ascii="Times New Roman" w:hAnsi="Times New Roman" w:eastAsia="宋体" w:cs="Times New Roman"/>
          <w:position w:val="-14"/>
          <w:sz w:val="24"/>
          <w:szCs w:val="24"/>
        </w:rPr>
        <w:object>
          <v:shape id="_x0000_i1195" o:spt="75" type="#_x0000_t75" style="height:19.8pt;width:58.8pt;" o:ole="t" filled="f" o:preferrelative="t" stroked="f" coordsize="21600,21600">
            <v:path/>
            <v:fill on="f" focussize="0,0"/>
            <v:stroke on="f" joinstyle="miter"/>
            <v:imagedata r:id="rId548" o:title=""/>
            <o:lock v:ext="edit" aspectratio="t"/>
            <w10:wrap type="none"/>
            <w10:anchorlock/>
          </v:shape>
          <o:OLEObject Type="Embed" ProgID="Equation.DSMT4" ShapeID="_x0000_i1195" DrawAspect="Content" ObjectID="_1468075895" r:id="rId547">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sz w:val="24"/>
          <w:szCs w:val="24"/>
        </w:rPr>
        <w:t>其中</w:t>
      </w:r>
      <w:r>
        <w:rPr>
          <w:rFonts w:ascii="Times New Roman" w:hAnsi="Times New Roman" w:eastAsia="宋体" w:cs="Times New Roman"/>
          <w:position w:val="-14"/>
          <w:sz w:val="24"/>
          <w:szCs w:val="24"/>
        </w:rPr>
        <w:object>
          <v:shape id="_x0000_i1196" o:spt="75" type="#_x0000_t75" style="height:19.2pt;width:18pt;" o:ole="t" filled="f" o:preferrelative="t" stroked="f" coordsize="21600,21600">
            <v:path/>
            <v:fill on="f" focussize="0,0"/>
            <v:stroke on="f" joinstyle="miter"/>
            <v:imagedata r:id="rId550" o:title=""/>
            <o:lock v:ext="edit" aspectratio="t"/>
            <w10:wrap type="none"/>
            <w10:anchorlock/>
          </v:shape>
          <o:OLEObject Type="Embed" ProgID="Equation.DSMT4" ShapeID="_x0000_i1196" DrawAspect="Content" ObjectID="_1468075896" r:id="rId549">
            <o:LockedField>false</o:LockedField>
          </o:OLEObject>
        </w:object>
      </w:r>
      <w:r>
        <w:rPr>
          <w:rFonts w:hint="eastAsia" w:ascii="Times New Roman" w:hAnsi="Times New Roman" w:eastAsia="宋体" w:cs="Times New Roman"/>
          <w:sz w:val="24"/>
          <w:szCs w:val="24"/>
        </w:rPr>
        <w:t>为杆体</w:t>
      </w:r>
      <w:r>
        <w:rPr>
          <w:rFonts w:ascii="Times New Roman" w:hAnsi="Times New Roman" w:eastAsia="宋体" w:cs="Times New Roman"/>
          <w:sz w:val="24"/>
          <w:szCs w:val="24"/>
        </w:rPr>
        <w:t>的屈服</w:t>
      </w:r>
      <w:r>
        <w:rPr>
          <w:rFonts w:hint="eastAsia" w:ascii="Times New Roman" w:hAnsi="Times New Roman" w:eastAsia="宋体" w:cs="Times New Roman"/>
          <w:sz w:val="24"/>
          <w:szCs w:val="24"/>
        </w:rPr>
        <w:t>强度</w:t>
      </w:r>
      <w:r>
        <w:rPr>
          <w:rFonts w:ascii="Times New Roman" w:hAnsi="Times New Roman" w:eastAsia="宋体" w:cs="Times New Roman"/>
          <w:sz w:val="24"/>
          <w:szCs w:val="24"/>
        </w:rPr>
        <w:t>标准值</w:t>
      </w:r>
      <w:r>
        <w:rPr>
          <w:rFonts w:hint="eastAsia" w:ascii="Times New Roman" w:hAnsi="Times New Roman" w:eastAsia="宋体" w:cs="Times New Roman"/>
          <w:sz w:val="24"/>
          <w:szCs w:val="24"/>
        </w:rPr>
        <w:t>。</w:t>
      </w:r>
    </w:p>
    <w:p>
      <w:pPr>
        <w:widowControl w:val="0"/>
        <w:tabs>
          <w:tab w:val="left" w:pos="540"/>
          <w:tab w:val="left" w:pos="720"/>
        </w:tabs>
        <w:spacing w:line="480" w:lineRule="exact"/>
        <w:ind w:left="-2" w:leftChars="-1"/>
        <w:rPr>
          <w:rFonts w:ascii="Times New Roman" w:hAnsi="Times New Roman" w:eastAsia="宋体" w:cs="Times New Roman"/>
          <w:sz w:val="24"/>
        </w:rPr>
      </w:pPr>
      <w:r>
        <w:rPr>
          <w:rFonts w:ascii="Times New Roman" w:hAnsi="Times New Roman" w:eastAsia="宋体" w:cs="Times New Roman"/>
          <w:b/>
          <w:sz w:val="24"/>
          <w:szCs w:val="24"/>
        </w:rPr>
        <w:t>9</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7</w:t>
      </w:r>
      <w:r>
        <w:rPr>
          <w:rFonts w:hint="eastAsia" w:ascii="Times New Roman" w:hAnsi="Times New Roman" w:eastAsia="宋体" w:cs="Times New Roman"/>
          <w:b/>
          <w:sz w:val="24"/>
        </w:rPr>
        <w:t xml:space="preserve"> </w:t>
      </w:r>
      <w:r>
        <w:rPr>
          <w:rFonts w:hint="eastAsia" w:ascii="Times New Roman" w:hAnsi="Times New Roman" w:eastAsia="宋体" w:cs="Times New Roman"/>
          <w:sz w:val="24"/>
        </w:rPr>
        <w:t>土钉杆体的受拉承载力应符合下式规定：</w:t>
      </w:r>
      <w:r>
        <w:rPr>
          <w:rFonts w:ascii="Times New Roman" w:hAnsi="Times New Roman" w:eastAsia="宋体" w:cs="Times New Roman"/>
          <w:position w:val="-10"/>
          <w:sz w:val="24"/>
          <w:szCs w:val="21"/>
        </w:rPr>
        <w:drawing>
          <wp:inline distT="0" distB="0" distL="0" distR="0">
            <wp:extent cx="114300" cy="220980"/>
            <wp:effectExtent l="0" t="0" r="0" b="0"/>
            <wp:docPr id="225" name="图片 2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true" noChangeArrowheads="true"/>
                    </pic:cNvPicPr>
                  </pic:nvPicPr>
                  <pic:blipFill>
                    <a:blip r:embed="rId551" cstate="print">
                      <a:extLst>
                        <a:ext uri="{28A0092B-C50C-407E-A947-70E740481C1C}">
                          <a14:useLocalDpi xmlns:a14="http://schemas.microsoft.com/office/drawing/2010/main" val="false"/>
                        </a:ext>
                      </a:extLst>
                    </a:blip>
                    <a:srcRect/>
                    <a:stretch>
                      <a:fillRect/>
                    </a:stretch>
                  </pic:blipFill>
                  <pic:spPr>
                    <a:xfrm>
                      <a:off x="0" y="0"/>
                      <a:ext cx="114300" cy="220980"/>
                    </a:xfrm>
                    <a:prstGeom prst="rect">
                      <a:avLst/>
                    </a:prstGeom>
                    <a:noFill/>
                    <a:ln>
                      <a:noFill/>
                    </a:ln>
                  </pic:spPr>
                </pic:pic>
              </a:graphicData>
            </a:graphic>
          </wp:inline>
        </w:drawing>
      </w:r>
      <w:r>
        <w:rPr>
          <w:rFonts w:hint="eastAsia" w:ascii="Times New Roman" w:hAnsi="Times New Roman" w:eastAsia="宋体" w:cs="Times New Roman"/>
          <w:sz w:val="24"/>
          <w:szCs w:val="21"/>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Times New Roman" w:hAnsi="Times New Roman" w:eastAsia="宋体" w:cs="Times New Roman"/>
                <w:sz w:val="24"/>
                <w:szCs w:val="21"/>
              </w:rPr>
            </w:pPr>
            <w:r>
              <w:rPr>
                <w:rFonts w:ascii="Times New Roman" w:hAnsi="Times New Roman" w:eastAsia="宋体" w:cs="Times New Roman"/>
                <w:position w:val="-14"/>
                <w:sz w:val="24"/>
                <w:szCs w:val="21"/>
              </w:rPr>
              <w:object>
                <v:shape id="_x0000_i1197" o:spt="75" type="#_x0000_t75" style="height:19.8pt;width:46.8pt;" o:ole="t" filled="f" o:preferrelative="t" stroked="f" coordsize="21600,21600">
                  <v:path/>
                  <v:fill on="f" focussize="0,0"/>
                  <v:stroke on="f" joinstyle="miter"/>
                  <v:imagedata r:id="rId553" o:title=""/>
                  <o:lock v:ext="edit" aspectratio="t"/>
                  <w10:wrap type="none"/>
                  <w10:anchorlock/>
                </v:shape>
                <o:OLEObject Type="Embed" ProgID="Equation.DSMT4" ShapeID="_x0000_i1197" DrawAspect="Content" ObjectID="_1468075897" r:id="rId552">
                  <o:LockedField>false</o:LockedField>
                </o:OLEObject>
              </w:object>
            </w:r>
          </w:p>
        </w:tc>
        <w:tc>
          <w:tcPr>
            <w:tcW w:w="4927" w:type="dxa"/>
          </w:tcPr>
          <w:p>
            <w:pPr>
              <w:widowControl w:val="0"/>
              <w:spacing w:line="480" w:lineRule="auto"/>
              <w:jc w:val="right"/>
              <w:rPr>
                <w:rFonts w:ascii="Times New Roman" w:hAnsi="Times New Roman" w:eastAsia="宋体" w:cs="Times New Roman"/>
                <w:sz w:val="24"/>
                <w:szCs w:val="21"/>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9.2.7</w:t>
            </w:r>
            <w:r>
              <w:rPr>
                <w:rFonts w:hint="eastAsia" w:ascii="Times New Roman" w:hAnsi="Times New Roman" w:eastAsia="宋体" w:cs="Times New Roman"/>
                <w:sz w:val="24"/>
                <w:szCs w:val="24"/>
              </w:rPr>
              <w:t>）</w:t>
            </w:r>
          </w:p>
        </w:tc>
      </w:tr>
    </w:tbl>
    <w:p>
      <w:pPr>
        <w:widowControl w:val="0"/>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sz w:val="24"/>
          <w:szCs w:val="24"/>
        </w:rPr>
        <w:t xml:space="preserve"> </w:t>
      </w:r>
      <w:r>
        <w:rPr>
          <w:rFonts w:ascii="Times New Roman" w:hAnsi="Times New Roman" w:eastAsia="宋体" w:cs="Times New Roman"/>
          <w:position w:val="-14"/>
          <w:sz w:val="24"/>
          <w:szCs w:val="24"/>
        </w:rPr>
        <w:object>
          <v:shape id="_x0000_i1198" o:spt="75" type="#_x0000_t75" style="height:19.8pt;width:16.8pt;" o:ole="t" filled="f" o:preferrelative="t" stroked="f" coordsize="21600,21600">
            <v:path/>
            <v:fill on="f" focussize="0,0"/>
            <v:stroke on="f" joinstyle="miter"/>
            <v:imagedata r:id="rId555" o:title=""/>
            <o:lock v:ext="edit" aspectratio="t"/>
            <w10:wrap type="none"/>
            <w10:anchorlock/>
          </v:shape>
          <o:OLEObject Type="Embed" ProgID="Equation.DSMT4" ShapeID="_x0000_i1198" DrawAspect="Content" ObjectID="_1468075898" r:id="rId554">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1"/>
        </w:rPr>
        <w:t>j</w:t>
      </w:r>
      <w:r>
        <w:rPr>
          <w:rFonts w:hint="eastAsia" w:ascii="Times New Roman" w:hAnsi="Times New Roman" w:eastAsia="宋体" w:cs="Times New Roman"/>
          <w:sz w:val="24"/>
          <w:szCs w:val="24"/>
        </w:rPr>
        <w:t>层土钉的轴向抗力设计值（</w:t>
      </w:r>
      <w:r>
        <w:rPr>
          <w:rFonts w:ascii="Times New Roman" w:hAnsi="Times New Roman" w:eastAsia="宋体" w:cs="Times New Roman"/>
          <w:sz w:val="24"/>
          <w:szCs w:val="24"/>
        </w:rPr>
        <w:t>kN</w:t>
      </w:r>
      <w:r>
        <w:rPr>
          <w:rFonts w:hint="eastAsia" w:ascii="Times New Roman" w:hAnsi="Times New Roman" w:eastAsia="宋体" w:cs="Times New Roman"/>
          <w:sz w:val="24"/>
          <w:szCs w:val="24"/>
        </w:rPr>
        <w:t>）；</w:t>
      </w:r>
    </w:p>
    <w:p>
      <w:pPr>
        <w:widowControl w:val="0"/>
        <w:rPr>
          <w:rFonts w:ascii="Times New Roman" w:hAnsi="Times New Roman" w:eastAsia="宋体" w:cs="Times New Roman"/>
          <w:sz w:val="24"/>
          <w:szCs w:val="24"/>
        </w:rPr>
      </w:pPr>
      <w:r>
        <w:rPr>
          <w:rFonts w:ascii="Times New Roman" w:hAnsi="Times New Roman" w:eastAsia="宋体" w:cs="Times New Roman"/>
          <w:sz w:val="24"/>
          <w:szCs w:val="21"/>
        </w:rPr>
        <w:t xml:space="preserve">       </w:t>
      </w:r>
      <w:r>
        <w:rPr>
          <w:rFonts w:ascii="Times New Roman" w:hAnsi="Times New Roman" w:eastAsia="宋体" w:cs="Times New Roman"/>
          <w:position w:val="-14"/>
          <w:sz w:val="24"/>
          <w:szCs w:val="21"/>
        </w:rPr>
        <w:object>
          <v:shape id="_x0000_i1199" o:spt="75" type="#_x0000_t75" style="height:19.8pt;width:13.8pt;" o:ole="t" filled="f" o:preferrelative="t" stroked="f" coordsize="21600,21600">
            <v:path/>
            <v:fill on="f" focussize="0,0"/>
            <v:stroke on="f" joinstyle="miter"/>
            <v:imagedata r:id="rId557" o:title=""/>
            <o:lock v:ext="edit" aspectratio="t"/>
            <w10:wrap type="none"/>
            <w10:anchorlock/>
          </v:shape>
          <o:OLEObject Type="Embed" ProgID="Equation.DSMT4" ShapeID="_x0000_i1199" DrawAspect="Content" ObjectID="_1468075899" r:id="rId556">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土钉杆体的抗拉强度设计值（</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w:t>
      </w:r>
    </w:p>
    <w:p>
      <w:pPr>
        <w:widowControl w:val="0"/>
        <w:rPr>
          <w:rFonts w:ascii="Times New Roman" w:hAnsi="Times New Roman" w:eastAsia="宋体" w:cs="Times New Roman"/>
          <w:sz w:val="24"/>
          <w:szCs w:val="24"/>
        </w:rPr>
      </w:pPr>
      <w:r>
        <w:rPr>
          <w:rFonts w:ascii="Times New Roman" w:hAnsi="Times New Roman" w:eastAsia="宋体" w:cs="Times New Roman"/>
          <w:sz w:val="24"/>
          <w:szCs w:val="21"/>
        </w:rPr>
        <w:t xml:space="preserve">       </w:t>
      </w:r>
      <w:r>
        <w:rPr>
          <w:rFonts w:ascii="Times New Roman" w:hAnsi="Times New Roman" w:eastAsia="宋体" w:cs="Times New Roman"/>
          <w:position w:val="-12"/>
          <w:sz w:val="24"/>
          <w:szCs w:val="21"/>
        </w:rPr>
        <w:object>
          <v:shape id="_x0000_i1200" o:spt="75" type="#_x0000_t75" style="height:18pt;width:13.8pt;" o:ole="t" filled="f" o:preferrelative="t" stroked="f" coordsize="21600,21600">
            <v:path/>
            <v:fill on="f" focussize="0,0"/>
            <v:stroke on="f" joinstyle="miter"/>
            <v:imagedata r:id="rId559" o:title=""/>
            <o:lock v:ext="edit" aspectratio="t"/>
            <w10:wrap type="none"/>
            <w10:anchorlock/>
          </v:shape>
          <o:OLEObject Type="Embed" ProgID="Equation.DSMT4" ShapeID="_x0000_i1200" DrawAspect="Content" ObjectID="_1468075900" r:id="rId558">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szCs w:val="24"/>
        </w:rPr>
        <w:t>土钉杆体的截面积（</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w:t>
      </w:r>
    </w:p>
    <w:p>
      <w:pPr>
        <w:widowControl w:val="0"/>
        <w:tabs>
          <w:tab w:val="left" w:pos="540"/>
          <w:tab w:val="left" w:pos="720"/>
        </w:tabs>
        <w:spacing w:line="480" w:lineRule="exact"/>
        <w:rPr>
          <w:rFonts w:ascii="Times New Roman" w:hAnsi="Times New Roman" w:eastAsia="宋体" w:cs="Times New Roman"/>
          <w:sz w:val="24"/>
        </w:rPr>
      </w:pPr>
      <w:r>
        <w:rPr>
          <w:rFonts w:ascii="Times New Roman" w:hAnsi="Times New Roman" w:eastAsia="宋体" w:cs="Times New Roman"/>
          <w:b/>
          <w:sz w:val="24"/>
        </w:rPr>
        <w:t>9.2.8</w:t>
      </w:r>
      <w:r>
        <w:rPr>
          <w:rFonts w:hint="eastAsia" w:ascii="Times New Roman" w:hAnsi="Times New Roman" w:eastAsia="宋体" w:cs="Times New Roman"/>
          <w:sz w:val="24"/>
        </w:rPr>
        <w:t xml:space="preserve"> 土钉墙及</w:t>
      </w:r>
      <w:r>
        <w:rPr>
          <w:rFonts w:hint="eastAsia" w:ascii="Times New Roman" w:hAnsi="Times New Roman" w:eastAsia="宋体" w:cs="Times New Roman"/>
          <w:sz w:val="24"/>
          <w:szCs w:val="24"/>
        </w:rPr>
        <w:t>复合土钉墙</w:t>
      </w:r>
      <w:r>
        <w:rPr>
          <w:rFonts w:hint="eastAsia" w:ascii="Times New Roman" w:hAnsi="Times New Roman" w:eastAsia="宋体" w:cs="Times New Roman"/>
          <w:sz w:val="24"/>
        </w:rPr>
        <w:t>应根据施工期间不同开挖深度及可能滑动面按下</w:t>
      </w:r>
      <w:r>
        <w:rPr>
          <w:rFonts w:ascii="Times New Roman" w:hAnsi="Times New Roman" w:eastAsia="宋体" w:cs="Times New Roman"/>
          <w:sz w:val="24"/>
        </w:rPr>
        <w:t>列规定对基坑开挖的</w:t>
      </w:r>
      <w:r>
        <w:rPr>
          <w:rFonts w:hint="eastAsia" w:ascii="Times New Roman" w:hAnsi="Times New Roman" w:eastAsia="宋体" w:cs="Times New Roman"/>
          <w:sz w:val="24"/>
        </w:rPr>
        <w:t>各</w:t>
      </w:r>
      <w:r>
        <w:rPr>
          <w:rFonts w:ascii="Times New Roman" w:hAnsi="Times New Roman" w:eastAsia="宋体" w:cs="Times New Roman"/>
          <w:sz w:val="24"/>
        </w:rPr>
        <w:t>工况</w:t>
      </w:r>
      <w:r>
        <w:rPr>
          <w:rFonts w:hint="eastAsia" w:ascii="Times New Roman" w:hAnsi="Times New Roman" w:eastAsia="宋体" w:cs="Times New Roman"/>
          <w:sz w:val="24"/>
        </w:rPr>
        <w:t>进行</w:t>
      </w:r>
      <w:r>
        <w:rPr>
          <w:rFonts w:ascii="Times New Roman" w:hAnsi="Times New Roman" w:eastAsia="宋体" w:cs="Times New Roman"/>
          <w:sz w:val="24"/>
        </w:rPr>
        <w:t>整体滑动稳定性验算</w:t>
      </w:r>
      <w:r>
        <w:rPr>
          <w:rFonts w:hint="eastAsia" w:ascii="Times New Roman" w:hAnsi="Times New Roman" w:eastAsia="宋体" w:cs="Times New Roman"/>
          <w:sz w:val="24"/>
        </w:rPr>
        <w:t>：</w:t>
      </w:r>
    </w:p>
    <w:p>
      <w:pPr>
        <w:widowControl w:val="0"/>
        <w:tabs>
          <w:tab w:val="left" w:pos="540"/>
          <w:tab w:val="left" w:pos="720"/>
        </w:tabs>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1 </w:t>
      </w:r>
      <w:r>
        <w:rPr>
          <w:rFonts w:ascii="Times New Roman" w:hAnsi="Times New Roman" w:eastAsia="宋体" w:cs="Times New Roman"/>
          <w:sz w:val="24"/>
        </w:rPr>
        <w:t>整体滑动稳定性</w:t>
      </w:r>
      <w:r>
        <w:rPr>
          <w:rFonts w:hint="eastAsia" w:ascii="Times New Roman" w:hAnsi="Times New Roman" w:eastAsia="宋体" w:cs="Times New Roman"/>
          <w:sz w:val="24"/>
        </w:rPr>
        <w:t>可</w:t>
      </w:r>
      <w:r>
        <w:rPr>
          <w:rFonts w:ascii="Times New Roman" w:hAnsi="Times New Roman" w:eastAsia="宋体" w:cs="Times New Roman"/>
          <w:sz w:val="24"/>
        </w:rPr>
        <w:t>采用圆弧滑动条分法进行验算；</w:t>
      </w:r>
    </w:p>
    <w:p>
      <w:pPr>
        <w:widowControl w:val="0"/>
        <w:tabs>
          <w:tab w:val="left" w:pos="540"/>
          <w:tab w:val="left" w:pos="720"/>
        </w:tabs>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 </w:t>
      </w:r>
      <w:r>
        <w:rPr>
          <w:rFonts w:hint="eastAsia" w:ascii="Times New Roman" w:hAnsi="Times New Roman" w:eastAsia="宋体" w:cs="Times New Roman"/>
          <w:sz w:val="24"/>
        </w:rPr>
        <w:t>采用</w:t>
      </w:r>
      <w:r>
        <w:rPr>
          <w:rFonts w:ascii="Times New Roman" w:hAnsi="Times New Roman" w:eastAsia="宋体" w:cs="Times New Roman"/>
          <w:sz w:val="24"/>
        </w:rPr>
        <w:t>圆弧滑动条分法时，其整体稳定性应</w:t>
      </w:r>
      <w:r>
        <w:rPr>
          <w:rFonts w:hint="eastAsia" w:ascii="Times New Roman" w:hAnsi="Times New Roman" w:eastAsia="宋体" w:cs="Times New Roman"/>
          <w:sz w:val="24"/>
        </w:rPr>
        <w:t>符合</w:t>
      </w:r>
      <w:r>
        <w:rPr>
          <w:rFonts w:ascii="Times New Roman" w:hAnsi="Times New Roman" w:eastAsia="宋体" w:cs="Times New Roman"/>
          <w:sz w:val="24"/>
        </w:rPr>
        <w:t>下列规定（</w:t>
      </w:r>
      <w:r>
        <w:rPr>
          <w:rFonts w:hint="eastAsia" w:ascii="Times New Roman" w:hAnsi="Times New Roman" w:eastAsia="宋体" w:cs="Times New Roman"/>
          <w:sz w:val="24"/>
        </w:rPr>
        <w:t>图9.2.8</w:t>
      </w:r>
      <w:r>
        <w:rPr>
          <w:rFonts w:ascii="Times New Roman" w:hAnsi="Times New Roman" w:eastAsia="宋体" w:cs="Times New Roman"/>
          <w:sz w:val="24"/>
        </w:rPr>
        <w:t>）</w:t>
      </w:r>
      <w:r>
        <w:rPr>
          <w:rFonts w:hint="eastAsia" w:ascii="Times New Roman" w:hAnsi="Times New Roman" w:eastAsia="宋体" w:cs="Times New Roman"/>
          <w:sz w:val="24"/>
        </w:rPr>
        <w:t>：</w:t>
      </w:r>
    </w:p>
    <w:p>
      <w:pPr>
        <w:widowControl w:val="0"/>
        <w:tabs>
          <w:tab w:val="left" w:pos="540"/>
          <w:tab w:val="left" w:pos="720"/>
        </w:tabs>
        <w:spacing w:line="480" w:lineRule="exact"/>
        <w:ind w:right="-998" w:rightChars="-416"/>
        <w:jc w:val="right"/>
        <w:rPr>
          <w:rFonts w:ascii="Times New Roman" w:hAnsi="Times New Roman" w:eastAsia="宋体" w:cs="Times New Roman"/>
          <w:sz w:val="24"/>
        </w:rPr>
      </w:pPr>
      <w:r>
        <w:rPr>
          <w:rFonts w:ascii="Times New Roman" w:hAnsi="Times New Roman" w:eastAsia="宋体" w:cs="Times New Roman"/>
          <w:position w:val="-16"/>
          <w:sz w:val="24"/>
        </w:rPr>
        <w:object>
          <v:shape id="_x0000_i1201" o:spt="75" type="#_x0000_t75" style="height:21pt;width:136.8pt;" o:ole="t" filled="f" o:preferrelative="t" stroked="f" coordsize="21600,21600">
            <v:path/>
            <v:fill on="f" focussize="0,0"/>
            <v:stroke on="f" joinstyle="miter"/>
            <v:imagedata r:id="rId561" o:title=""/>
            <o:lock v:ext="edit" aspectratio="t"/>
            <w10:wrap type="none"/>
            <w10:anchorlock/>
          </v:shape>
          <o:OLEObject Type="Embed" ProgID="Equation.DSMT4" ShapeID="_x0000_i1201" DrawAspect="Content" ObjectID="_1468075901" r:id="rId560">
            <o:LockedField>false</o:LockedField>
          </o:OLEObject>
        </w:object>
      </w:r>
      <w:r>
        <w:rPr>
          <w:rFonts w:ascii="Times New Roman" w:hAnsi="Times New Roman" w:eastAsia="宋体" w:cs="Times New Roman"/>
          <w:sz w:val="24"/>
        </w:rPr>
        <w:t xml:space="preserve">                       </w:t>
      </w:r>
      <w:r>
        <w:rPr>
          <w:rFonts w:hint="eastAsia" w:ascii="Times New Roman" w:hAnsi="Times New Roman" w:eastAsia="宋体" w:cs="Times New Roman"/>
          <w:sz w:val="24"/>
          <w:szCs w:val="24"/>
        </w:rPr>
        <w:t>（</w:t>
      </w:r>
      <w:r>
        <w:rPr>
          <w:rFonts w:ascii="Times New Roman" w:hAnsi="Times New Roman" w:eastAsia="宋体" w:cs="Times New Roman"/>
          <w:sz w:val="24"/>
          <w:szCs w:val="24"/>
        </w:rPr>
        <w:t>9.2.8-1</w:t>
      </w:r>
      <w:r>
        <w:rPr>
          <w:rFonts w:hint="eastAsia" w:ascii="Times New Roman" w:hAnsi="Times New Roman" w:eastAsia="宋体" w:cs="Times New Roman"/>
          <w:sz w:val="24"/>
          <w:szCs w:val="24"/>
        </w:rPr>
        <w:t>）</w:t>
      </w:r>
    </w:p>
    <w:tbl>
      <w:tblPr>
        <w:tblStyle w:val="32"/>
        <w:tblW w:w="9889" w:type="dxa"/>
        <w:tblInd w:w="0" w:type="dxa"/>
        <w:tblLayout w:type="fixed"/>
        <w:tblCellMar>
          <w:top w:w="0" w:type="dxa"/>
          <w:left w:w="108" w:type="dxa"/>
          <w:bottom w:w="0" w:type="dxa"/>
          <w:right w:w="108" w:type="dxa"/>
        </w:tblCellMar>
      </w:tblPr>
      <w:tblGrid>
        <w:gridCol w:w="9889"/>
      </w:tblGrid>
      <w:tr>
        <w:tblPrEx>
          <w:tblCellMar>
            <w:top w:w="0" w:type="dxa"/>
            <w:left w:w="108" w:type="dxa"/>
            <w:bottom w:w="0" w:type="dxa"/>
            <w:right w:w="108" w:type="dxa"/>
          </w:tblCellMar>
        </w:tblPrEx>
        <w:tc>
          <w:tcPr>
            <w:tcW w:w="9889" w:type="dxa"/>
          </w:tcPr>
          <w:p>
            <w:pPr>
              <w:widowControl w:val="0"/>
              <w:ind w:right="-247" w:rightChars="-103"/>
              <w:jc w:val="center"/>
              <w:rPr>
                <w:rFonts w:ascii="Times New Roman" w:hAnsi="Times New Roman" w:eastAsia="宋体" w:cs="Times New Roman"/>
                <w:kern w:val="0"/>
                <w:position w:val="-32"/>
                <w:sz w:val="24"/>
              </w:rPr>
            </w:pPr>
            <w:r>
              <w:rPr>
                <w:rFonts w:ascii="Times New Roman" w:hAnsi="Times New Roman" w:eastAsia="宋体" w:cs="Times New Roman"/>
                <w:position w:val="-36"/>
                <w:sz w:val="24"/>
              </w:rPr>
              <w:object>
                <v:shape id="_x0000_i1202" o:spt="75" type="#_x0000_t75" style="height:45pt;width:406.8pt;" o:ole="t" filled="f" o:preferrelative="t" stroked="f" coordsize="21600,21600">
                  <v:path/>
                  <v:fill on="f" focussize="0,0"/>
                  <v:stroke on="f" joinstyle="miter"/>
                  <v:imagedata r:id="rId563" o:title=""/>
                  <o:lock v:ext="edit" aspectratio="t"/>
                  <w10:wrap type="none"/>
                  <w10:anchorlock/>
                </v:shape>
                <o:OLEObject Type="Embed" ProgID="Equation.DSMT4" ShapeID="_x0000_i1202" DrawAspect="Content" ObjectID="_1468075902" r:id="rId562">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sz w:val="24"/>
                <w:szCs w:val="24"/>
              </w:rPr>
              <w:t>9.2.8-2</w:t>
            </w:r>
            <w:r>
              <w:rPr>
                <w:rFonts w:hint="eastAsia" w:ascii="Times New Roman" w:hAnsi="Times New Roman" w:eastAsia="宋体" w:cs="Times New Roman"/>
                <w:sz w:val="24"/>
                <w:szCs w:val="24"/>
              </w:rPr>
              <w:t>）</w:t>
            </w:r>
            <w:r>
              <w:rPr>
                <w:rFonts w:ascii="Times New Roman" w:hAnsi="Times New Roman" w:eastAsia="宋体" w:cs="Times New Roman"/>
                <w:sz w:val="24"/>
              </w:rPr>
              <w:t xml:space="preserve">               </w:t>
            </w:r>
          </w:p>
        </w:tc>
      </w:tr>
    </w:tbl>
    <w:p>
      <w:pPr>
        <w:widowControl w:val="0"/>
        <w:spacing w:line="480" w:lineRule="exact"/>
        <w:ind w:left="1560" w:hanging="1560" w:hangingChars="650"/>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position w:val="-12"/>
          <w:sz w:val="24"/>
          <w:szCs w:val="24"/>
        </w:rPr>
        <w:object>
          <v:shape id="_x0000_i1203" o:spt="75" type="#_x0000_t75" style="height:18pt;width:15pt;" o:ole="t" filled="f" o:preferrelative="t" stroked="f" coordsize="21600,21600">
            <v:path/>
            <v:fill on="f" focussize="0,0"/>
            <v:stroke on="f" joinstyle="miter"/>
            <v:imagedata r:id="rId565" o:title=""/>
            <o:lock v:ext="edit" aspectratio="t"/>
            <w10:wrap type="none"/>
            <w10:anchorlock/>
          </v:shape>
          <o:OLEObject Type="Embed" ProgID="Equation.DSMT4" ShapeID="_x0000_i1203" DrawAspect="Content" ObjectID="_1468075903" r:id="rId564">
            <o:LockedField>false</o:LockedField>
          </o:OLEObject>
        </w:object>
      </w:r>
      <w:r>
        <w:rPr>
          <w:rFonts w:ascii="Times New Roman" w:hAnsi="Times New Roman" w:eastAsia="宋体" w:cs="Times New Roman"/>
          <w:sz w:val="24"/>
        </w:rPr>
        <w:t>——圆弧滑动</w:t>
      </w:r>
      <w:r>
        <w:rPr>
          <w:rFonts w:hint="eastAsia" w:ascii="Times New Roman" w:hAnsi="Times New Roman" w:eastAsia="宋体" w:cs="Times New Roman"/>
          <w:sz w:val="24"/>
          <w:szCs w:val="24"/>
        </w:rPr>
        <w:t>稳定安全系数；安全等级为二级、三级的土钉墙与复合土钉墙，</w:t>
      </w:r>
      <w:r>
        <w:rPr>
          <w:rFonts w:ascii="Times New Roman" w:hAnsi="Times New Roman" w:eastAsia="宋体" w:cs="Times New Roman"/>
          <w:position w:val="-12"/>
          <w:sz w:val="24"/>
          <w:szCs w:val="24"/>
        </w:rPr>
        <w:drawing>
          <wp:inline distT="0" distB="0" distL="0" distR="0">
            <wp:extent cx="198120" cy="228600"/>
            <wp:effectExtent l="0" t="0" r="0" b="0"/>
            <wp:docPr id="227" name="图片 2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true" noChangeArrowheads="true"/>
                    </pic:cNvPicPr>
                  </pic:nvPicPr>
                  <pic:blipFill>
                    <a:blip r:embed="rId566" cstate="print">
                      <a:extLst>
                        <a:ext uri="{28A0092B-C50C-407E-A947-70E740481C1C}">
                          <a14:useLocalDpi xmlns:a14="http://schemas.microsoft.com/office/drawing/2010/main" val="false"/>
                        </a:ext>
                      </a:extLst>
                    </a:blip>
                    <a:srcRect/>
                    <a:stretch>
                      <a:fillRect/>
                    </a:stretch>
                  </pic:blipFill>
                  <pic:spPr>
                    <a:xfrm>
                      <a:off x="0" y="0"/>
                      <a:ext cx="198120" cy="228600"/>
                    </a:xfrm>
                    <a:prstGeom prst="rect">
                      <a:avLst/>
                    </a:prstGeom>
                    <a:noFill/>
                    <a:ln>
                      <a:noFill/>
                    </a:ln>
                  </pic:spPr>
                </pic:pic>
              </a:graphicData>
            </a:graphic>
          </wp:inline>
        </w:drawing>
      </w:r>
      <w:r>
        <w:rPr>
          <w:rFonts w:hint="eastAsia" w:ascii="Times New Roman" w:hAnsi="Times New Roman" w:eastAsia="宋体" w:cs="Times New Roman"/>
          <w:sz w:val="24"/>
          <w:szCs w:val="24"/>
        </w:rPr>
        <w:t>分别不应小于1.3、1.25；</w:t>
      </w:r>
    </w:p>
    <w:p>
      <w:pPr>
        <w:widowControl w:val="0"/>
        <w:tabs>
          <w:tab w:val="left" w:pos="672"/>
          <w:tab w:val="left" w:pos="1036"/>
          <w:tab w:val="left" w:pos="1620"/>
          <w:tab w:val="left" w:pos="2160"/>
          <w:tab w:val="left" w:pos="7020"/>
        </w:tabs>
        <w:spacing w:line="480" w:lineRule="exact"/>
        <w:ind w:left="1559" w:leftChars="273" w:hanging="904" w:hangingChars="377"/>
        <w:rPr>
          <w:rFonts w:ascii="Times New Roman" w:hAnsi="Times New Roman" w:eastAsia="宋体" w:cs="Times New Roman"/>
          <w:sz w:val="24"/>
        </w:rPr>
      </w:pPr>
      <w:r>
        <w:rPr>
          <w:rFonts w:ascii="Calibri" w:hAnsi="Calibri" w:eastAsia="宋体" w:cs="Times New Roman"/>
          <w:position w:val="-14"/>
          <w:sz w:val="24"/>
        </w:rPr>
        <w:object>
          <v:shape id="_x0000_i1204" o:spt="75" type="#_x0000_t75" style="height:19.2pt;width:19.8pt;" o:ole="t" filled="f" o:preferrelative="t" stroked="f" coordsize="21600,21600">
            <v:path/>
            <v:fill on="f" focussize="0,0"/>
            <v:stroke on="f" joinstyle="miter"/>
            <v:imagedata r:id="rId568" o:title=""/>
            <o:lock v:ext="edit" aspectratio="t"/>
            <w10:wrap type="none"/>
            <w10:anchorlock/>
          </v:shape>
          <o:OLEObject Type="Embed" ProgID="Equation.DSMT4" ShapeID="_x0000_i1204" DrawAspect="Content" ObjectID="_1468075904" r:id="rId567">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rPr>
        <w:t>第</w:t>
      </w:r>
      <w:r>
        <w:rPr>
          <w:rFonts w:hint="eastAsia" w:ascii="Times New Roman" w:hAnsi="Times New Roman" w:eastAsia="宋体" w:cs="Times New Roman"/>
          <w:i/>
          <w:sz w:val="24"/>
        </w:rPr>
        <w:t>i</w:t>
      </w:r>
      <w:r>
        <w:rPr>
          <w:rFonts w:hint="eastAsia" w:ascii="Times New Roman" w:hAnsi="Times New Roman" w:eastAsia="宋体" w:cs="Times New Roman"/>
          <w:sz w:val="24"/>
        </w:rPr>
        <w:t>个</w:t>
      </w:r>
      <w:r>
        <w:rPr>
          <w:rFonts w:ascii="Times New Roman" w:hAnsi="Times New Roman" w:eastAsia="宋体" w:cs="Times New Roman"/>
          <w:sz w:val="24"/>
          <w:szCs w:val="24"/>
        </w:rPr>
        <w:t>圆弧</w:t>
      </w:r>
      <w:r>
        <w:rPr>
          <w:rFonts w:hint="eastAsia" w:ascii="Times New Roman" w:hAnsi="Times New Roman" w:eastAsia="宋体" w:cs="Times New Roman"/>
          <w:sz w:val="24"/>
          <w:szCs w:val="24"/>
        </w:rPr>
        <w:t>滑动体</w:t>
      </w:r>
      <w:r>
        <w:rPr>
          <w:rFonts w:hint="eastAsia" w:ascii="Times New Roman" w:hAnsi="Times New Roman" w:eastAsia="宋体" w:cs="Times New Roman"/>
          <w:sz w:val="24"/>
        </w:rPr>
        <w:t>的抗滑力矩与滑动力矩的比值；抗滑力矩与滑动力矩之比的最小值宜通过搜索不同圆心及半径的所有潜在滑动圆弧确定；</w:t>
      </w:r>
    </w:p>
    <w:p>
      <w:pPr>
        <w:widowControl w:val="0"/>
        <w:tabs>
          <w:tab w:val="left" w:pos="658"/>
          <w:tab w:val="left" w:pos="1036"/>
          <w:tab w:val="left" w:pos="1620"/>
          <w:tab w:val="left" w:pos="2160"/>
          <w:tab w:val="left" w:pos="7020"/>
        </w:tabs>
        <w:spacing w:line="480" w:lineRule="exact"/>
        <w:ind w:firstLine="360" w:firstLineChars="150"/>
        <w:rPr>
          <w:rFonts w:ascii="Times New Roman" w:hAnsi="Times New Roman" w:eastAsia="宋体" w:cs="Times New Roman"/>
          <w:sz w:val="24"/>
          <w:szCs w:val="24"/>
        </w:rPr>
      </w:pPr>
      <w:r>
        <w:rPr>
          <w:rFonts w:ascii="Times New Roman" w:hAnsi="Times New Roman" w:eastAsia="宋体" w:cs="Times New Roman"/>
          <w:i/>
          <w:position w:val="-14"/>
          <w:sz w:val="24"/>
        </w:rPr>
        <w:object>
          <v:shape id="_x0000_i1205" o:spt="75" type="#_x0000_t75" style="height:19.8pt;width:13.8pt;" o:ole="t" filled="f" o:preferrelative="t" stroked="f" coordsize="21600,21600">
            <v:path/>
            <v:fill on="f" focussize="0,0"/>
            <v:stroke on="f" joinstyle="miter"/>
            <v:imagedata r:id="rId178" o:title=""/>
            <o:lock v:ext="edit" aspectratio="t"/>
            <w10:wrap type="none"/>
            <w10:anchorlock/>
          </v:shape>
          <o:OLEObject Type="Embed" ProgID="Equation.3" ShapeID="_x0000_i1205" DrawAspect="Content" ObjectID="_1468075905" r:id="rId569">
            <o:LockedField>false</o:LockedField>
          </o:OLEObject>
        </w:object>
      </w:r>
      <w:r>
        <w:rPr>
          <w:rFonts w:hint="eastAsia" w:ascii="Times New Roman" w:hAnsi="Times New Roman" w:eastAsia="宋体" w:cs="Times New Roman"/>
          <w:sz w:val="24"/>
        </w:rPr>
        <w:t>、</w:t>
      </w:r>
      <w:r>
        <w:rPr>
          <w:rFonts w:ascii="Times New Roman" w:hAnsi="Times New Roman" w:eastAsia="宋体" w:cs="Times New Roman"/>
          <w:position w:val="-14"/>
          <w:sz w:val="24"/>
        </w:rPr>
        <w:object>
          <v:shape id="_x0000_i1206" o:spt="75" type="#_x0000_t75" style="height:19.8pt;width:13.8pt;" o:ole="t" filled="f" o:preferrelative="t" stroked="f" coordsize="21600,21600">
            <v:path/>
            <v:fill on="f" focussize="0,0"/>
            <v:stroke on="f" joinstyle="miter"/>
            <v:imagedata r:id="rId180" o:title=""/>
            <o:lock v:ext="edit" aspectratio="t"/>
            <w10:wrap type="none"/>
            <w10:anchorlock/>
          </v:shape>
          <o:OLEObject Type="Embed" ProgID="Equation.3" ShapeID="_x0000_i1206" DrawAspect="Content" ObjectID="_1468075906" r:id="rId570">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分别为第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土条滑弧面处土的粘聚力（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）、内摩擦角（</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p>
    <w:p>
      <w:pPr>
        <w:widowControl w:val="0"/>
        <w:autoSpaceDE w:val="0"/>
        <w:autoSpaceDN w:val="0"/>
        <w:adjustRightInd w:val="0"/>
        <w:spacing w:line="480" w:lineRule="exact"/>
        <w:ind w:left="1560" w:leftChars="350" w:hanging="720" w:hangingChars="300"/>
        <w:rPr>
          <w:rFonts w:ascii="Times New Roman" w:hAnsi="Times New Roman" w:eastAsia="宋体" w:cs="Times New Roman"/>
          <w:kern w:val="0"/>
          <w:sz w:val="24"/>
          <w:szCs w:val="24"/>
        </w:rPr>
      </w:pPr>
      <w:r>
        <w:rPr>
          <w:rFonts w:ascii="Times New Roman" w:hAnsi="Times New Roman" w:eastAsia="宋体" w:cs="Times New Roman"/>
          <w:kern w:val="0"/>
          <w:position w:val="-14"/>
          <w:sz w:val="24"/>
          <w:szCs w:val="24"/>
        </w:rPr>
        <w:object>
          <v:shape id="_x0000_i1207" o:spt="75" type="#_x0000_t75" style="height:19.8pt;width:13.2pt;" o:ole="t" filled="f" o:preferrelative="t" stroked="f" coordsize="21600,21600">
            <v:path/>
            <v:fill on="f" focussize="0,0"/>
            <v:stroke on="f" joinstyle="miter"/>
            <v:imagedata r:id="rId572" o:title=""/>
            <o:lock v:ext="edit" aspectratio="t"/>
            <w10:wrap type="none"/>
            <w10:anchorlock/>
          </v:shape>
          <o:OLEObject Type="Embed" ProgID="Equation.DSMT4" ShapeID="_x0000_i1207" DrawAspect="Content" ObjectID="_1468075907" r:id="rId571">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w:t>
      </w:r>
      <w:r>
        <w:rPr>
          <w:rFonts w:hint="eastAsia" w:ascii="Times New Roman" w:hAnsi="Times New Roman" w:eastAsia="宋体" w:cs="Times New Roman"/>
          <w:kern w:val="0"/>
          <w:sz w:val="24"/>
          <w:szCs w:val="24"/>
        </w:rPr>
        <w:t>的宽度</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 xml:space="preserve"> </w:t>
      </w:r>
    </w:p>
    <w:p>
      <w:pPr>
        <w:widowControl w:val="0"/>
        <w:tabs>
          <w:tab w:val="left" w:pos="1080"/>
          <w:tab w:val="left" w:pos="1120"/>
          <w:tab w:val="left" w:pos="1372"/>
          <w:tab w:val="left" w:pos="2160"/>
          <w:tab w:val="left" w:pos="3060"/>
          <w:tab w:val="left" w:pos="4680"/>
          <w:tab w:val="left" w:pos="7020"/>
        </w:tabs>
        <w:spacing w:line="480" w:lineRule="exact"/>
        <w:ind w:left="141" w:leftChars="59" w:firstLine="708" w:firstLineChars="295"/>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08" o:spt="75" type="#_x0000_t75" style="height:19.2pt;width:13.2pt;" o:ole="t" filled="f" o:preferrelative="t" stroked="f" coordsize="21600,21600">
            <v:path/>
            <v:fill on="f" focussize="0,0"/>
            <v:stroke on="f" joinstyle="miter"/>
            <v:imagedata r:id="rId574" o:title=""/>
            <o:lock v:ext="edit" aspectratio="t"/>
            <w10:wrap type="none"/>
            <w10:anchorlock/>
          </v:shape>
          <o:OLEObject Type="Embed" ProgID="Equation.DSMT4" ShapeID="_x0000_i1208" DrawAspect="Content" ObjectID="_1468075908" r:id="rId573">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土条滑弧面中点处的法线与垂直面的夹角（</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p>
    <w:p>
      <w:pPr>
        <w:widowControl w:val="0"/>
        <w:autoSpaceDE w:val="0"/>
        <w:autoSpaceDN w:val="0"/>
        <w:adjustRightInd w:val="0"/>
        <w:spacing w:line="480" w:lineRule="exact"/>
        <w:ind w:firstLine="840" w:firstLineChars="350"/>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09" o:spt="75" type="#_x0000_t75" style="height:19.8pt;width:10.8pt;" o:ole="t" filled="f" o:preferrelative="t" stroked="f" coordsize="21600,21600">
            <v:path/>
            <v:fill on="f" focussize="0,0"/>
            <v:stroke on="f" joinstyle="miter"/>
            <v:imagedata r:id="rId576" o:title=""/>
            <o:lock v:ext="edit" aspectratio="t"/>
            <w10:wrap type="none"/>
            <w10:anchorlock/>
          </v:shape>
          <o:OLEObject Type="Embed" ProgID="Equation.DSMT4" ShapeID="_x0000_i1209" DrawAspect="Content" ObjectID="_1468075909" r:id="rId575">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土条的滑弧长度（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sz w:val="24"/>
        </w:rPr>
        <w:t>取</w:t>
      </w:r>
      <w:r>
        <w:rPr>
          <w:rFonts w:ascii="Times New Roman" w:hAnsi="Times New Roman" w:eastAsia="宋体" w:cs="Times New Roman"/>
          <w:position w:val="-14"/>
          <w:sz w:val="24"/>
        </w:rPr>
        <w:object>
          <v:shape id="_x0000_i1210" o:spt="75" type="#_x0000_t75" style="height:19.8pt;width:67.8pt;" o:ole="t" filled="f" o:preferrelative="t" stroked="f" coordsize="21600,21600">
            <v:path/>
            <v:fill on="f" focussize="0,0"/>
            <v:stroke on="f" joinstyle="miter"/>
            <v:imagedata r:id="rId188" o:title=""/>
            <o:lock v:ext="edit" aspectratio="t"/>
            <w10:wrap type="none"/>
            <w10:anchorlock/>
          </v:shape>
          <o:OLEObject Type="Embed" ProgID="Equation.3" ShapeID="_x0000_i1210" DrawAspect="Content" ObjectID="_1468075910" r:id="rId577">
            <o:LockedField>false</o:LockedField>
          </o:OLEObject>
        </w:object>
      </w:r>
      <w:r>
        <w:rPr>
          <w:rFonts w:hint="eastAsia" w:ascii="Times New Roman" w:hAnsi="Times New Roman" w:eastAsia="宋体" w:cs="Times New Roman"/>
          <w:sz w:val="24"/>
          <w:szCs w:val="24"/>
        </w:rPr>
        <w:t>；</w:t>
      </w:r>
    </w:p>
    <w:p>
      <w:pPr>
        <w:widowControl w:val="0"/>
        <w:autoSpaceDE w:val="0"/>
        <w:autoSpaceDN w:val="0"/>
        <w:adjustRightInd w:val="0"/>
        <w:spacing w:line="480" w:lineRule="exact"/>
        <w:ind w:firstLine="840" w:firstLineChars="350"/>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11" o:spt="75" type="#_x0000_t75" style="height:19.8pt;width:13.2pt;" o:ole="t" filled="f" o:preferrelative="t" stroked="f" coordsize="21600,21600">
            <v:path/>
            <v:fill on="f" focussize="0,0"/>
            <v:stroke on="f" joinstyle="miter"/>
            <v:imagedata r:id="rId579" o:title=""/>
            <o:lock v:ext="edit" aspectratio="t"/>
            <w10:wrap type="none"/>
            <w10:anchorlock/>
          </v:shape>
          <o:OLEObject Type="Embed" ProgID="Equation.DSMT4" ShapeID="_x0000_i1211" DrawAspect="Content" ObjectID="_1468075911" r:id="rId578">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作用在第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土条上的附加分布荷载标准值（</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w:t>
      </w:r>
    </w:p>
    <w:p>
      <w:pPr>
        <w:widowControl w:val="0"/>
        <w:tabs>
          <w:tab w:val="left" w:pos="615"/>
          <w:tab w:val="left" w:pos="1134"/>
          <w:tab w:val="left" w:pos="2160"/>
          <w:tab w:val="left" w:pos="3060"/>
          <w:tab w:val="left" w:pos="4680"/>
          <w:tab w:val="left" w:pos="7020"/>
        </w:tabs>
        <w:spacing w:line="480" w:lineRule="exact"/>
        <w:ind w:left="1834" w:hanging="1125"/>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12" o:spt="75" type="#_x0000_t75" style="height:19.8pt;width:24pt;" o:ole="t" filled="f" o:preferrelative="t" stroked="f" coordsize="21600,21600">
            <v:path/>
            <v:fill on="f" focussize="0,0"/>
            <v:stroke on="f" joinstyle="miter"/>
            <v:imagedata r:id="rId581" o:title=""/>
            <o:lock v:ext="edit" aspectratio="t"/>
            <w10:wrap type="none"/>
            <w10:anchorlock/>
          </v:shape>
          <o:OLEObject Type="Embed" ProgID="Equation.DSMT4" ShapeID="_x0000_i1212" DrawAspect="Content" ObjectID="_1468075912" r:id="rId580">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土条的自重（</w:t>
      </w:r>
      <w:r>
        <w:rPr>
          <w:rFonts w:ascii="Times New Roman" w:hAnsi="Times New Roman" w:eastAsia="宋体" w:cs="Times New Roman"/>
          <w:kern w:val="0"/>
          <w:sz w:val="24"/>
          <w:szCs w:val="24"/>
        </w:rPr>
        <w:t>kN</w:t>
      </w:r>
      <w:r>
        <w:rPr>
          <w:rFonts w:hint="eastAsia" w:ascii="Times New Roman" w:hAnsi="Times New Roman" w:eastAsia="宋体" w:cs="Times New Roman"/>
          <w:sz w:val="24"/>
          <w:szCs w:val="24"/>
        </w:rPr>
        <w:t>），按天然重度计算；</w:t>
      </w:r>
      <w:r>
        <w:rPr>
          <w:rFonts w:ascii="Times New Roman" w:hAnsi="Times New Roman" w:eastAsia="宋体" w:cs="Times New Roman"/>
          <w:sz w:val="24"/>
          <w:szCs w:val="24"/>
        </w:rPr>
        <w:t xml:space="preserve"> </w:t>
      </w:r>
    </w:p>
    <w:p>
      <w:pPr>
        <w:widowControl w:val="0"/>
        <w:tabs>
          <w:tab w:val="left" w:pos="765"/>
          <w:tab w:val="left" w:pos="1120"/>
          <w:tab w:val="left" w:pos="1372"/>
          <w:tab w:val="left" w:pos="2160"/>
          <w:tab w:val="left" w:pos="3060"/>
          <w:tab w:val="left" w:pos="4680"/>
          <w:tab w:val="left" w:pos="7020"/>
        </w:tabs>
        <w:spacing w:line="480" w:lineRule="exact"/>
        <w:ind w:left="1440" w:leftChars="350" w:hanging="600" w:hangingChars="250"/>
        <w:rPr>
          <w:rFonts w:ascii="Times New Roman" w:hAnsi="Times New Roman" w:eastAsia="宋体" w:cs="Times New Roman"/>
          <w:sz w:val="24"/>
          <w:szCs w:val="24"/>
        </w:rPr>
      </w:pPr>
      <w:r>
        <w:rPr>
          <w:rFonts w:ascii="Times New Roman" w:hAnsi="Times New Roman" w:eastAsia="宋体" w:cs="Times New Roman"/>
          <w:i/>
          <w:position w:val="-14"/>
          <w:sz w:val="24"/>
          <w:szCs w:val="24"/>
        </w:rPr>
        <w:object>
          <v:shape id="_x0000_i1213" o:spt="75" type="#_x0000_t75" style="height:19.8pt;width:13.2pt;" o:ole="t" filled="f" o:preferrelative="t" stroked="f" coordsize="21600,21600">
            <v:path/>
            <v:fill on="f" focussize="0,0"/>
            <v:stroke on="f" joinstyle="miter"/>
            <v:imagedata r:id="rId583" o:title=""/>
            <o:lock v:ext="edit" aspectratio="t"/>
            <w10:wrap type="none"/>
            <w10:anchorlock/>
          </v:shape>
          <o:OLEObject Type="Embed" ProgID="Equation.DSMT4" ShapeID="_x0000_i1213" DrawAspect="Content" ObjectID="_1468075913" r:id="rId582">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土条在滑弧面上的孔隙水压力（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）；对地下水位以下的砂土、碎石土、粉土，当地下水是静止的或渗流水力梯度可忽略不计时，在基坑外侧，可取</w:t>
      </w:r>
      <w:r>
        <w:rPr>
          <w:rFonts w:ascii="Times New Roman" w:hAnsi="Times New Roman" w:eastAsia="宋体" w:cs="Times New Roman"/>
          <w:i/>
          <w:position w:val="-14"/>
          <w:sz w:val="24"/>
          <w:szCs w:val="24"/>
        </w:rPr>
        <w:object>
          <v:shape id="_x0000_i1214" o:spt="75" type="#_x0000_t75" style="height:19.8pt;width:13.2pt;" o:ole="t" filled="f" o:preferrelative="t" stroked="f" coordsize="21600,21600">
            <v:path/>
            <v:fill on="f" focussize="0,0"/>
            <v:stroke on="f" joinstyle="miter"/>
            <v:imagedata r:id="rId585" o:title=""/>
            <o:lock v:ext="edit" aspectratio="t"/>
            <w10:wrap type="none"/>
            <w10:anchorlock/>
          </v:shape>
          <o:OLEObject Type="Embed" ProgID="Equation.DSMT4" ShapeID="_x0000_i1214" DrawAspect="Content" ObjectID="_1468075914" r:id="rId584">
            <o:LockedField>false</o:LockedField>
          </o:OLEObject>
        </w:objec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wa</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hint="eastAsia" w:ascii="Times New Roman" w:hAnsi="Times New Roman" w:eastAsia="宋体" w:cs="Times New Roman"/>
          <w:sz w:val="24"/>
          <w:szCs w:val="24"/>
        </w:rPr>
        <w:t>，在基坑内侧，可取</w:t>
      </w:r>
      <w:r>
        <w:rPr>
          <w:rFonts w:ascii="Times New Roman" w:hAnsi="Times New Roman" w:eastAsia="宋体" w:cs="Times New Roman"/>
          <w:i/>
          <w:position w:val="-14"/>
          <w:sz w:val="24"/>
          <w:szCs w:val="24"/>
        </w:rPr>
        <w:object>
          <v:shape id="_x0000_i1215" o:spt="75" type="#_x0000_t75" style="height:19.8pt;width:13.2pt;" o:ole="t" filled="f" o:preferrelative="t" stroked="f" coordsize="21600,21600">
            <v:path/>
            <v:fill on="f" focussize="0,0"/>
            <v:stroke on="f" joinstyle="miter"/>
            <v:imagedata r:id="rId587" o:title=""/>
            <o:lock v:ext="edit" aspectratio="t"/>
            <w10:wrap type="none"/>
            <w10:anchorlock/>
          </v:shape>
          <o:OLEObject Type="Embed" ProgID="Equation.DSMT4" ShapeID="_x0000_i1215" DrawAspect="Content" ObjectID="_1468075915" r:id="rId586">
            <o:LockedField>false</o:LockedField>
          </o:OLEObject>
        </w:objec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wp</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hint="eastAsia" w:ascii="Times New Roman" w:hAnsi="Times New Roman" w:eastAsia="宋体" w:cs="Times New Roman"/>
          <w:sz w:val="24"/>
          <w:szCs w:val="24"/>
        </w:rPr>
        <w:t>；对地下水位以上的各类土和地下水位以下的粘性土，取</w:t>
      </w:r>
      <w:r>
        <w:rPr>
          <w:rFonts w:ascii="Times New Roman" w:hAnsi="Times New Roman" w:eastAsia="宋体" w:cs="Times New Roman"/>
          <w:i/>
          <w:position w:val="-14"/>
          <w:sz w:val="24"/>
          <w:szCs w:val="24"/>
        </w:rPr>
        <w:object>
          <v:shape id="_x0000_i1216" o:spt="75" type="#_x0000_t75" style="height:19.8pt;width:13.2pt;" o:ole="t" filled="f" o:preferrelative="t" stroked="f" coordsize="21600,21600">
            <v:path/>
            <v:fill on="f" focussize="0,0"/>
            <v:stroke on="f" joinstyle="miter"/>
            <v:imagedata r:id="rId589" o:title=""/>
            <o:lock v:ext="edit" aspectratio="t"/>
            <w10:wrap type="none"/>
            <w10:anchorlock/>
          </v:shape>
          <o:OLEObject Type="Embed" ProgID="Equation.DSMT4" ShapeID="_x0000_i1216" DrawAspect="Content" ObjectID="_1468075916" r:id="rId588">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pPr>
        <w:widowControl w:val="0"/>
        <w:tabs>
          <w:tab w:val="left" w:pos="765"/>
          <w:tab w:val="left" w:pos="1120"/>
          <w:tab w:val="left" w:pos="1372"/>
          <w:tab w:val="left" w:pos="2160"/>
          <w:tab w:val="left" w:pos="3060"/>
          <w:tab w:val="left" w:pos="4680"/>
          <w:tab w:val="left" w:pos="7020"/>
        </w:tabs>
        <w:spacing w:line="480" w:lineRule="exact"/>
        <w:ind w:left="283" w:leftChars="118" w:firstLine="600" w:firstLineChars="250"/>
        <w:rPr>
          <w:rFonts w:ascii="Times New Roman" w:hAnsi="Times New Roman" w:eastAsia="宋体" w:cs="Times New Roman"/>
          <w:sz w:val="24"/>
          <w:szCs w:val="24"/>
        </w:rPr>
      </w:pP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地下水重度（</w:t>
      </w:r>
      <w:r>
        <w:rPr>
          <w:rFonts w:ascii="Times New Roman" w:hAnsi="Times New Roman" w:eastAsia="宋体" w:cs="Times New Roman"/>
          <w:sz w:val="24"/>
          <w:szCs w:val="24"/>
        </w:rPr>
        <w:t>kN/m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p>
    <w:p>
      <w:pPr>
        <w:widowControl w:val="0"/>
        <w:tabs>
          <w:tab w:val="left" w:pos="658"/>
          <w:tab w:val="left" w:pos="1134"/>
          <w:tab w:val="left" w:pos="1372"/>
          <w:tab w:val="left" w:pos="2160"/>
          <w:tab w:val="left" w:pos="3060"/>
          <w:tab w:val="left" w:pos="4680"/>
          <w:tab w:val="left" w:pos="7020"/>
        </w:tabs>
        <w:spacing w:line="480" w:lineRule="exact"/>
        <w:ind w:left="425" w:leftChars="177" w:firstLine="480" w:firstLineChars="200"/>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wa</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基坑外地下水位至第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土条滑弧面中点的深度（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tabs>
          <w:tab w:val="left" w:pos="658"/>
          <w:tab w:val="left" w:pos="1134"/>
          <w:tab w:val="left" w:pos="1372"/>
          <w:tab w:val="left" w:pos="2160"/>
          <w:tab w:val="left" w:pos="3060"/>
          <w:tab w:val="left" w:pos="4680"/>
          <w:tab w:val="left" w:pos="7020"/>
        </w:tabs>
        <w:spacing w:line="480" w:lineRule="exact"/>
        <w:ind w:left="989" w:leftChars="354" w:hanging="139" w:hangingChars="58"/>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wp</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基坑内地下水位至第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土条滑弧面中点的深度（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tabs>
          <w:tab w:val="left" w:pos="660"/>
          <w:tab w:val="left" w:pos="1440"/>
          <w:tab w:val="left" w:pos="2160"/>
          <w:tab w:val="left" w:pos="3060"/>
          <w:tab w:val="left" w:pos="4680"/>
          <w:tab w:val="left" w:pos="7020"/>
        </w:tabs>
        <w:spacing w:line="480" w:lineRule="exact"/>
        <w:ind w:left="1351" w:leftChars="354" w:hanging="501" w:hangingChars="209"/>
        <w:rPr>
          <w:rFonts w:ascii="Times New Roman" w:hAnsi="Times New Roman" w:eastAsia="宋体" w:cs="Times New Roman"/>
          <w:sz w:val="24"/>
        </w:rPr>
      </w:pPr>
      <w:r>
        <w:rPr>
          <w:rFonts w:ascii="Times New Roman" w:hAnsi="Times New Roman" w:eastAsia="宋体" w:cs="Times New Roman"/>
          <w:position w:val="-14"/>
          <w:sz w:val="24"/>
          <w:szCs w:val="24"/>
        </w:rPr>
        <w:object>
          <v:shape id="_x0000_i1217" o:spt="75" type="#_x0000_t75" style="height:19.2pt;width:21pt;" o:ole="t" filled="f" o:preferrelative="t" stroked="f" coordsize="21600,21600">
            <v:path/>
            <v:fill on="f" focussize="0,0"/>
            <v:stroke on="f" joinstyle="miter"/>
            <v:imagedata r:id="rId591" o:title=""/>
            <o:lock v:ext="edit" aspectratio="t"/>
            <w10:wrap type="none"/>
            <w10:anchorlock/>
          </v:shape>
          <o:OLEObject Type="Embed" ProgID="Equation.DSMT4" ShapeID="_x0000_i1217" DrawAspect="Content" ObjectID="_1468075917" r:id="rId590">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rPr>
        <w:t>第</w:t>
      </w:r>
      <w:r>
        <w:rPr>
          <w:rFonts w:ascii="Times New Roman" w:hAnsi="Times New Roman" w:eastAsia="宋体" w:cs="Times New Roman"/>
          <w:i/>
          <w:sz w:val="24"/>
        </w:rPr>
        <w:t>k</w:t>
      </w:r>
      <w:r>
        <w:rPr>
          <w:rFonts w:hint="eastAsia" w:ascii="Times New Roman" w:hAnsi="Times New Roman" w:eastAsia="宋体" w:cs="Times New Roman"/>
          <w:sz w:val="24"/>
        </w:rPr>
        <w:t>层土钉或锚杆在</w:t>
      </w:r>
      <w:r>
        <w:rPr>
          <w:rFonts w:ascii="Times New Roman" w:hAnsi="Times New Roman" w:eastAsia="宋体" w:cs="Times New Roman"/>
          <w:sz w:val="24"/>
        </w:rPr>
        <w:t>滑动面以外的锚固段的极限抗拔承载力标准值与杆体受拉承载力标准值（</w:t>
      </w:r>
      <w:r>
        <w:rPr>
          <w:rFonts w:ascii="Times New Roman" w:hAnsi="Times New Roman" w:eastAsia="宋体" w:cs="Times New Roman"/>
          <w:position w:val="-14"/>
          <w:sz w:val="24"/>
          <w:szCs w:val="24"/>
        </w:rPr>
        <w:object>
          <v:shape id="_x0000_i1218" o:spt="75" type="#_x0000_t75" style="height:19.8pt;width:28.2pt;" o:ole="t" filled="f" o:preferrelative="t" stroked="f" coordsize="21600,21600">
            <v:path/>
            <v:fill on="f" focussize="0,0"/>
            <v:stroke on="f" joinstyle="miter"/>
            <v:imagedata r:id="rId593" o:title=""/>
            <o:lock v:ext="edit" aspectratio="t"/>
            <w10:wrap type="none"/>
            <w10:anchorlock/>
          </v:shape>
          <o:OLEObject Type="Embed" ProgID="Equation.DSMT4" ShapeID="_x0000_i1218" DrawAspect="Content" ObjectID="_1468075918" r:id="rId592">
            <o:LockedField>false</o:LockedField>
          </o:OLEObject>
        </w:object>
      </w:r>
      <w:r>
        <w:rPr>
          <w:rFonts w:hint="eastAsia" w:ascii="Times New Roman" w:hAnsi="Times New Roman" w:eastAsia="宋体" w:cs="Times New Roman"/>
          <w:sz w:val="24"/>
          <w:szCs w:val="24"/>
        </w:rPr>
        <w:t>或</w:t>
      </w:r>
      <w:r>
        <w:rPr>
          <w:rFonts w:ascii="Times New Roman" w:hAnsi="Times New Roman" w:eastAsia="宋体" w:cs="Times New Roman"/>
          <w:position w:val="-14"/>
          <w:sz w:val="24"/>
          <w:szCs w:val="24"/>
        </w:rPr>
        <w:object>
          <v:shape id="_x0000_i1219" o:spt="75" type="#_x0000_t75" style="height:19.8pt;width:31.8pt;" o:ole="t" filled="f" o:preferrelative="t" stroked="f" coordsize="21600,21600">
            <v:path/>
            <v:fill on="f" focussize="0,0"/>
            <v:stroke on="f" joinstyle="miter"/>
            <v:imagedata r:id="rId595" o:title=""/>
            <o:lock v:ext="edit" aspectratio="t"/>
            <w10:wrap type="none"/>
            <w10:anchorlock/>
          </v:shape>
          <o:OLEObject Type="Embed" ProgID="Equation.DSMT4" ShapeID="_x0000_i1219" DrawAspect="Content" ObjectID="_1468075919" r:id="rId594">
            <o:LockedField>false</o:LockedField>
          </o:OLEObject>
        </w:object>
      </w:r>
      <w:r>
        <w:rPr>
          <w:rFonts w:ascii="Times New Roman" w:hAnsi="Times New Roman" w:eastAsia="宋体" w:cs="Times New Roman"/>
          <w:sz w:val="24"/>
        </w:rPr>
        <w:t>）</w:t>
      </w:r>
      <w:r>
        <w:rPr>
          <w:rFonts w:hint="eastAsia" w:ascii="Times New Roman" w:hAnsi="Times New Roman" w:eastAsia="宋体" w:cs="Times New Roman"/>
          <w:sz w:val="24"/>
        </w:rPr>
        <w:t>的</w:t>
      </w:r>
      <w:r>
        <w:rPr>
          <w:rFonts w:ascii="Times New Roman" w:hAnsi="Times New Roman" w:eastAsia="宋体" w:cs="Times New Roman"/>
          <w:sz w:val="24"/>
        </w:rPr>
        <w:t>较小值</w:t>
      </w:r>
      <w:r>
        <w:rPr>
          <w:rFonts w:hint="eastAsia" w:ascii="Times New Roman" w:hAnsi="Times New Roman" w:eastAsia="宋体" w:cs="Times New Roman"/>
          <w:sz w:val="24"/>
          <w:szCs w:val="24"/>
        </w:rPr>
        <w:t>（</w:t>
      </w:r>
      <w:r>
        <w:rPr>
          <w:rFonts w:ascii="Times New Roman" w:hAnsi="Times New Roman" w:eastAsia="宋体" w:cs="Times New Roman"/>
          <w:kern w:val="0"/>
          <w:sz w:val="24"/>
          <w:szCs w:val="24"/>
        </w:rPr>
        <w:t>kN</w:t>
      </w:r>
      <w:r>
        <w:rPr>
          <w:rFonts w:hint="eastAsia" w:ascii="Times New Roman" w:hAnsi="Times New Roman" w:eastAsia="宋体" w:cs="Times New Roman"/>
          <w:sz w:val="24"/>
          <w:szCs w:val="24"/>
        </w:rPr>
        <w:t>）；</w:t>
      </w:r>
      <w:r>
        <w:rPr>
          <w:rFonts w:ascii="Times New Roman" w:hAnsi="Times New Roman" w:eastAsia="宋体" w:cs="Times New Roman"/>
          <w:sz w:val="24"/>
        </w:rPr>
        <w:t>锚固段的极限抗拔承载力标准值</w:t>
      </w:r>
      <w:r>
        <w:rPr>
          <w:rFonts w:hint="eastAsia" w:ascii="Times New Roman" w:hAnsi="Times New Roman" w:eastAsia="宋体" w:cs="Times New Roman"/>
          <w:sz w:val="24"/>
        </w:rPr>
        <w:t>应</w:t>
      </w:r>
      <w:r>
        <w:rPr>
          <w:rFonts w:ascii="Times New Roman" w:hAnsi="Times New Roman" w:eastAsia="宋体" w:cs="Times New Roman"/>
          <w:sz w:val="24"/>
        </w:rPr>
        <w:t>按本</w:t>
      </w:r>
      <w:r>
        <w:rPr>
          <w:rFonts w:hint="eastAsia" w:ascii="Times New Roman" w:hAnsi="Times New Roman" w:cs="Times New Roman"/>
          <w:sz w:val="24"/>
          <w:lang w:eastAsia="zh-CN"/>
        </w:rPr>
        <w:t>标准</w:t>
      </w:r>
      <w:r>
        <w:rPr>
          <w:rFonts w:ascii="Times New Roman" w:hAnsi="Times New Roman" w:eastAsia="宋体" w:cs="Times New Roman"/>
          <w:sz w:val="24"/>
        </w:rPr>
        <w:t>第</w:t>
      </w:r>
      <w:r>
        <w:rPr>
          <w:rFonts w:hint="eastAsia" w:ascii="Times New Roman" w:hAnsi="Times New Roman" w:eastAsia="宋体" w:cs="Times New Roman"/>
          <w:sz w:val="24"/>
        </w:rPr>
        <w:t>9.2.6条</w:t>
      </w:r>
      <w:r>
        <w:rPr>
          <w:rFonts w:ascii="Times New Roman" w:hAnsi="Times New Roman" w:eastAsia="宋体" w:cs="Times New Roman"/>
          <w:sz w:val="24"/>
        </w:rPr>
        <w:t>和</w:t>
      </w:r>
      <w:r>
        <w:rPr>
          <w:rFonts w:hint="eastAsia" w:ascii="Times New Roman" w:hAnsi="Times New Roman" w:eastAsia="宋体" w:cs="Times New Roman"/>
          <w:sz w:val="24"/>
        </w:rPr>
        <w:t>8.</w:t>
      </w:r>
      <w:r>
        <w:rPr>
          <w:rFonts w:ascii="Times New Roman" w:hAnsi="Times New Roman" w:eastAsia="宋体" w:cs="Times New Roman"/>
          <w:sz w:val="24"/>
        </w:rPr>
        <w:t>5</w:t>
      </w:r>
      <w:r>
        <w:rPr>
          <w:rFonts w:hint="eastAsia" w:ascii="Times New Roman" w:hAnsi="Times New Roman" w:eastAsia="宋体" w:cs="Times New Roman"/>
          <w:sz w:val="24"/>
        </w:rPr>
        <w:t>.</w:t>
      </w:r>
      <w:r>
        <w:rPr>
          <w:rFonts w:ascii="Times New Roman" w:hAnsi="Times New Roman" w:eastAsia="宋体" w:cs="Times New Roman"/>
          <w:sz w:val="24"/>
        </w:rPr>
        <w:t>8</w:t>
      </w:r>
      <w:r>
        <w:rPr>
          <w:rFonts w:hint="eastAsia" w:ascii="Times New Roman" w:hAnsi="Times New Roman" w:eastAsia="宋体" w:cs="Times New Roman"/>
          <w:sz w:val="24"/>
        </w:rPr>
        <w:t>条</w:t>
      </w:r>
      <w:r>
        <w:rPr>
          <w:rFonts w:ascii="Times New Roman" w:hAnsi="Times New Roman" w:eastAsia="宋体" w:cs="Times New Roman"/>
          <w:sz w:val="24"/>
        </w:rPr>
        <w:t>的规定计算，但锚固段应取圆弧滑动面以外的长度；</w:t>
      </w:r>
    </w:p>
    <w:p>
      <w:pPr>
        <w:widowControl w:val="0"/>
        <w:tabs>
          <w:tab w:val="left" w:pos="870"/>
          <w:tab w:val="left" w:pos="1120"/>
          <w:tab w:val="left" w:pos="1372"/>
          <w:tab w:val="left" w:pos="2160"/>
          <w:tab w:val="left" w:pos="3060"/>
          <w:tab w:val="left" w:pos="4680"/>
          <w:tab w:val="left" w:pos="7020"/>
        </w:tabs>
        <w:spacing w:line="480" w:lineRule="exact"/>
        <w:ind w:firstLine="849" w:firstLineChars="354"/>
        <w:rPr>
          <w:rFonts w:ascii="Times New Roman" w:hAnsi="Times New Roman" w:eastAsia="宋体" w:cs="Times New Roman"/>
          <w:sz w:val="24"/>
        </w:rPr>
      </w:pPr>
      <w:r>
        <w:rPr>
          <w:rFonts w:ascii="Times New Roman" w:hAnsi="Times New Roman" w:eastAsia="宋体" w:cs="Times New Roman"/>
          <w:position w:val="-12"/>
          <w:sz w:val="24"/>
        </w:rPr>
        <w:object>
          <v:shape id="_x0000_i1220" o:spt="75" type="#_x0000_t75" style="height:18pt;width:15pt;" o:ole="t" filled="f" o:preferrelative="t" stroked="f" coordsize="21600,21600">
            <v:path/>
            <v:fill on="f" focussize="0,0"/>
            <v:stroke on="f" joinstyle="miter"/>
            <v:imagedata r:id="rId216" o:title=""/>
            <o:lock v:ext="edit" aspectratio="t"/>
            <w10:wrap type="none"/>
            <w10:anchorlock/>
          </v:shape>
          <o:OLEObject Type="Embed" ProgID="Equation.3" ShapeID="_x0000_i1220" DrawAspect="Content" ObjectID="_1468075920" r:id="rId596">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rPr>
        <w:t>第</w:t>
      </w:r>
      <w:r>
        <w:rPr>
          <w:rFonts w:ascii="Times New Roman" w:hAnsi="Times New Roman" w:eastAsia="宋体" w:cs="Times New Roman"/>
          <w:i/>
          <w:sz w:val="24"/>
        </w:rPr>
        <w:t>k</w:t>
      </w:r>
      <w:r>
        <w:rPr>
          <w:rFonts w:hint="eastAsia" w:ascii="Times New Roman" w:hAnsi="Times New Roman" w:eastAsia="宋体" w:cs="Times New Roman"/>
          <w:sz w:val="24"/>
        </w:rPr>
        <w:t>层土钉或锚杆的倾角</w:t>
      </w:r>
      <w:r>
        <w:rPr>
          <w:rFonts w:hint="eastAsia" w:ascii="Times New Roman" w:hAnsi="Times New Roman" w:eastAsia="宋体" w:cs="Times New Roman"/>
          <w:sz w:val="24"/>
          <w:szCs w:val="24"/>
        </w:rPr>
        <w:t>（</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r>
        <w:rPr>
          <w:rFonts w:hint="eastAsia" w:ascii="Times New Roman" w:hAnsi="Times New Roman" w:eastAsia="宋体" w:cs="Times New Roman"/>
          <w:sz w:val="24"/>
        </w:rPr>
        <w:t>；</w:t>
      </w:r>
    </w:p>
    <w:p>
      <w:pPr>
        <w:widowControl w:val="0"/>
        <w:tabs>
          <w:tab w:val="left" w:pos="870"/>
          <w:tab w:val="left" w:pos="1120"/>
          <w:tab w:val="left" w:pos="1372"/>
          <w:tab w:val="left" w:pos="2160"/>
          <w:tab w:val="left" w:pos="3060"/>
          <w:tab w:val="left" w:pos="4680"/>
          <w:tab w:val="left" w:pos="7020"/>
        </w:tabs>
        <w:spacing w:line="480" w:lineRule="exact"/>
        <w:ind w:firstLine="849" w:firstLineChars="354"/>
        <w:rPr>
          <w:rFonts w:ascii="Times New Roman" w:hAnsi="Times New Roman" w:eastAsia="宋体" w:cs="Times New Roman"/>
          <w:sz w:val="24"/>
        </w:rPr>
      </w:pPr>
      <w:r>
        <w:rPr>
          <w:rFonts w:ascii="Calibri" w:hAnsi="Calibri" w:eastAsia="宋体" w:cs="Times New Roman"/>
          <w:position w:val="-12"/>
          <w:sz w:val="24"/>
        </w:rPr>
        <w:object>
          <v:shape id="_x0000_i1221" o:spt="75" type="#_x0000_t75" style="height:18pt;width:13.8pt;" o:ole="t" filled="f" o:preferrelative="t" stroked="f" coordsize="21600,21600">
            <v:path/>
            <v:fill on="f" focussize="0,0"/>
            <v:stroke on="f" joinstyle="miter"/>
            <v:imagedata r:id="rId218" o:title=""/>
            <o:lock v:ext="edit" aspectratio="t"/>
            <w10:wrap type="none"/>
            <w10:anchorlock/>
          </v:shape>
          <o:OLEObject Type="Embed" ProgID="Equation.3" ShapeID="_x0000_i1221" DrawAspect="Content" ObjectID="_1468075921" r:id="rId597">
            <o:LockedField>false</o:LockedField>
          </o:OLEObject>
        </w:object>
      </w:r>
      <w:r>
        <w:rPr>
          <w:rFonts w:ascii="Times New Roman" w:hAnsi="Times New Roman" w:eastAsia="宋体" w:cs="Times New Roman"/>
          <w:sz w:val="24"/>
          <w:szCs w:val="24"/>
        </w:rPr>
        <w:t>——</w:t>
      </w:r>
      <w:r>
        <w:rPr>
          <w:rFonts w:hint="eastAsia" w:ascii="Calibri" w:hAnsi="Calibri" w:eastAsia="宋体" w:cs="Times New Roman"/>
          <w:sz w:val="24"/>
        </w:rPr>
        <w:t>滑动面在第</w:t>
      </w:r>
      <w:r>
        <w:rPr>
          <w:rFonts w:ascii="Times New Roman" w:hAnsi="Times New Roman" w:eastAsia="宋体" w:cs="Times New Roman"/>
          <w:i/>
          <w:sz w:val="24"/>
        </w:rPr>
        <w:t>k</w:t>
      </w:r>
      <w:r>
        <w:rPr>
          <w:rFonts w:hint="eastAsia" w:ascii="Calibri" w:hAnsi="Calibri" w:eastAsia="宋体" w:cs="Times New Roman"/>
          <w:sz w:val="24"/>
        </w:rPr>
        <w:t>层</w:t>
      </w:r>
      <w:r>
        <w:rPr>
          <w:rFonts w:hint="eastAsia" w:ascii="Times New Roman" w:hAnsi="Times New Roman" w:eastAsia="宋体" w:cs="Times New Roman"/>
          <w:sz w:val="24"/>
        </w:rPr>
        <w:t>土钉或锚杆</w:t>
      </w:r>
      <w:r>
        <w:rPr>
          <w:rFonts w:hint="eastAsia" w:ascii="Calibri" w:hAnsi="Calibri" w:eastAsia="宋体" w:cs="Times New Roman"/>
          <w:sz w:val="24"/>
        </w:rPr>
        <w:t>处的法线与垂直面的的夹角</w:t>
      </w:r>
      <w:r>
        <w:rPr>
          <w:rFonts w:hint="eastAsia" w:ascii="Times New Roman" w:hAnsi="Times New Roman" w:eastAsia="宋体" w:cs="Times New Roman"/>
          <w:sz w:val="24"/>
          <w:szCs w:val="24"/>
        </w:rPr>
        <w:t>（</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r>
        <w:rPr>
          <w:rFonts w:hint="eastAsia" w:ascii="Calibri" w:hAnsi="Calibri" w:eastAsia="宋体" w:cs="Times New Roman"/>
          <w:sz w:val="24"/>
        </w:rPr>
        <w:t>；</w:t>
      </w:r>
    </w:p>
    <w:p>
      <w:pPr>
        <w:widowControl w:val="0"/>
        <w:tabs>
          <w:tab w:val="left" w:pos="765"/>
          <w:tab w:val="left" w:pos="1440"/>
          <w:tab w:val="left" w:pos="1620"/>
          <w:tab w:val="left" w:pos="2160"/>
          <w:tab w:val="left" w:pos="3060"/>
          <w:tab w:val="left" w:pos="4680"/>
          <w:tab w:val="left" w:pos="7020"/>
        </w:tabs>
        <w:spacing w:line="480" w:lineRule="exact"/>
        <w:ind w:firstLine="708" w:firstLineChars="295"/>
        <w:rPr>
          <w:rFonts w:ascii="Times New Roman" w:hAnsi="Times New Roman" w:eastAsia="宋体" w:cs="Times New Roman"/>
          <w:sz w:val="24"/>
        </w:rPr>
      </w:pPr>
      <w:r>
        <w:rPr>
          <w:rFonts w:ascii="Calibri" w:hAnsi="Calibri" w:eastAsia="宋体" w:cs="Times New Roman"/>
          <w:position w:val="-14"/>
          <w:sz w:val="24"/>
        </w:rPr>
        <w:object>
          <v:shape id="_x0000_i1222" o:spt="75" type="#_x0000_t75" style="height:19.2pt;width:18pt;" o:ole="t" filled="f" o:preferrelative="t" stroked="f" coordsize="21600,21600">
            <v:path/>
            <v:fill on="f" focussize="0,0"/>
            <v:stroke on="f" joinstyle="miter"/>
            <v:imagedata r:id="rId599" o:title=""/>
            <o:lock v:ext="edit" aspectratio="t"/>
            <w10:wrap type="none"/>
            <w10:anchorlock/>
          </v:shape>
          <o:OLEObject Type="Embed" ProgID="Equation.DSMT4" ShapeID="_x0000_i1222" DrawAspect="Content" ObjectID="_1468075922" r:id="rId598">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rPr>
        <w:t>第</w:t>
      </w:r>
      <w:r>
        <w:rPr>
          <w:rFonts w:ascii="Times New Roman" w:hAnsi="Times New Roman" w:eastAsia="宋体" w:cs="Times New Roman"/>
          <w:i/>
          <w:sz w:val="24"/>
        </w:rPr>
        <w:t>k</w:t>
      </w:r>
      <w:r>
        <w:rPr>
          <w:rFonts w:hint="eastAsia" w:ascii="Times New Roman" w:hAnsi="Times New Roman" w:eastAsia="宋体" w:cs="Times New Roman"/>
          <w:sz w:val="24"/>
        </w:rPr>
        <w:t>层土钉或锚杆的水平间距</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sz w:val="24"/>
        </w:rPr>
        <w:t>；</w:t>
      </w:r>
    </w:p>
    <w:p>
      <w:pPr>
        <w:widowControl w:val="0"/>
        <w:tabs>
          <w:tab w:val="left" w:pos="870"/>
          <w:tab w:val="left" w:pos="930"/>
          <w:tab w:val="left" w:pos="1620"/>
          <w:tab w:val="left" w:pos="2160"/>
          <w:tab w:val="left" w:pos="3060"/>
          <w:tab w:val="left" w:pos="4680"/>
          <w:tab w:val="left" w:pos="7020"/>
        </w:tabs>
        <w:spacing w:line="480" w:lineRule="exact"/>
        <w:ind w:firstLine="849" w:firstLineChars="354"/>
        <w:rPr>
          <w:rFonts w:ascii="Times New Roman" w:hAnsi="Times New Roman" w:eastAsia="宋体" w:cs="Times New Roman"/>
          <w:sz w:val="24"/>
        </w:rPr>
      </w:pPr>
      <w:r>
        <w:rPr>
          <w:rFonts w:ascii="Times New Roman" w:hAnsi="Times New Roman" w:eastAsia="宋体" w:cs="Times New Roman"/>
          <w:position w:val="-12"/>
          <w:sz w:val="24"/>
        </w:rPr>
        <w:object>
          <v:shape id="_x0000_i1223" o:spt="75" type="#_x0000_t75" style="height:18pt;width:16.2pt;" o:ole="t" filled="f" o:preferrelative="t" stroked="f" coordsize="21600,21600">
            <v:path/>
            <v:fill on="f" focussize="0,0"/>
            <v:stroke on="f" joinstyle="miter"/>
            <v:imagedata r:id="rId601" o:title=""/>
            <o:lock v:ext="edit" aspectratio="t"/>
            <w10:wrap type="none"/>
            <w10:anchorlock/>
          </v:shape>
          <o:OLEObject Type="Embed" ProgID="Equation.DSMT4" ShapeID="_x0000_i1223" DrawAspect="Content" ObjectID="_1468075923" r:id="rId600">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rPr>
        <w:t>计算系数；可按</w:t>
      </w:r>
      <w:r>
        <w:rPr>
          <w:rFonts w:ascii="Times New Roman" w:hAnsi="Times New Roman" w:eastAsia="宋体" w:cs="Times New Roman"/>
          <w:position w:val="-14"/>
          <w:sz w:val="24"/>
        </w:rPr>
        <w:object>
          <v:shape id="_x0000_i1224" o:spt="75" type="#_x0000_t75" style="height:19.8pt;width:129pt;" o:ole="t" filled="f" o:preferrelative="t" stroked="f" coordsize="21600,21600">
            <v:path/>
            <v:fill on="f" focussize="0,0"/>
            <v:stroke on="f" joinstyle="miter"/>
            <v:imagedata r:id="rId603" o:title=""/>
            <o:lock v:ext="edit" aspectratio="t"/>
            <w10:wrap type="none"/>
            <w10:anchorlock/>
          </v:shape>
          <o:OLEObject Type="Embed" ProgID="Equation.DSMT4" ShapeID="_x0000_i1224" DrawAspect="Content" ObjectID="_1468075924" r:id="rId602">
            <o:LockedField>false</o:LockedField>
          </o:OLEObject>
        </w:object>
      </w:r>
      <w:r>
        <w:rPr>
          <w:rFonts w:hint="eastAsia" w:ascii="Times New Roman" w:hAnsi="Times New Roman" w:eastAsia="宋体" w:cs="Times New Roman"/>
          <w:sz w:val="24"/>
        </w:rPr>
        <w:t>取值；</w:t>
      </w:r>
    </w:p>
    <w:p>
      <w:pPr>
        <w:widowControl w:val="0"/>
        <w:tabs>
          <w:tab w:val="left" w:pos="870"/>
          <w:tab w:val="left" w:pos="930"/>
          <w:tab w:val="left" w:pos="1620"/>
          <w:tab w:val="left" w:pos="2160"/>
          <w:tab w:val="left" w:pos="3060"/>
          <w:tab w:val="left" w:pos="4680"/>
          <w:tab w:val="left" w:pos="7020"/>
        </w:tabs>
        <w:spacing w:line="480" w:lineRule="exact"/>
        <w:ind w:left="1" w:firstLine="849" w:firstLineChars="354"/>
        <w:rPr>
          <w:rFonts w:ascii="Times New Roman" w:hAnsi="Times New Roman" w:eastAsia="宋体" w:cs="Times New Roman"/>
          <w:sz w:val="24"/>
        </w:rPr>
      </w:pPr>
      <w:r>
        <w:rPr>
          <w:rFonts w:ascii="Times New Roman" w:hAnsi="Times New Roman" w:eastAsia="宋体" w:cs="Times New Roman"/>
          <w:position w:val="-10"/>
          <w:sz w:val="24"/>
        </w:rPr>
        <w:object>
          <v:shape id="_x0000_i1225" o:spt="75" type="#_x0000_t75" style="height:13.8pt;width:10.8pt;" o:ole="t" filled="f" o:preferrelative="t" stroked="f" coordsize="21600,21600">
            <v:path/>
            <v:fill on="f" focussize="0,0"/>
            <v:stroke on="f" joinstyle="miter"/>
            <v:imagedata r:id="rId226" o:title=""/>
            <o:lock v:ext="edit" aspectratio="t"/>
            <w10:wrap type="none"/>
            <w10:anchorlock/>
          </v:shape>
          <o:OLEObject Type="Embed" ProgID="Equation.3" ShapeID="_x0000_i1225" DrawAspect="Content" ObjectID="_1468075925" r:id="rId604">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rPr>
        <w:t>第</w:t>
      </w:r>
      <w:r>
        <w:rPr>
          <w:rFonts w:ascii="Times New Roman" w:hAnsi="Times New Roman" w:eastAsia="宋体" w:cs="Times New Roman"/>
          <w:i/>
          <w:sz w:val="24"/>
        </w:rPr>
        <w:t>k</w:t>
      </w:r>
      <w:r>
        <w:rPr>
          <w:rFonts w:hint="eastAsia" w:ascii="Times New Roman" w:hAnsi="Times New Roman" w:eastAsia="宋体" w:cs="Times New Roman"/>
          <w:sz w:val="24"/>
        </w:rPr>
        <w:t>层土钉或锚杆与滑弧交点处土的内摩擦角</w:t>
      </w:r>
      <w:r>
        <w:rPr>
          <w:rFonts w:hint="eastAsia" w:ascii="Times New Roman" w:hAnsi="Times New Roman" w:eastAsia="宋体" w:cs="Times New Roman"/>
          <w:sz w:val="24"/>
          <w:szCs w:val="24"/>
        </w:rPr>
        <w:t>（</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r>
        <w:rPr>
          <w:rFonts w:hint="eastAsia" w:ascii="Times New Roman" w:hAnsi="Times New Roman" w:eastAsia="宋体" w:cs="Times New Roman"/>
          <w:sz w:val="24"/>
        </w:rPr>
        <w:t>。</w:t>
      </w:r>
    </w:p>
    <w:p>
      <w:pPr>
        <w:widowControl w:val="0"/>
        <w:tabs>
          <w:tab w:val="left" w:pos="658"/>
          <w:tab w:val="left" w:pos="720"/>
          <w:tab w:val="left" w:pos="1440"/>
          <w:tab w:val="left" w:pos="2160"/>
          <w:tab w:val="left" w:pos="3060"/>
          <w:tab w:val="left" w:pos="4680"/>
          <w:tab w:val="left" w:pos="7020"/>
        </w:tabs>
        <w:spacing w:line="480" w:lineRule="exact"/>
        <w:ind w:left="2" w:leftChars="1" w:firstLine="480" w:firstLineChars="200"/>
        <w:rPr>
          <w:rFonts w:ascii="Times New Roman" w:hAnsi="Times New Roman" w:eastAsia="宋体" w:cs="Times New Roman"/>
          <w:sz w:val="24"/>
        </w:rPr>
      </w:pPr>
      <w:r>
        <w:rPr>
          <w:rFonts w:ascii="Times New Roman" w:hAnsi="Times New Roman" w:eastAsia="宋体" w:cs="Times New Roman"/>
          <w:sz w:val="24"/>
          <w:szCs w:val="28"/>
        </w:rPr>
        <w:t>3</w:t>
      </w:r>
      <w:r>
        <w:rPr>
          <w:rFonts w:hint="eastAsia" w:ascii="Times New Roman" w:hAnsi="Times New Roman" w:eastAsia="宋体" w:cs="Times New Roman"/>
          <w:sz w:val="24"/>
          <w:szCs w:val="28"/>
        </w:rPr>
        <w:t>当基坑面</w:t>
      </w:r>
      <w:r>
        <w:rPr>
          <w:rFonts w:hint="eastAsia" w:ascii="Times New Roman" w:hAnsi="Times New Roman" w:eastAsia="宋体" w:cs="Times New Roman"/>
          <w:sz w:val="24"/>
        </w:rPr>
        <w:t>以下存在软弱下卧土层时，整体稳定性验算滑动面中应包括由圆弧与软弱土层层面组成的复合滑动面。</w:t>
      </w:r>
    </w:p>
    <w:p>
      <w:pPr>
        <w:widowControl w:val="0"/>
        <w:tabs>
          <w:tab w:val="left" w:pos="658"/>
          <w:tab w:val="left" w:pos="720"/>
          <w:tab w:val="left" w:pos="1440"/>
          <w:tab w:val="left" w:pos="2160"/>
          <w:tab w:val="left" w:pos="3060"/>
          <w:tab w:val="left" w:pos="4680"/>
          <w:tab w:val="left" w:pos="7020"/>
        </w:tabs>
        <w:spacing w:line="480" w:lineRule="exact"/>
        <w:ind w:left="2" w:leftChars="1" w:firstLine="480" w:firstLineChars="200"/>
        <w:rPr>
          <w:rFonts w:ascii="Times New Roman" w:hAnsi="Times New Roman" w:eastAsia="宋体" w:cs="Times New Roman"/>
          <w:sz w:val="24"/>
        </w:rPr>
      </w:pPr>
      <w:r>
        <w:rPr>
          <w:rFonts w:hint="eastAsia" w:ascii="Times New Roman" w:hAnsi="Times New Roman" w:eastAsia="宋体" w:cs="Times New Roman"/>
          <w:sz w:val="24"/>
        </w:rPr>
        <w:t>4 微型</w:t>
      </w:r>
      <w:r>
        <w:rPr>
          <w:rFonts w:ascii="Times New Roman" w:hAnsi="Times New Roman" w:eastAsia="宋体" w:cs="Times New Roman"/>
          <w:sz w:val="24"/>
        </w:rPr>
        <w:t>桩、水泥土</w:t>
      </w:r>
      <w:r>
        <w:rPr>
          <w:rFonts w:hint="eastAsia" w:ascii="Times New Roman" w:hAnsi="Times New Roman" w:eastAsia="宋体" w:cs="Times New Roman"/>
          <w:sz w:val="24"/>
        </w:rPr>
        <w:t>桩</w:t>
      </w:r>
      <w:r>
        <w:rPr>
          <w:rFonts w:ascii="Times New Roman" w:hAnsi="Times New Roman" w:eastAsia="宋体" w:cs="Times New Roman"/>
          <w:sz w:val="24"/>
        </w:rPr>
        <w:t>复合</w:t>
      </w:r>
      <w:r>
        <w:rPr>
          <w:rFonts w:hint="eastAsia" w:ascii="Times New Roman" w:hAnsi="Times New Roman" w:eastAsia="宋体" w:cs="Times New Roman"/>
          <w:sz w:val="24"/>
        </w:rPr>
        <w:t>土钉墙</w:t>
      </w:r>
      <w:r>
        <w:rPr>
          <w:rFonts w:ascii="Times New Roman" w:hAnsi="Times New Roman" w:eastAsia="宋体" w:cs="Times New Roman"/>
          <w:sz w:val="24"/>
        </w:rPr>
        <w:t>，滑</w:t>
      </w:r>
      <w:r>
        <w:rPr>
          <w:rFonts w:hint="eastAsia" w:ascii="Times New Roman" w:hAnsi="Times New Roman" w:eastAsia="宋体" w:cs="Times New Roman"/>
          <w:sz w:val="24"/>
        </w:rPr>
        <w:t>弧穿过</w:t>
      </w:r>
      <w:r>
        <w:rPr>
          <w:rFonts w:ascii="Times New Roman" w:hAnsi="Times New Roman" w:eastAsia="宋体" w:cs="Times New Roman"/>
          <w:sz w:val="24"/>
        </w:rPr>
        <w:t>其嵌固段的土条可适当考虑桩的抗滑作用。</w:t>
      </w:r>
    </w:p>
    <w:p>
      <w:pPr>
        <w:widowControl w:val="0"/>
        <w:spacing w:line="240" w:lineRule="atLeast"/>
        <w:jc w:val="center"/>
        <w:rPr>
          <w:rFonts w:ascii="Times New Roman" w:hAnsi="Times New Roman" w:eastAsia="宋体" w:cs="Times New Roman"/>
          <w:sz w:val="24"/>
          <w:szCs w:val="21"/>
        </w:rPr>
      </w:pPr>
    </w:p>
    <w:p>
      <w:pPr>
        <w:widowControl w:val="0"/>
        <w:spacing w:line="240" w:lineRule="atLeast"/>
        <w:jc w:val="center"/>
        <w:rPr>
          <w:rFonts w:ascii="Times New Roman" w:hAnsi="Times New Roman" w:eastAsia="宋体" w:cs="Times New Roman"/>
          <w:sz w:val="24"/>
          <w:szCs w:val="21"/>
        </w:rPr>
      </w:pPr>
      <w:r>
        <w:rPr>
          <w:rFonts w:ascii="Calibri" w:hAnsi="Calibri" w:eastAsia="宋体" w:cs="Times New Roman"/>
          <w:sz w:val="24"/>
        </w:rPr>
        <w:drawing>
          <wp:inline distT="0" distB="0" distL="0" distR="0">
            <wp:extent cx="5036820" cy="1842770"/>
            <wp:effectExtent l="0" t="0" r="7620" b="1270"/>
            <wp:docPr id="231" name="图片 231" descr="C:\Users\Administrator\AppData\Roaming\feiq\RichOle\4091700805.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图片 231" descr="C:\Users\Administrator\AppData\Roaming\feiq\RichOle\4091700805.bmp"/>
                    <pic:cNvPicPr>
                      <a:picLocks noChangeAspect="true" noChangeArrowheads="true"/>
                    </pic:cNvPicPr>
                  </pic:nvPicPr>
                  <pic:blipFill>
                    <a:blip r:embed="rId605">
                      <a:extLst>
                        <a:ext uri="{28A0092B-C50C-407E-A947-70E740481C1C}">
                          <a14:useLocalDpi xmlns:a14="http://schemas.microsoft.com/office/drawing/2010/main" val="false"/>
                        </a:ext>
                      </a:extLst>
                    </a:blip>
                    <a:srcRect/>
                    <a:stretch>
                      <a:fillRect/>
                    </a:stretch>
                  </pic:blipFill>
                  <pic:spPr>
                    <a:xfrm>
                      <a:off x="0" y="0"/>
                      <a:ext cx="5037223" cy="1843200"/>
                    </a:xfrm>
                    <a:prstGeom prst="rect">
                      <a:avLst/>
                    </a:prstGeom>
                    <a:noFill/>
                    <a:ln>
                      <a:noFill/>
                    </a:ln>
                  </pic:spPr>
                </pic:pic>
              </a:graphicData>
            </a:graphic>
          </wp:inline>
        </w:drawing>
      </w:r>
    </w:p>
    <w:p>
      <w:pPr>
        <w:widowControl w:val="0"/>
        <w:spacing w:line="46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a</w:t>
      </w:r>
      <w:r>
        <w:rPr>
          <w:rFonts w:hint="eastAsia" w:ascii="Times New Roman" w:hAnsi="Times New Roman" w:eastAsia="宋体" w:cs="Times New Roman"/>
          <w:sz w:val="21"/>
          <w:szCs w:val="21"/>
        </w:rPr>
        <w:t>）土钉墙在地下水位以上</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r>
        <w:rPr>
          <w:rFonts w:ascii="Times New Roman" w:hAnsi="Times New Roman" w:eastAsia="宋体" w:cs="Times New Roman"/>
          <w:sz w:val="21"/>
          <w:szCs w:val="21"/>
        </w:rPr>
        <w:t>b</w:t>
      </w:r>
      <w:r>
        <w:rPr>
          <w:rFonts w:hint="eastAsia" w:ascii="Times New Roman" w:hAnsi="Times New Roman" w:eastAsia="宋体" w:cs="Times New Roman"/>
          <w:sz w:val="21"/>
          <w:szCs w:val="21"/>
        </w:rPr>
        <w:t>）水泥土桩或</w:t>
      </w:r>
      <w:r>
        <w:rPr>
          <w:rFonts w:ascii="Times New Roman" w:hAnsi="Times New Roman" w:eastAsia="宋体" w:cs="Times New Roman"/>
          <w:sz w:val="21"/>
          <w:szCs w:val="21"/>
        </w:rPr>
        <w:t>微型桩</w:t>
      </w:r>
      <w:r>
        <w:rPr>
          <w:rFonts w:hint="eastAsia" w:ascii="Times New Roman" w:hAnsi="Times New Roman" w:eastAsia="宋体" w:cs="Times New Roman"/>
          <w:sz w:val="21"/>
          <w:szCs w:val="21"/>
        </w:rPr>
        <w:t>复合土钉墙</w:t>
      </w:r>
    </w:p>
    <w:p>
      <w:pPr>
        <w:widowControl w:val="0"/>
        <w:spacing w:line="46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图</w:t>
      </w:r>
      <w:r>
        <w:rPr>
          <w:rFonts w:ascii="Times New Roman" w:hAnsi="Times New Roman" w:eastAsia="宋体" w:cs="Times New Roman"/>
          <w:sz w:val="21"/>
          <w:szCs w:val="21"/>
        </w:rPr>
        <w:t xml:space="preserve">9.2.8  </w:t>
      </w:r>
      <w:r>
        <w:rPr>
          <w:rFonts w:hint="eastAsia" w:ascii="Times New Roman" w:hAnsi="Times New Roman" w:eastAsia="宋体" w:cs="Times New Roman"/>
          <w:sz w:val="21"/>
          <w:szCs w:val="21"/>
        </w:rPr>
        <w:t>土钉墙整体滑动稳定性验算</w:t>
      </w:r>
    </w:p>
    <w:p>
      <w:pPr>
        <w:widowControl w:val="0"/>
        <w:spacing w:line="460" w:lineRule="exact"/>
        <w:ind w:left="-204" w:leftChars="-85" w:firstLine="735" w:firstLineChars="35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—滑动面；</w:t>
      </w:r>
      <w:r>
        <w:rPr>
          <w:rFonts w:ascii="Times New Roman" w:hAnsi="Times New Roman" w:eastAsia="宋体" w:cs="Times New Roman"/>
          <w:sz w:val="21"/>
          <w:szCs w:val="21"/>
        </w:rPr>
        <w:t xml:space="preserve">  2</w:t>
      </w:r>
      <w:r>
        <w:rPr>
          <w:rFonts w:hint="eastAsia" w:ascii="Times New Roman" w:hAnsi="Times New Roman" w:eastAsia="宋体" w:cs="Times New Roman"/>
          <w:sz w:val="21"/>
          <w:szCs w:val="21"/>
        </w:rPr>
        <w:t>—土钉或锚杆；</w:t>
      </w:r>
      <w:r>
        <w:rPr>
          <w:rFonts w:ascii="Times New Roman" w:hAnsi="Times New Roman" w:eastAsia="宋体" w:cs="Times New Roman"/>
          <w:sz w:val="21"/>
          <w:szCs w:val="21"/>
        </w:rPr>
        <w:t xml:space="preserve">    3</w:t>
      </w:r>
      <w:r>
        <w:rPr>
          <w:rFonts w:hint="eastAsia" w:ascii="Times New Roman" w:hAnsi="Times New Roman" w:eastAsia="宋体" w:cs="Times New Roman"/>
          <w:sz w:val="21"/>
          <w:szCs w:val="21"/>
        </w:rPr>
        <w:t>—喷射混凝土面层；</w:t>
      </w:r>
      <w:r>
        <w:rPr>
          <w:rFonts w:ascii="Times New Roman" w:hAnsi="Times New Roman" w:eastAsia="宋体" w:cs="Times New Roman"/>
          <w:sz w:val="21"/>
          <w:szCs w:val="21"/>
        </w:rPr>
        <w:t xml:space="preserve">    4</w:t>
      </w:r>
      <w:r>
        <w:rPr>
          <w:rFonts w:hint="eastAsia" w:ascii="Times New Roman" w:hAnsi="Times New Roman" w:eastAsia="宋体" w:cs="Times New Roman"/>
          <w:sz w:val="21"/>
          <w:szCs w:val="21"/>
        </w:rPr>
        <w:t>—水泥土桩或微型桩</w:t>
      </w:r>
    </w:p>
    <w:p>
      <w:pPr>
        <w:widowControl w:val="0"/>
        <w:spacing w:line="460" w:lineRule="exact"/>
        <w:jc w:val="left"/>
        <w:rPr>
          <w:rFonts w:ascii="Times New Roman" w:hAnsi="Times New Roman" w:eastAsia="宋体" w:cs="Times New Roman"/>
          <w:sz w:val="21"/>
          <w:szCs w:val="21"/>
        </w:rPr>
      </w:pPr>
      <w:r>
        <w:rPr>
          <w:rFonts w:ascii="Times New Roman" w:hAnsi="Times New Roman" w:eastAsia="宋体" w:cs="Times New Roman"/>
          <w:b/>
          <w:sz w:val="24"/>
        </w:rPr>
        <w:t>9.2.9</w:t>
      </w:r>
      <w:r>
        <w:rPr>
          <w:rFonts w:hint="eastAsia" w:ascii="Times New Roman" w:hAnsi="Times New Roman" w:eastAsia="宋体" w:cs="Times New Roman"/>
          <w:sz w:val="24"/>
        </w:rPr>
        <w:t>基坑底面以</w:t>
      </w:r>
      <w:r>
        <w:rPr>
          <w:rFonts w:ascii="Times New Roman" w:hAnsi="Times New Roman" w:eastAsia="宋体" w:cs="Times New Roman"/>
          <w:sz w:val="24"/>
        </w:rPr>
        <w:t>下有</w:t>
      </w:r>
      <w:r>
        <w:rPr>
          <w:rFonts w:hint="eastAsia" w:ascii="Times New Roman" w:hAnsi="Times New Roman" w:eastAsia="宋体" w:cs="Times New Roman"/>
          <w:sz w:val="24"/>
        </w:rPr>
        <w:t>软弱下</w:t>
      </w:r>
      <w:r>
        <w:rPr>
          <w:rFonts w:ascii="Times New Roman" w:hAnsi="Times New Roman" w:eastAsia="宋体" w:cs="Times New Roman"/>
          <w:sz w:val="24"/>
        </w:rPr>
        <w:t>卧层</w:t>
      </w:r>
      <w:r>
        <w:rPr>
          <w:rFonts w:hint="eastAsia" w:ascii="Times New Roman" w:hAnsi="Times New Roman" w:eastAsia="宋体" w:cs="Times New Roman"/>
          <w:sz w:val="24"/>
        </w:rPr>
        <w:t>的</w:t>
      </w:r>
      <w:r>
        <w:rPr>
          <w:rFonts w:ascii="Times New Roman" w:hAnsi="Times New Roman" w:eastAsia="宋体" w:cs="Times New Roman"/>
          <w:sz w:val="24"/>
        </w:rPr>
        <w:t>土钉墙，</w:t>
      </w:r>
      <w:r>
        <w:rPr>
          <w:rFonts w:hint="eastAsia" w:ascii="Times New Roman" w:hAnsi="Times New Roman" w:eastAsia="宋体" w:cs="Times New Roman"/>
          <w:sz w:val="24"/>
        </w:rPr>
        <w:t>应按本标准6.4.3条</w:t>
      </w:r>
      <w:r>
        <w:rPr>
          <w:rFonts w:ascii="Times New Roman" w:hAnsi="Times New Roman" w:eastAsia="宋体" w:cs="Times New Roman"/>
          <w:sz w:val="24"/>
        </w:rPr>
        <w:t>进行</w:t>
      </w:r>
      <w:r>
        <w:rPr>
          <w:rFonts w:hint="eastAsia" w:ascii="Times New Roman" w:hAnsi="Times New Roman" w:eastAsia="宋体" w:cs="Times New Roman"/>
          <w:sz w:val="24"/>
        </w:rPr>
        <w:t>坑</w:t>
      </w:r>
      <w:r>
        <w:rPr>
          <w:rFonts w:ascii="Times New Roman" w:hAnsi="Times New Roman" w:eastAsia="宋体" w:cs="Times New Roman"/>
          <w:sz w:val="24"/>
        </w:rPr>
        <w:t>底</w:t>
      </w:r>
      <w:r>
        <w:rPr>
          <w:rFonts w:hint="eastAsia" w:ascii="Times New Roman" w:hAnsi="Times New Roman" w:eastAsia="宋体" w:cs="Times New Roman"/>
          <w:sz w:val="24"/>
        </w:rPr>
        <w:t>抗</w:t>
      </w:r>
      <w:r>
        <w:rPr>
          <w:rFonts w:ascii="Times New Roman" w:hAnsi="Times New Roman" w:eastAsia="宋体" w:cs="Times New Roman"/>
          <w:sz w:val="24"/>
        </w:rPr>
        <w:t>隆起稳定性验</w:t>
      </w:r>
      <w:r>
        <w:rPr>
          <w:rFonts w:hint="eastAsia" w:ascii="Times New Roman" w:hAnsi="Times New Roman" w:eastAsia="宋体" w:cs="Times New Roman"/>
          <w:sz w:val="24"/>
        </w:rPr>
        <w:t>。</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9.2.10</w:t>
      </w:r>
      <w:r>
        <w:rPr>
          <w:rFonts w:hint="eastAsia" w:ascii="Times New Roman" w:hAnsi="Times New Roman" w:eastAsia="宋体" w:cs="Times New Roman"/>
          <w:sz w:val="24"/>
          <w:szCs w:val="24"/>
        </w:rPr>
        <w:t>当地下水</w:t>
      </w:r>
      <w:r>
        <w:rPr>
          <w:rFonts w:ascii="Times New Roman" w:hAnsi="Times New Roman" w:eastAsia="宋体" w:cs="Times New Roman"/>
          <w:sz w:val="24"/>
          <w:szCs w:val="24"/>
        </w:rPr>
        <w:t>位高于坑底时，</w:t>
      </w:r>
      <w:r>
        <w:rPr>
          <w:rFonts w:hint="eastAsia" w:ascii="Times New Roman" w:hAnsi="Times New Roman" w:eastAsia="宋体" w:cs="Times New Roman"/>
          <w:sz w:val="24"/>
          <w:szCs w:val="24"/>
        </w:rPr>
        <w:t>水泥土</w:t>
      </w:r>
      <w:r>
        <w:rPr>
          <w:rFonts w:ascii="Times New Roman" w:hAnsi="Times New Roman" w:eastAsia="宋体" w:cs="Times New Roman"/>
          <w:sz w:val="24"/>
          <w:szCs w:val="24"/>
        </w:rPr>
        <w:t>桩</w:t>
      </w:r>
      <w:r>
        <w:rPr>
          <w:rFonts w:hint="eastAsia" w:ascii="Times New Roman" w:hAnsi="Times New Roman" w:eastAsia="宋体" w:cs="Times New Roman"/>
          <w:sz w:val="24"/>
          <w:szCs w:val="24"/>
        </w:rPr>
        <w:t>复合</w:t>
      </w:r>
      <w:r>
        <w:rPr>
          <w:rFonts w:ascii="Times New Roman" w:hAnsi="Times New Roman" w:eastAsia="宋体" w:cs="Times New Roman"/>
          <w:sz w:val="24"/>
          <w:szCs w:val="24"/>
        </w:rPr>
        <w:t>土钉墙</w:t>
      </w:r>
      <w:r>
        <w:rPr>
          <w:rFonts w:hint="eastAsia" w:ascii="Times New Roman" w:hAnsi="Times New Roman" w:eastAsia="宋体" w:cs="Times New Roman"/>
          <w:sz w:val="24"/>
        </w:rPr>
        <w:t>兼做截水帷幕时</w:t>
      </w:r>
      <w:r>
        <w:rPr>
          <w:rFonts w:hint="eastAsia" w:ascii="Times New Roman" w:hAnsi="Times New Roman" w:eastAsia="宋体" w:cs="Times New Roman"/>
          <w:sz w:val="24"/>
          <w:szCs w:val="24"/>
        </w:rPr>
        <w:t>应</w:t>
      </w:r>
      <w:r>
        <w:rPr>
          <w:rFonts w:ascii="Times New Roman" w:hAnsi="Times New Roman" w:eastAsia="宋体" w:cs="Times New Roman"/>
          <w:sz w:val="24"/>
          <w:szCs w:val="24"/>
        </w:rPr>
        <w:t>按本</w:t>
      </w:r>
      <w:r>
        <w:rPr>
          <w:rFonts w:hint="eastAsia" w:ascii="Times New Roman" w:hAnsi="Times New Roman" w:eastAsia="宋体" w:cs="Times New Roman"/>
          <w:sz w:val="24"/>
          <w:szCs w:val="24"/>
        </w:rPr>
        <w:t>标准</w:t>
      </w:r>
      <w:r>
        <w:rPr>
          <w:rFonts w:ascii="Times New Roman" w:hAnsi="Times New Roman" w:eastAsia="宋体" w:cs="Times New Roman"/>
          <w:sz w:val="24"/>
          <w:szCs w:val="24"/>
        </w:rPr>
        <w:t>6.5</w:t>
      </w:r>
      <w:r>
        <w:rPr>
          <w:rFonts w:hint="eastAsia" w:ascii="Times New Roman" w:hAnsi="Times New Roman" w:eastAsia="宋体" w:cs="Times New Roman"/>
          <w:sz w:val="24"/>
          <w:szCs w:val="24"/>
        </w:rPr>
        <w:t>节的</w:t>
      </w:r>
      <w:r>
        <w:rPr>
          <w:rFonts w:ascii="Times New Roman" w:hAnsi="Times New Roman" w:eastAsia="宋体" w:cs="Times New Roman"/>
          <w:sz w:val="24"/>
          <w:szCs w:val="24"/>
        </w:rPr>
        <w:t>规定进行地下水渗透稳定性验算。</w:t>
      </w:r>
    </w:p>
    <w:p>
      <w:pPr>
        <w:keepNext/>
        <w:keepLines/>
        <w:widowControl/>
        <w:spacing w:line="416" w:lineRule="auto"/>
        <w:jc w:val="center"/>
        <w:outlineLvl w:val="1"/>
        <w:rPr>
          <w:rFonts w:ascii="Times New Roman" w:hAnsi="Times New Roman" w:eastAsia="宋体" w:cs="Times New Roman"/>
          <w:b/>
          <w:bCs/>
          <w:sz w:val="32"/>
          <w:szCs w:val="32"/>
        </w:rPr>
      </w:pPr>
      <w:bookmarkStart w:id="683" w:name="_Toc20868"/>
      <w:bookmarkStart w:id="684" w:name="_Toc23623"/>
      <w:r>
        <w:rPr>
          <w:rFonts w:ascii="Times New Roman" w:hAnsi="Times New Roman" w:eastAsia="宋体" w:cs="Times New Roman"/>
          <w:b/>
          <w:bCs/>
          <w:sz w:val="32"/>
          <w:szCs w:val="32"/>
        </w:rPr>
        <w:t>9.3  构造</w:t>
      </w:r>
      <w:bookmarkEnd w:id="683"/>
      <w:bookmarkEnd w:id="684"/>
    </w:p>
    <w:p>
      <w:pPr>
        <w:widowControl/>
        <w:spacing w:line="480" w:lineRule="exact"/>
        <w:rPr>
          <w:rFonts w:ascii="Times New Roman" w:hAnsi="Times New Roman" w:eastAsia="宋体" w:cs="Times New Roman"/>
          <w:sz w:val="24"/>
        </w:rPr>
      </w:pPr>
      <w:r>
        <w:rPr>
          <w:rFonts w:ascii="Times New Roman" w:hAnsi="Times New Roman" w:eastAsia="宋体" w:cs="Times New Roman"/>
          <w:b/>
          <w:sz w:val="24"/>
        </w:rPr>
        <w:t xml:space="preserve">9.3.1 </w:t>
      </w:r>
      <w:r>
        <w:rPr>
          <w:rFonts w:hint="eastAsia" w:ascii="Times New Roman" w:hAnsi="Times New Roman" w:eastAsia="宋体" w:cs="Times New Roman"/>
          <w:sz w:val="24"/>
        </w:rPr>
        <w:t>土钉墙宜采用洛阳铲成孔的钢筋土钉。对易塌孔的松散或稍密的砂土、稍密的粉土、填土，或易缩径的软土宜采用打入式钢管土钉。对洛阳铲成孔或钢管土钉打入困难的土层，宜采用机械成孔的钢筋土钉。</w:t>
      </w:r>
    </w:p>
    <w:p>
      <w:pPr>
        <w:widowControl/>
        <w:spacing w:line="480" w:lineRule="exact"/>
        <w:rPr>
          <w:rFonts w:ascii="Times New Roman" w:hAnsi="Times New Roman" w:eastAsia="宋体" w:cs="Times New Roman"/>
          <w:sz w:val="24"/>
        </w:rPr>
      </w:pPr>
      <w:r>
        <w:rPr>
          <w:rFonts w:ascii="Times New Roman" w:hAnsi="Times New Roman" w:eastAsia="宋体" w:cs="Times New Roman"/>
          <w:b/>
          <w:sz w:val="24"/>
        </w:rPr>
        <w:t xml:space="preserve">9.3.2 </w:t>
      </w:r>
      <w:r>
        <w:rPr>
          <w:rFonts w:hint="eastAsia" w:ascii="Times New Roman" w:hAnsi="Times New Roman" w:eastAsia="宋体" w:cs="Times New Roman"/>
          <w:sz w:val="24"/>
        </w:rPr>
        <w:t>土钉水平</w:t>
      </w:r>
      <w:r>
        <w:rPr>
          <w:rFonts w:ascii="Times New Roman" w:hAnsi="Times New Roman" w:eastAsia="宋体" w:cs="Times New Roman"/>
          <w:sz w:val="24"/>
        </w:rPr>
        <w:t>间距</w:t>
      </w:r>
      <w:r>
        <w:rPr>
          <w:rFonts w:hint="eastAsia" w:ascii="Times New Roman" w:hAnsi="Times New Roman" w:eastAsia="宋体" w:cs="Times New Roman"/>
          <w:sz w:val="24"/>
        </w:rPr>
        <w:t>和</w:t>
      </w:r>
      <w:r>
        <w:rPr>
          <w:rFonts w:ascii="Times New Roman" w:hAnsi="Times New Roman" w:eastAsia="宋体" w:cs="Times New Roman"/>
          <w:sz w:val="24"/>
        </w:rPr>
        <w:t>竖向间距</w:t>
      </w:r>
      <w:r>
        <w:rPr>
          <w:rFonts w:hint="eastAsia" w:ascii="Times New Roman" w:hAnsi="Times New Roman" w:eastAsia="宋体" w:cs="Times New Roman"/>
          <w:sz w:val="24"/>
        </w:rPr>
        <w:t>宜</w:t>
      </w:r>
      <w:r>
        <w:rPr>
          <w:rFonts w:ascii="Times New Roman" w:hAnsi="Times New Roman" w:eastAsia="宋体" w:cs="Times New Roman"/>
          <w:sz w:val="24"/>
        </w:rPr>
        <w:t>为</w:t>
      </w:r>
      <w:r>
        <w:rPr>
          <w:rFonts w:hint="eastAsia" w:ascii="Times New Roman" w:hAnsi="Times New Roman" w:eastAsia="宋体" w:cs="Times New Roman"/>
          <w:sz w:val="24"/>
        </w:rPr>
        <w:t>0.8</w:t>
      </w:r>
      <w:r>
        <w:rPr>
          <w:rFonts w:ascii="Times New Roman" w:hAnsi="Times New Roman" w:eastAsia="宋体" w:cs="Times New Roman"/>
          <w:sz w:val="24"/>
        </w:rPr>
        <w:t>m~2.0m；当基坑较深、土的抗剪强度较低时，土钉间距</w:t>
      </w:r>
      <w:r>
        <w:rPr>
          <w:rFonts w:hint="eastAsia" w:ascii="Times New Roman" w:hAnsi="Times New Roman" w:eastAsia="宋体" w:cs="Times New Roman"/>
          <w:sz w:val="24"/>
        </w:rPr>
        <w:t>应取</w:t>
      </w:r>
      <w:r>
        <w:rPr>
          <w:rFonts w:ascii="Times New Roman" w:hAnsi="Times New Roman" w:eastAsia="宋体" w:cs="Times New Roman"/>
          <w:sz w:val="24"/>
        </w:rPr>
        <w:t>小</w:t>
      </w:r>
      <w:r>
        <w:rPr>
          <w:rFonts w:hint="eastAsia" w:ascii="Times New Roman" w:hAnsi="Times New Roman" w:eastAsia="宋体" w:cs="Times New Roman"/>
          <w:sz w:val="24"/>
        </w:rPr>
        <w:t>值</w:t>
      </w:r>
      <w:r>
        <w:rPr>
          <w:rFonts w:ascii="Times New Roman" w:hAnsi="Times New Roman" w:eastAsia="宋体" w:cs="Times New Roman"/>
          <w:sz w:val="24"/>
        </w:rPr>
        <w:t>。土钉</w:t>
      </w:r>
      <w:r>
        <w:rPr>
          <w:rFonts w:hint="eastAsia" w:ascii="Times New Roman" w:hAnsi="Times New Roman" w:eastAsia="宋体" w:cs="Times New Roman"/>
          <w:sz w:val="24"/>
        </w:rPr>
        <w:t>倾角</w:t>
      </w:r>
      <w:r>
        <w:rPr>
          <w:rFonts w:ascii="Times New Roman" w:hAnsi="Times New Roman" w:eastAsia="宋体" w:cs="Times New Roman"/>
          <w:sz w:val="24"/>
        </w:rPr>
        <w:t>宜为</w:t>
      </w:r>
      <w:r>
        <w:rPr>
          <w:rFonts w:hint="eastAsia" w:ascii="Times New Roman" w:hAnsi="Times New Roman" w:eastAsia="宋体" w:cs="Times New Roman"/>
          <w:sz w:val="24"/>
        </w:rPr>
        <w:t>5°</w:t>
      </w:r>
      <w:r>
        <w:rPr>
          <w:rFonts w:ascii="Times New Roman" w:hAnsi="Times New Roman" w:eastAsia="宋体" w:cs="Times New Roman"/>
          <w:sz w:val="24"/>
        </w:rPr>
        <w:t>~20</w:t>
      </w:r>
      <w:r>
        <w:rPr>
          <w:rFonts w:hint="eastAsia" w:ascii="Times New Roman" w:hAnsi="Times New Roman" w:eastAsia="宋体" w:cs="Times New Roman"/>
          <w:sz w:val="24"/>
        </w:rPr>
        <w:t>°。土钉长度应按各层土钉受力均匀、各土钉拉力与相应土钉极限承载力的比值相近的原则确定。</w:t>
      </w:r>
    </w:p>
    <w:p>
      <w:pPr>
        <w:widowControl w:val="0"/>
        <w:tabs>
          <w:tab w:val="left" w:pos="540"/>
          <w:tab w:val="left" w:pos="720"/>
        </w:tabs>
        <w:spacing w:line="480" w:lineRule="exact"/>
        <w:rPr>
          <w:rFonts w:ascii="Times New Roman" w:hAnsi="Times New Roman" w:eastAsia="宋体" w:cs="Times New Roman"/>
          <w:bCs/>
          <w:sz w:val="24"/>
        </w:rPr>
      </w:pPr>
      <w:r>
        <w:rPr>
          <w:rFonts w:ascii="Times New Roman" w:hAnsi="Times New Roman" w:eastAsia="宋体" w:cs="Times New Roman"/>
          <w:b/>
          <w:sz w:val="24"/>
        </w:rPr>
        <w:t>9.3.3</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成孔注浆钢筋土钉的构造应符合下列要求：</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 成孔直径宜取70mm～120mm；</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 土钉钢筋宜采用HRB400级钢筋，钢筋</w:t>
      </w:r>
      <w:r>
        <w:rPr>
          <w:rFonts w:ascii="Times New Roman" w:hAnsi="Times New Roman" w:eastAsia="宋体" w:cs="Times New Roman"/>
          <w:sz w:val="24"/>
        </w:rPr>
        <w:t>直径</w:t>
      </w:r>
      <w:r>
        <w:rPr>
          <w:rFonts w:hint="eastAsia" w:ascii="Times New Roman" w:hAnsi="Times New Roman" w:eastAsia="宋体" w:cs="Times New Roman"/>
          <w:sz w:val="24"/>
        </w:rPr>
        <w:t>宜采取16mm～32mm；</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 应沿土钉全长设置对中定位支架，其间距宜取1.5m～2.5m，土钉钢筋保护层厚度不宜小于20mm；</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 土钉孔注浆材料可采用水泥浆或水泥砂浆，其强度不宜低于20MPa。</w:t>
      </w:r>
    </w:p>
    <w:p>
      <w:pPr>
        <w:widowControl w:val="0"/>
        <w:tabs>
          <w:tab w:val="left" w:pos="540"/>
          <w:tab w:val="left" w:pos="720"/>
        </w:tabs>
        <w:spacing w:line="480" w:lineRule="exact"/>
        <w:rPr>
          <w:rFonts w:ascii="Times New Roman" w:hAnsi="Times New Roman" w:eastAsia="宋体" w:cs="Times New Roman"/>
          <w:bCs/>
          <w:sz w:val="24"/>
        </w:rPr>
      </w:pPr>
      <w:r>
        <w:rPr>
          <w:rFonts w:ascii="Times New Roman" w:hAnsi="Times New Roman" w:eastAsia="宋体" w:cs="Times New Roman"/>
          <w:b/>
          <w:sz w:val="24"/>
        </w:rPr>
        <w:t>9.3.4</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 xml:space="preserve">钢管土钉的构造应符合下列要求： </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 钢管的外径不宜小于48mm，壁厚不宜小于3mm；钢管的注浆孔应设置在钢管末端（</w:t>
      </w:r>
      <w:r>
        <w:rPr>
          <w:rFonts w:hint="eastAsia" w:ascii="Times New Roman" w:hAnsi="Times New Roman" w:eastAsia="宋体" w:cs="Times New Roman"/>
          <w:i/>
          <w:sz w:val="24"/>
        </w:rPr>
        <w:t>l</w:t>
      </w:r>
      <w:r>
        <w:rPr>
          <w:rFonts w:hint="eastAsia" w:ascii="Times New Roman" w:hAnsi="Times New Roman" w:eastAsia="宋体" w:cs="Times New Roman"/>
          <w:sz w:val="24"/>
        </w:rPr>
        <w:t>/2～2</w:t>
      </w:r>
      <w:r>
        <w:rPr>
          <w:rFonts w:hint="eastAsia" w:ascii="Times New Roman" w:hAnsi="Times New Roman" w:eastAsia="宋体" w:cs="Times New Roman"/>
          <w:i/>
          <w:sz w:val="24"/>
        </w:rPr>
        <w:t>l</w:t>
      </w:r>
      <w:r>
        <w:rPr>
          <w:rFonts w:hint="eastAsia" w:ascii="Times New Roman" w:hAnsi="Times New Roman" w:eastAsia="宋体" w:cs="Times New Roman"/>
          <w:sz w:val="24"/>
        </w:rPr>
        <w:t>/3）范围内，</w:t>
      </w:r>
      <w:r>
        <w:rPr>
          <w:rFonts w:hint="eastAsia" w:ascii="Times New Roman" w:hAnsi="Times New Roman" w:eastAsia="宋体" w:cs="Times New Roman"/>
          <w:i/>
          <w:sz w:val="24"/>
        </w:rPr>
        <w:t>l</w:t>
      </w:r>
      <w:r>
        <w:rPr>
          <w:rFonts w:hint="eastAsia" w:ascii="Times New Roman" w:hAnsi="Times New Roman" w:eastAsia="宋体" w:cs="Times New Roman"/>
          <w:sz w:val="24"/>
        </w:rPr>
        <w:t>为钢管土钉的总长度；每个注浆截面的注浆孔宜取2个，且应对称布置，注浆孔的孔径宜取5mm～8mm，注浆孔外应设置保护倒刺；</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 钢管土钉的连接采用焊接时，接头强度不应低于钢管强度；可采用数量不少于3根、直径不小于16mm的钢筋沿截面均匀分布拼焊，双面焊接时钢筋长度不应小于钢管直径的2倍。</w:t>
      </w:r>
    </w:p>
    <w:p>
      <w:pPr>
        <w:widowControl w:val="0"/>
        <w:tabs>
          <w:tab w:val="left" w:pos="540"/>
          <w:tab w:val="left" w:pos="720"/>
        </w:tabs>
        <w:spacing w:line="480" w:lineRule="exact"/>
        <w:rPr>
          <w:rFonts w:ascii="Times New Roman" w:hAnsi="Times New Roman" w:eastAsia="宋体" w:cs="Times New Roman"/>
          <w:b/>
          <w:sz w:val="24"/>
        </w:rPr>
      </w:pPr>
      <w:r>
        <w:rPr>
          <w:rFonts w:ascii="Times New Roman" w:hAnsi="Times New Roman" w:eastAsia="宋体" w:cs="Times New Roman"/>
          <w:b/>
          <w:sz w:val="24"/>
        </w:rPr>
        <w:t>9.3.5</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喷射混凝土面层的构造应符合下列规定：</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 喷射混凝土面层厚度宜取80mm～100mm；</w:t>
      </w:r>
    </w:p>
    <w:p>
      <w:pPr>
        <w:widowControl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 xml:space="preserve"> 喷射混凝土设计强度等级不宜低于C20；</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 喷射混凝土面层中应配置钢筋网和通长的加强钢筋，钢筋网采用</w:t>
      </w:r>
      <w:r>
        <w:rPr>
          <w:rFonts w:ascii="Times New Roman" w:hAnsi="Times New Roman" w:eastAsia="宋体" w:cs="Times New Roman"/>
          <w:sz w:val="24"/>
        </w:rPr>
        <w:t>HPB300</w:t>
      </w:r>
      <w:r>
        <w:rPr>
          <w:rFonts w:hint="eastAsia" w:ascii="Times New Roman" w:hAnsi="Times New Roman" w:eastAsia="宋体" w:cs="Times New Roman"/>
          <w:sz w:val="24"/>
        </w:rPr>
        <w:t>级钢筋，钢筋直径宜取6mm～10mm，钢筋网间距宜取150mm～250mm；钢筋网间的搭接长度应大于300mm；加强钢筋的直径宜取14mm～20mm；当充分利用土钉杆体的抗拉强度时，加强钢筋的截面面积不应小于土钉杆体截面面积的二分之一；</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 土钉与加强钢筋宜采用焊接连接，其连接应满足承受土钉拉力的要求；当在土钉拉力作用下喷射混凝土面层的局部受冲切承载力不足时，应采用设置承压钢板等加强措施；</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 当土钉墙面层后存在潜水或滞水时，应在含水层部位的墙面设置泄水孔或采取其他疏水措施。</w:t>
      </w:r>
    </w:p>
    <w:p>
      <w:pPr>
        <w:widowControl w:val="0"/>
        <w:spacing w:line="480" w:lineRule="exact"/>
        <w:rPr>
          <w:rFonts w:ascii="Times New Roman" w:hAnsi="Times New Roman" w:eastAsia="宋体" w:cs="Times New Roman"/>
          <w:sz w:val="24"/>
        </w:rPr>
      </w:pPr>
      <w:r>
        <w:rPr>
          <w:rFonts w:ascii="Times New Roman" w:hAnsi="Times New Roman" w:eastAsia="宋体" w:cs="Times New Roman"/>
          <w:b/>
          <w:sz w:val="24"/>
        </w:rPr>
        <w:t>9.3.6</w:t>
      </w:r>
      <w:r>
        <w:rPr>
          <w:rFonts w:hint="eastAsia" w:ascii="Times New Roman" w:hAnsi="Times New Roman" w:eastAsia="宋体" w:cs="Times New Roman"/>
          <w:b/>
          <w:sz w:val="24"/>
        </w:rPr>
        <w:t xml:space="preserve"> </w:t>
      </w:r>
      <w:r>
        <w:rPr>
          <w:rFonts w:hint="eastAsia" w:ascii="Times New Roman" w:hAnsi="Times New Roman" w:eastAsia="宋体" w:cs="Times New Roman"/>
          <w:sz w:val="24"/>
        </w:rPr>
        <w:t>采用预应力锚杆复合土钉墙时，预应力锚杆应符合下列要求：</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 宜采用钢绞线锚杆；</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 当预应力锚杆用于减小地面变形时，锚杆宜布置在土钉墙的较上部位；用于增强面层抵抗土压力的作用时，锚杆应布置在土压力较大及墙背土层较软弱的部位；</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 锚杆的拉力设计值不应大于土钉墙墙面的局部受压承载力；</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 预应力锚杆应设置自由段，自由段长度应超过土钉墙坡体的潜在滑动面；</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 锚杆与土钉墙的喷射混凝土面层之间应设置腰梁连接，腰梁可采用槽钢腰梁或混凝土腰梁，腰梁与喷射混凝土面层应紧密接触，腰梁规格应根据锚杆拉力设计值确定；</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 除符合上述规定外，锚杆的构造尚应符合本</w:t>
      </w:r>
      <w:r>
        <w:rPr>
          <w:rFonts w:hint="eastAsia" w:ascii="Times New Roman" w:hAnsi="Times New Roman" w:cs="Times New Roman"/>
          <w:sz w:val="24"/>
          <w:lang w:eastAsia="zh-CN"/>
        </w:rPr>
        <w:t>标准</w:t>
      </w:r>
      <w:r>
        <w:rPr>
          <w:rFonts w:hint="eastAsia" w:ascii="Times New Roman" w:hAnsi="Times New Roman" w:eastAsia="宋体" w:cs="Times New Roman"/>
          <w:sz w:val="24"/>
        </w:rPr>
        <w:t>第8.</w:t>
      </w:r>
      <w:r>
        <w:rPr>
          <w:rFonts w:ascii="Times New Roman" w:hAnsi="Times New Roman" w:eastAsia="宋体" w:cs="Times New Roman"/>
          <w:sz w:val="24"/>
        </w:rPr>
        <w:t>5</w:t>
      </w:r>
      <w:r>
        <w:rPr>
          <w:rFonts w:hint="eastAsia" w:ascii="Times New Roman" w:hAnsi="Times New Roman" w:eastAsia="宋体" w:cs="Times New Roman"/>
          <w:sz w:val="24"/>
        </w:rPr>
        <w:t>节有关规定。</w:t>
      </w:r>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rPr>
        <w:t>9.3.7</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采用微型桩复合土钉墙时，微型桩应符合下列要求：</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 应根据微型桩施工工艺对土层特性和基坑周边环境条件的适用性选用微型钢管桩、型钢桩或灌注桩等桩型；</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 采用微型桩时，宜同时采用预应力锚杆；</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 微型桩的直径、规格应根据对复合墙面的强度要求确定；采用成孔后插入微型钢管桩、型钢桩的工艺时，成孔直径宜取130mm～300mm，对钢管，其直径宜取48mm～250mm，对工字钢，其型号宜取I10～I22；孔内应灌注水泥浆或水泥砂浆并充填密实；采用微型混凝土桩时，其直径宜取200mm～300mm；</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 微型桩的间距应满足土钉墙施工时桩间土的稳定性要求；</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 微型桩伸入基坑底面的长度宜大于桩径的5倍，且不应小于1m；</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 微型桩应与喷射混凝土面层贴合。</w:t>
      </w:r>
    </w:p>
    <w:p>
      <w:pPr>
        <w:widowControl w:val="0"/>
        <w:tabs>
          <w:tab w:val="left" w:pos="540"/>
        </w:tabs>
        <w:spacing w:line="460" w:lineRule="exact"/>
        <w:ind w:left="1" w:hanging="1"/>
        <w:rPr>
          <w:rFonts w:ascii="Times New Roman" w:hAnsi="Times New Roman" w:eastAsia="宋体" w:cs="Times New Roman"/>
          <w:sz w:val="24"/>
        </w:rPr>
      </w:pPr>
      <w:r>
        <w:rPr>
          <w:rFonts w:ascii="Times New Roman" w:hAnsi="Times New Roman" w:eastAsia="宋体" w:cs="Times New Roman"/>
          <w:b/>
          <w:sz w:val="24"/>
        </w:rPr>
        <w:t>9.3.8</w:t>
      </w:r>
      <w:r>
        <w:rPr>
          <w:rFonts w:hint="eastAsia" w:ascii="Times New Roman" w:hAnsi="Times New Roman" w:eastAsia="宋体" w:cs="Times New Roman"/>
          <w:sz w:val="24"/>
        </w:rPr>
        <w:t xml:space="preserve"> 采用水泥土桩复合土钉墙时，水泥土桩应符合下列要求：</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 应根据水泥土桩施工工艺对土层特性和基坑周边环境条件的适用性选用搅拌桩、旋喷桩等桩型；</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 伸入基坑底面的长度宜大于桩径的2倍，且不应小于1m，水泥土桩同时兼做截水帷幕时，桩长应符合本</w:t>
      </w:r>
      <w:r>
        <w:rPr>
          <w:rFonts w:hint="eastAsia" w:ascii="Times New Roman" w:hAnsi="Times New Roman" w:cs="Times New Roman"/>
          <w:sz w:val="24"/>
          <w:lang w:eastAsia="zh-CN"/>
        </w:rPr>
        <w:t>标准</w:t>
      </w:r>
      <w:r>
        <w:rPr>
          <w:rFonts w:ascii="Times New Roman" w:hAnsi="Times New Roman" w:eastAsia="宋体" w:cs="Times New Roman"/>
          <w:sz w:val="24"/>
        </w:rPr>
        <w:t>13</w:t>
      </w:r>
      <w:r>
        <w:rPr>
          <w:rFonts w:hint="eastAsia" w:ascii="Times New Roman" w:hAnsi="Times New Roman" w:eastAsia="宋体" w:cs="Times New Roman"/>
          <w:sz w:val="24"/>
        </w:rPr>
        <w:t>.1.4条和</w:t>
      </w:r>
      <w:r>
        <w:rPr>
          <w:rFonts w:ascii="Times New Roman" w:hAnsi="Times New Roman" w:eastAsia="宋体" w:cs="Times New Roman"/>
          <w:sz w:val="24"/>
        </w:rPr>
        <w:t>13</w:t>
      </w:r>
      <w:r>
        <w:rPr>
          <w:rFonts w:hint="eastAsia" w:ascii="Times New Roman" w:hAnsi="Times New Roman" w:eastAsia="宋体" w:cs="Times New Roman"/>
          <w:sz w:val="24"/>
        </w:rPr>
        <w:t>.1.5条要求；</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 水泥土桩应与喷射混凝土面层贴合；</w:t>
      </w:r>
    </w:p>
    <w:p>
      <w:pPr>
        <w:widowControl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 桩身28d无侧限抗压强度不宜小于1MPa。</w:t>
      </w:r>
    </w:p>
    <w:p>
      <w:pPr>
        <w:keepNext/>
        <w:keepLines/>
        <w:widowControl/>
        <w:spacing w:line="416" w:lineRule="auto"/>
        <w:jc w:val="center"/>
        <w:outlineLvl w:val="1"/>
        <w:rPr>
          <w:rFonts w:ascii="Times New Roman" w:hAnsi="Times New Roman" w:eastAsia="宋体" w:cs="Times New Roman"/>
          <w:b/>
          <w:bCs/>
          <w:sz w:val="32"/>
          <w:szCs w:val="32"/>
        </w:rPr>
      </w:pPr>
      <w:bookmarkStart w:id="685" w:name="_Toc16885"/>
      <w:bookmarkStart w:id="686" w:name="_Toc14994"/>
      <w:r>
        <w:rPr>
          <w:rFonts w:ascii="Times New Roman" w:hAnsi="Times New Roman" w:eastAsia="宋体" w:cs="Times New Roman"/>
          <w:b/>
          <w:bCs/>
          <w:sz w:val="32"/>
          <w:szCs w:val="32"/>
        </w:rPr>
        <w:t>9.4  施工与检测</w:t>
      </w:r>
      <w:bookmarkEnd w:id="685"/>
      <w:bookmarkEnd w:id="686"/>
    </w:p>
    <w:p>
      <w:pPr>
        <w:widowControl w:val="0"/>
        <w:tabs>
          <w:tab w:val="left" w:pos="540"/>
          <w:tab w:val="left" w:pos="100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9.4.1</w:t>
      </w:r>
      <w:r>
        <w:rPr>
          <w:rFonts w:hint="eastAsia" w:ascii="Times New Roman" w:hAnsi="Times New Roman" w:eastAsia="宋体" w:cs="Times New Roman"/>
          <w:sz w:val="24"/>
          <w:szCs w:val="24"/>
        </w:rPr>
        <w:t xml:space="preserve"> 土钉墙应按土钉层数分层设置土钉、分层喷射混凝土、分层分段开挖基坑。</w:t>
      </w:r>
    </w:p>
    <w:p>
      <w:pPr>
        <w:widowControl w:val="0"/>
        <w:tabs>
          <w:tab w:val="left" w:pos="540"/>
          <w:tab w:val="left" w:pos="1000"/>
        </w:tabs>
        <w:spacing w:line="480" w:lineRule="exact"/>
        <w:ind w:left="-2" w:leftChars="-1"/>
        <w:rPr>
          <w:rFonts w:ascii="Times New Roman" w:hAnsi="Times New Roman" w:eastAsia="宋体" w:cs="Times New Roman"/>
          <w:sz w:val="24"/>
          <w:szCs w:val="24"/>
        </w:rPr>
      </w:pPr>
      <w:r>
        <w:rPr>
          <w:rFonts w:ascii="Times New Roman" w:hAnsi="Times New Roman" w:eastAsia="宋体" w:cs="Times New Roman"/>
          <w:b/>
          <w:sz w:val="24"/>
        </w:rPr>
        <w:t>9.4.2</w:t>
      </w:r>
      <w:r>
        <w:rPr>
          <w:rFonts w:hint="eastAsia" w:ascii="Times New Roman" w:hAnsi="Times New Roman" w:eastAsia="宋体" w:cs="Times New Roman"/>
          <w:sz w:val="24"/>
          <w:szCs w:val="24"/>
        </w:rPr>
        <w:t xml:space="preserve"> 上层土钉注浆体及喷射混凝土面层达到设计强度的70%后方可进行下层土方开挖和土钉施工，严禁超前超深开挖。</w:t>
      </w:r>
    </w:p>
    <w:p>
      <w:pPr>
        <w:widowControl w:val="0"/>
        <w:tabs>
          <w:tab w:val="left" w:pos="540"/>
          <w:tab w:val="left" w:pos="100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9.4.3</w:t>
      </w:r>
      <w:r>
        <w:rPr>
          <w:rFonts w:hint="eastAsia" w:ascii="Times New Roman" w:hAnsi="Times New Roman" w:eastAsia="宋体" w:cs="Times New Roman"/>
          <w:b/>
          <w:sz w:val="24"/>
        </w:rPr>
        <w:t xml:space="preserve"> </w:t>
      </w:r>
      <w:r>
        <w:rPr>
          <w:rFonts w:hint="eastAsia" w:ascii="Times New Roman" w:hAnsi="Times New Roman" w:eastAsia="宋体" w:cs="Times New Roman"/>
          <w:sz w:val="24"/>
          <w:szCs w:val="24"/>
        </w:rPr>
        <w:t>当有地下水时，对易产生流砂或塌孔的砂土、粉土、碎石土等土层，应通过现场试验确定土钉成孔工艺和措施。</w:t>
      </w:r>
    </w:p>
    <w:p>
      <w:pPr>
        <w:widowControl w:val="0"/>
        <w:tabs>
          <w:tab w:val="left" w:pos="540"/>
          <w:tab w:val="left" w:pos="1000"/>
        </w:tabs>
        <w:spacing w:line="480" w:lineRule="exact"/>
        <w:rPr>
          <w:rFonts w:ascii="Times New Roman" w:hAnsi="Times New Roman" w:eastAsia="宋体" w:cs="Times New Roman"/>
          <w:bCs/>
          <w:sz w:val="24"/>
        </w:rPr>
      </w:pPr>
      <w:r>
        <w:rPr>
          <w:rFonts w:ascii="Times New Roman" w:hAnsi="Times New Roman" w:eastAsia="宋体" w:cs="Times New Roman"/>
          <w:b/>
          <w:sz w:val="24"/>
        </w:rPr>
        <w:t>9.4.4</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钢筋土钉成孔时应符合下列要求：</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土钉成孔范围内存在地下管线等设施时，应在查明其位置并避开后，再进行成孔作业；</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应根据土层的性状选择洛阳铲、螺旋钻、冲击钻、地质钻等成孔方法，采用的成孔方法应能保证孔壁的稳定性、减小对孔壁的扰动；</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当成孔遇不明障碍物时，应停止成孔作业，在查明障碍物的情况并采取针对性措施后方可继续成孔；</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 对易塌孔的松散土层宜采用机械成孔工艺；成孔困难时，可采用注入水泥浆等方法进行护壁；</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 湿陷性土层应采用干作业成孔工艺。</w:t>
      </w:r>
    </w:p>
    <w:p>
      <w:pPr>
        <w:widowControl w:val="0"/>
        <w:tabs>
          <w:tab w:val="left" w:pos="540"/>
          <w:tab w:val="left" w:pos="1000"/>
        </w:tabs>
        <w:spacing w:line="480" w:lineRule="exact"/>
        <w:rPr>
          <w:rFonts w:ascii="Times New Roman" w:hAnsi="Times New Roman" w:eastAsia="宋体" w:cs="Times New Roman"/>
          <w:bCs/>
          <w:sz w:val="24"/>
        </w:rPr>
      </w:pPr>
      <w:r>
        <w:rPr>
          <w:rFonts w:ascii="Times New Roman" w:hAnsi="Times New Roman" w:eastAsia="宋体" w:cs="Times New Roman"/>
          <w:b/>
          <w:sz w:val="24"/>
        </w:rPr>
        <w:t>9.4.5</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钢筋土钉杆体的制作安装应符合下列要求：</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钢筋使用前，应调直并清除污锈；</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 xml:space="preserve"> 当钢筋需要连接时，宜采用搭接焊、帮条焊连接；焊接应采用双面焊，双面焊的搭接长度或帮条长度应不小于主筋直径的5倍，焊缝高度不应小于主筋直径的0.3倍；</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 xml:space="preserve"> 对中支架的断面尺寸应符合土钉杆体保护层厚度要求，对中支架可选用直径6mm～8mm的钢筋焊制；</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 xml:space="preserve"> 土钉成孔后应及时插入土钉杆体，遇塌孔、缩径时，应在处理后再插入土钉杆体。</w:t>
      </w:r>
    </w:p>
    <w:p>
      <w:pPr>
        <w:widowControl w:val="0"/>
        <w:tabs>
          <w:tab w:val="left" w:pos="540"/>
          <w:tab w:val="left" w:pos="1000"/>
        </w:tabs>
        <w:spacing w:line="480" w:lineRule="exact"/>
        <w:rPr>
          <w:rFonts w:ascii="Times New Roman" w:hAnsi="Times New Roman" w:eastAsia="宋体" w:cs="Times New Roman"/>
          <w:bCs/>
          <w:sz w:val="24"/>
        </w:rPr>
      </w:pPr>
      <w:r>
        <w:rPr>
          <w:rFonts w:ascii="Times New Roman" w:hAnsi="Times New Roman" w:eastAsia="宋体" w:cs="Times New Roman"/>
          <w:b/>
          <w:sz w:val="24"/>
        </w:rPr>
        <w:t>9.4.6</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钢筋土钉注浆应符合下列规定：</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注浆材料可选用水泥浆或水泥砂浆；水泥浆的水灰比宜取0.45～0.55；水泥砂浆的水灰比宜取0.40～0.45，灰砂比宜取0.5～1.0，拌合用砂宜选用中粗砂，按重量计的含泥量不得大于3%；</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水泥浆或水泥砂浆应拌合均匀，一次拌合的水泥浆或水泥砂浆应在初凝前使用；</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注浆前应将孔内残留的虚土清除干净；</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 将注浆管与土钉杆体同时插入孔内，注浆管端部至孔底的距离不宜大于200mm；注浆及拔管时，注浆管口应始终埋入注浆液面内，应在新鲜浆液从孔口溢出后停止注浆；注浆后，当浆液液面下降时，应进行补浆。</w:t>
      </w:r>
    </w:p>
    <w:p>
      <w:pPr>
        <w:widowControl w:val="0"/>
        <w:tabs>
          <w:tab w:val="left" w:pos="540"/>
          <w:tab w:val="left" w:pos="1000"/>
        </w:tabs>
        <w:spacing w:line="480" w:lineRule="exact"/>
        <w:rPr>
          <w:rFonts w:ascii="Times New Roman" w:hAnsi="Times New Roman" w:eastAsia="宋体" w:cs="Times New Roman"/>
          <w:bCs/>
          <w:sz w:val="24"/>
        </w:rPr>
      </w:pPr>
      <w:r>
        <w:rPr>
          <w:rFonts w:ascii="Times New Roman" w:hAnsi="Times New Roman" w:eastAsia="宋体" w:cs="Times New Roman"/>
          <w:b/>
          <w:sz w:val="24"/>
        </w:rPr>
        <w:t>9.4.7</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打入式钢管土钉施工时应符合下列规定：</w:t>
      </w:r>
    </w:p>
    <w:p>
      <w:pPr>
        <w:widowControl w:val="0"/>
        <w:spacing w:line="480" w:lineRule="exact"/>
        <w:ind w:firstLine="480" w:firstLineChars="200"/>
        <w:rPr>
          <w:rFonts w:ascii="Times New Roman" w:hAnsi="Times New Roman" w:eastAsia="宋体" w:cs="Times New Roman"/>
          <w:sz w:val="24"/>
          <w:szCs w:val="24"/>
          <w:highlight w:val="yellow"/>
        </w:rPr>
      </w:pPr>
      <w:r>
        <w:rPr>
          <w:rFonts w:hint="eastAsia" w:ascii="Times New Roman" w:hAnsi="Times New Roman" w:eastAsia="宋体" w:cs="Times New Roman"/>
          <w:sz w:val="24"/>
          <w:szCs w:val="24"/>
        </w:rPr>
        <w:t>1 钢管端部应制成尖锥状；顶部宜设置防止钢管顶部施打变形的加强构造；</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注浆材料应采用水泥浆；水泥浆的水灰比宜取0.5～0.6；</w:t>
      </w:r>
      <w:r>
        <w:rPr>
          <w:rFonts w:ascii="Times New Roman" w:hAnsi="Times New Roman" w:eastAsia="宋体" w:cs="Times New Roman"/>
          <w:sz w:val="24"/>
          <w:szCs w:val="24"/>
        </w:rPr>
        <w:t xml:space="preserve"> </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注浆压力不宜小于0.6MPa；应在注浆至管顶周围出现返浆后停止注浆；当不出现返浆时，可采用间歇注浆的方法。</w:t>
      </w:r>
    </w:p>
    <w:p>
      <w:pPr>
        <w:widowControl w:val="0"/>
        <w:tabs>
          <w:tab w:val="left" w:pos="540"/>
          <w:tab w:val="left" w:pos="1000"/>
        </w:tabs>
        <w:spacing w:line="480" w:lineRule="exact"/>
        <w:rPr>
          <w:rFonts w:ascii="Times New Roman" w:hAnsi="Times New Roman" w:eastAsia="宋体" w:cs="Times New Roman"/>
          <w:bCs/>
          <w:sz w:val="24"/>
        </w:rPr>
      </w:pPr>
      <w:r>
        <w:rPr>
          <w:rFonts w:ascii="Times New Roman" w:hAnsi="Times New Roman" w:eastAsia="宋体" w:cs="Times New Roman"/>
          <w:b/>
          <w:sz w:val="24"/>
        </w:rPr>
        <w:t>9.4.8</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喷射混凝土面层施工应符合下列规定：</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细骨料应选用中粗砂，含泥量小于3%；</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粗骨料宜选用粒径不大于20mm的级配砾石；</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水泥与砂石的重量比宜取1：4～1：4.5，砂率宜取45%～55%，水灰比宜取0.4～0.45；</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 使用速凝剂等外加剂时，应通过试验确定外加剂掺量；</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 喷射作业应分段依次进行，同一分段内喷射顺序应自下而上均匀喷射，一次喷射厚度宜取30mm～80mm；</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 喷射混凝土时，喷头与土钉墙墙面应保持垂直，其距离宜为0.6m～1.0m；</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 喷射混凝土终凝2h后应及时喷水养护；</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8 钢筋与坡面的间隙应大于20mm；</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 钢筋网可采用绑扎固定；钢筋连接宜采用搭接焊，焊缝长度不应小于钢筋直径的10倍；</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 采用双层钢筋网时，第二层钢筋网应在第一层钢筋网被喷射混凝土覆盖后铺设。</w:t>
      </w:r>
    </w:p>
    <w:p>
      <w:pPr>
        <w:widowControl w:val="0"/>
        <w:tabs>
          <w:tab w:val="left" w:pos="540"/>
          <w:tab w:val="left" w:pos="1000"/>
        </w:tabs>
        <w:spacing w:line="480" w:lineRule="exact"/>
        <w:rPr>
          <w:rFonts w:ascii="Times New Roman" w:hAnsi="Times New Roman" w:eastAsia="宋体" w:cs="Times New Roman"/>
          <w:bCs/>
          <w:sz w:val="24"/>
        </w:rPr>
      </w:pPr>
      <w:r>
        <w:rPr>
          <w:rFonts w:ascii="Times New Roman" w:hAnsi="Times New Roman" w:eastAsia="宋体" w:cs="Times New Roman"/>
          <w:b/>
          <w:sz w:val="24"/>
        </w:rPr>
        <w:t>9.4.9</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土钉墙的施工偏差应符合下列要求：</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土钉位置允许偏差100mm；</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土钉倾角允许偏差3</w:t>
      </w:r>
      <w:r>
        <w:rPr>
          <w:rFonts w:hint="eastAsia" w:ascii="Times New Roman" w:hAnsi="Times New Roman" w:eastAsia="宋体" w:cs="Times New Roman"/>
          <w:sz w:val="24"/>
          <w:szCs w:val="24"/>
          <w:vertAlign w:val="superscript"/>
        </w:rPr>
        <w:t>o</w:t>
      </w:r>
      <w:r>
        <w:rPr>
          <w:rFonts w:hint="eastAsia" w:ascii="Times New Roman" w:hAnsi="Times New Roman" w:eastAsia="宋体" w:cs="Times New Roman"/>
          <w:sz w:val="24"/>
          <w:szCs w:val="24"/>
        </w:rPr>
        <w:t>；</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土钉杆体长度不应小于设计长度；</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 钢筋网间距允许偏差±30mm；</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 微型桩桩位允许偏差50mm；</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 微型桩垂直度允许偏差0.5%。</w:t>
      </w:r>
    </w:p>
    <w:p>
      <w:pPr>
        <w:widowControl w:val="0"/>
        <w:tabs>
          <w:tab w:val="left" w:pos="54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9.4.10</w:t>
      </w:r>
      <w:r>
        <w:rPr>
          <w:rFonts w:hint="eastAsia" w:ascii="Times New Roman" w:hAnsi="Times New Roman" w:eastAsia="宋体" w:cs="Times New Roman"/>
          <w:sz w:val="24"/>
          <w:szCs w:val="24"/>
        </w:rPr>
        <w:t xml:space="preserve"> 复合土钉墙中预应力锚杆的施工应符合本</w:t>
      </w:r>
      <w:r>
        <w:rPr>
          <w:rFonts w:hint="eastAsia" w:ascii="Times New Roman" w:hAnsi="Times New Roman" w:cs="Times New Roman"/>
          <w:sz w:val="24"/>
          <w:szCs w:val="24"/>
          <w:lang w:eastAsia="zh-CN"/>
        </w:rPr>
        <w:t>标准</w:t>
      </w:r>
      <w:r>
        <w:rPr>
          <w:rFonts w:hint="eastAsia" w:ascii="Times New Roman" w:hAnsi="Times New Roman" w:eastAsia="宋体" w:cs="Times New Roman"/>
          <w:sz w:val="24"/>
          <w:szCs w:val="24"/>
        </w:rPr>
        <w:t>第8.</w:t>
      </w:r>
      <w:r>
        <w:rPr>
          <w:rFonts w:ascii="Times New Roman" w:hAnsi="Times New Roman" w:eastAsia="宋体" w:cs="Times New Roman"/>
          <w:sz w:val="24"/>
          <w:szCs w:val="24"/>
        </w:rPr>
        <w:t>5</w:t>
      </w:r>
      <w:r>
        <w:rPr>
          <w:rFonts w:hint="eastAsia" w:ascii="Times New Roman" w:hAnsi="Times New Roman" w:eastAsia="宋体" w:cs="Times New Roman"/>
          <w:sz w:val="24"/>
          <w:szCs w:val="24"/>
        </w:rPr>
        <w:t>节的有关规定。微型桩的施工应符合现行行业标准《建筑桩基技术规范》JGJ94的有关规定。水泥土桩的施工应符合《建筑地基处理技术规范》JGJ79的有关规定。</w:t>
      </w:r>
    </w:p>
    <w:p>
      <w:pPr>
        <w:widowControl w:val="0"/>
        <w:tabs>
          <w:tab w:val="left" w:pos="540"/>
        </w:tabs>
        <w:spacing w:line="480" w:lineRule="exact"/>
        <w:rPr>
          <w:rFonts w:ascii="Times New Roman" w:hAnsi="Times New Roman" w:eastAsia="宋体" w:cs="Times New Roman"/>
          <w:bCs/>
          <w:sz w:val="24"/>
        </w:rPr>
      </w:pPr>
      <w:r>
        <w:rPr>
          <w:rFonts w:ascii="Times New Roman" w:hAnsi="Times New Roman" w:eastAsia="宋体" w:cs="Times New Roman"/>
          <w:b/>
          <w:sz w:val="24"/>
        </w:rPr>
        <w:t>9.4.11</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土钉墙的质量检测应符合下列规定：</w:t>
      </w:r>
    </w:p>
    <w:p>
      <w:pPr>
        <w:widowControl w:val="0"/>
        <w:spacing w:line="480" w:lineRule="exact"/>
        <w:ind w:firstLine="480" w:firstLineChars="200"/>
        <w:rPr>
          <w:rFonts w:ascii="Times New Roman" w:hAnsi="Times New Roman" w:eastAsia="宋体" w:cs="Times New Roman"/>
          <w:sz w:val="24"/>
          <w:szCs w:val="24"/>
          <w:highlight w:val="cyan"/>
        </w:rPr>
      </w:pPr>
      <w:r>
        <w:rPr>
          <w:rFonts w:hint="eastAsia" w:ascii="Times New Roman" w:hAnsi="Times New Roman" w:eastAsia="宋体" w:cs="Times New Roman"/>
          <w:sz w:val="24"/>
          <w:szCs w:val="24"/>
        </w:rPr>
        <w:t>1 应对土钉的抗拔承载力进行检测，抗拔试验可采用逐级加荷法；土钉的检测数量不宜少于土钉总数1%，且同一土层中的土钉检测数量不应少于3根；对安全等级为二级、三级的基坑，土钉抗拔承载力检测值不应小于土钉轴向拉力标准值的</w:t>
      </w:r>
      <w:r>
        <w:rPr>
          <w:rFonts w:ascii="Times New Roman" w:hAnsi="Times New Roman" w:eastAsia="宋体" w:cs="Times New Roman"/>
          <w:sz w:val="24"/>
          <w:szCs w:val="24"/>
        </w:rPr>
        <w:t>1.3</w:t>
      </w:r>
      <w:r>
        <w:rPr>
          <w:rFonts w:hint="eastAsia" w:ascii="Times New Roman" w:hAnsi="Times New Roman" w:eastAsia="宋体" w:cs="Times New Roman"/>
          <w:sz w:val="24"/>
          <w:szCs w:val="24"/>
        </w:rPr>
        <w:t>倍、</w:t>
      </w:r>
      <w:r>
        <w:rPr>
          <w:rFonts w:ascii="Times New Roman" w:hAnsi="Times New Roman" w:eastAsia="宋体" w:cs="Times New Roman"/>
          <w:sz w:val="24"/>
          <w:szCs w:val="24"/>
        </w:rPr>
        <w:t>1.2</w:t>
      </w:r>
      <w:r>
        <w:rPr>
          <w:rFonts w:hint="eastAsia" w:ascii="Times New Roman" w:hAnsi="Times New Roman" w:eastAsia="宋体" w:cs="Times New Roman"/>
          <w:sz w:val="24"/>
          <w:szCs w:val="24"/>
        </w:rPr>
        <w:t>倍；检测土钉应采用随机抽样的方法选取，检测试验应在土钉注浆固结体强度达到</w:t>
      </w:r>
      <w:r>
        <w:rPr>
          <w:rFonts w:ascii="Times New Roman" w:hAnsi="Times New Roman" w:eastAsia="宋体" w:cs="Times New Roman"/>
          <w:sz w:val="24"/>
          <w:szCs w:val="24"/>
        </w:rPr>
        <w:t>10MPa</w:t>
      </w:r>
      <w:r>
        <w:rPr>
          <w:rFonts w:hint="eastAsia" w:ascii="Times New Roman" w:hAnsi="Times New Roman" w:eastAsia="宋体" w:cs="Times New Roman"/>
          <w:sz w:val="24"/>
          <w:szCs w:val="24"/>
        </w:rPr>
        <w:t>或达到设计强度等级的</w:t>
      </w:r>
      <w:r>
        <w:rPr>
          <w:rFonts w:ascii="Times New Roman" w:hAnsi="Times New Roman" w:eastAsia="宋体" w:cs="Times New Roman"/>
          <w:sz w:val="24"/>
          <w:szCs w:val="24"/>
        </w:rPr>
        <w:t>70%</w:t>
      </w:r>
      <w:r>
        <w:rPr>
          <w:rFonts w:hint="eastAsia" w:ascii="Times New Roman" w:hAnsi="Times New Roman" w:eastAsia="宋体" w:cs="Times New Roman"/>
          <w:sz w:val="24"/>
          <w:szCs w:val="24"/>
        </w:rPr>
        <w:t>后进行；试验方法应符合本标准附录B的规定；</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土钉墙面层喷射混凝土应进行现场试块强度试验，每500m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喷射混凝土面积试验数量不应少于一组，每组试块不应少于3个；</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应对土钉墙的喷射混凝土面层厚度进行检测，每500m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喷射混凝土面积检测数量不应少于一组，每组的检测点不应少于3个；全部检测点的面层厚度平均值不应小于厚度设计值，最小厚度不应小于厚度设计值的80%；</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 复合土钉墙中的预应力锚杆，应按本标准第8.</w:t>
      </w:r>
      <w:r>
        <w:rPr>
          <w:rFonts w:ascii="Times New Roman" w:hAnsi="Times New Roman" w:eastAsia="宋体" w:cs="Times New Roman"/>
          <w:sz w:val="24"/>
          <w:szCs w:val="24"/>
        </w:rPr>
        <w:t>5</w:t>
      </w:r>
      <w:r>
        <w:rPr>
          <w:rFonts w:hint="eastAsia" w:ascii="Times New Roman" w:hAnsi="Times New Roman" w:eastAsia="宋体" w:cs="Times New Roman"/>
          <w:sz w:val="24"/>
          <w:szCs w:val="24"/>
        </w:rPr>
        <w:t>条规定进行抗拔承载力检测；</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 复合土钉墙中的水泥土搅拌桩或旋喷桩用作帷幕时，应按《建筑地基处理技术规范》JGJ79的规定进行质量检测。</w:t>
      </w:r>
    </w:p>
    <w:p>
      <w:pPr>
        <w:pStyle w:val="2"/>
        <w:bidi w:val="0"/>
      </w:pPr>
      <w:bookmarkStart w:id="687" w:name="_Toc29177"/>
      <w:bookmarkStart w:id="688" w:name="_Toc30939"/>
      <w:r>
        <w:t>10</w:t>
      </w:r>
      <w:r>
        <w:rPr>
          <w:rFonts w:hint="eastAsia"/>
        </w:rPr>
        <w:t xml:space="preserve"> </w:t>
      </w:r>
      <w:r>
        <w:t xml:space="preserve"> </w:t>
      </w:r>
      <w:r>
        <w:rPr>
          <w:rFonts w:hint="eastAsia"/>
        </w:rPr>
        <w:t>重力式水泥土墙</w:t>
      </w:r>
      <w:bookmarkEnd w:id="687"/>
      <w:bookmarkEnd w:id="688"/>
    </w:p>
    <w:p>
      <w:pPr>
        <w:pStyle w:val="3"/>
        <w:bidi w:val="0"/>
      </w:pPr>
      <w:bookmarkStart w:id="689" w:name="_Toc24659"/>
      <w:bookmarkStart w:id="690" w:name="_Toc29746"/>
      <w:r>
        <w:t>10.1</w:t>
      </w:r>
      <w:r>
        <w:rPr>
          <w:rFonts w:hint="eastAsia"/>
        </w:rPr>
        <w:t xml:space="preserve"> 一般规定</w:t>
      </w:r>
      <w:bookmarkEnd w:id="689"/>
      <w:bookmarkEnd w:id="690"/>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.1</w:t>
      </w:r>
      <w:r>
        <w:rPr>
          <w:rFonts w:hint="eastAsia" w:ascii="Times New Roman" w:hAnsi="Times New Roman" w:eastAsia="宋体" w:cs="Times New Roman"/>
          <w:sz w:val="24"/>
          <w:szCs w:val="24"/>
        </w:rPr>
        <w:t xml:space="preserve"> 重力式水泥土墙适用于细颗粒填土、淤泥、淤泥质土、一般粘性土、非密实砂土。</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.2 </w:t>
      </w:r>
      <w:r>
        <w:rPr>
          <w:rFonts w:hint="eastAsia" w:ascii="Times New Roman" w:hAnsi="Times New Roman" w:eastAsia="宋体" w:cs="Times New Roman"/>
          <w:sz w:val="24"/>
          <w:szCs w:val="24"/>
        </w:rPr>
        <w:t>重力式水泥土墙施工方法可采用深层搅拌法或高压喷射注浆法。</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.3 </w:t>
      </w:r>
      <w:r>
        <w:rPr>
          <w:rFonts w:hint="eastAsia" w:ascii="Times New Roman" w:hAnsi="Times New Roman" w:eastAsia="宋体" w:cs="Times New Roman"/>
          <w:sz w:val="24"/>
          <w:szCs w:val="24"/>
        </w:rPr>
        <w:t>采用重力式水泥土墙进行支护的基坑深度不宜超过7m。</w:t>
      </w:r>
    </w:p>
    <w:p>
      <w:pPr>
        <w:widowControl w:val="0"/>
        <w:spacing w:line="480" w:lineRule="exact"/>
        <w:rPr>
          <w:rFonts w:ascii="Times New Roman" w:hAnsi="Times New Roman" w:eastAsia="宋体" w:cs="Times New Roman"/>
          <w:bCs/>
          <w:sz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.4 </w:t>
      </w:r>
      <w:r>
        <w:rPr>
          <w:rFonts w:hint="eastAsia" w:ascii="Times New Roman" w:hAnsi="Times New Roman" w:eastAsia="宋体" w:cs="Times New Roman"/>
          <w:bCs/>
          <w:sz w:val="24"/>
        </w:rPr>
        <w:t>地下水位较高时，重力式水泥土墙可兼做截水帷幕。</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.5</w:t>
      </w:r>
      <w:r>
        <w:rPr>
          <w:rFonts w:hint="eastAsia" w:ascii="Times New Roman" w:hAnsi="Times New Roman" w:eastAsia="宋体" w:cs="Times New Roman"/>
          <w:sz w:val="24"/>
          <w:szCs w:val="24"/>
        </w:rPr>
        <w:t xml:space="preserve"> 对地基土或地下水有强腐蚀性的基坑应通过试验确定其适用性。</w:t>
      </w:r>
    </w:p>
    <w:p>
      <w:pPr>
        <w:widowControl w:val="0"/>
        <w:tabs>
          <w:tab w:val="left" w:pos="672"/>
          <w:tab w:val="left" w:pos="1036"/>
          <w:tab w:val="left" w:pos="1620"/>
          <w:tab w:val="left" w:pos="2160"/>
          <w:tab w:val="left" w:pos="702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.6 </w:t>
      </w:r>
      <w:r>
        <w:rPr>
          <w:rFonts w:hint="eastAsia" w:ascii="Times New Roman" w:hAnsi="Times New Roman" w:eastAsia="宋体" w:cs="Times New Roman"/>
          <w:sz w:val="24"/>
          <w:szCs w:val="24"/>
        </w:rPr>
        <w:t>对要穿过地下水流动性强的地区或具承压性的含水砂层以及密实砂层的水泥土墙，不应采用高压旋喷桩工艺。</w:t>
      </w:r>
    </w:p>
    <w:p>
      <w:pPr>
        <w:keepNext/>
        <w:keepLines/>
        <w:widowControl/>
        <w:spacing w:line="416" w:lineRule="auto"/>
        <w:jc w:val="center"/>
        <w:outlineLvl w:val="1"/>
        <w:rPr>
          <w:rFonts w:ascii="Cambria" w:hAnsi="Cambria" w:eastAsia="宋体" w:cs="Times New Roman"/>
          <w:b/>
          <w:bCs/>
          <w:sz w:val="32"/>
          <w:szCs w:val="32"/>
        </w:rPr>
      </w:pPr>
      <w:bookmarkStart w:id="691" w:name="_Toc22121"/>
      <w:bookmarkStart w:id="692" w:name="_Toc22240"/>
      <w:r>
        <w:rPr>
          <w:rFonts w:ascii="Times New Roman" w:hAnsi="Times New Roman" w:eastAsia="宋体" w:cs="Times New Roman"/>
          <w:b/>
          <w:bCs/>
          <w:sz w:val="32"/>
          <w:szCs w:val="32"/>
        </w:rPr>
        <w:t>10.2</w:t>
      </w:r>
      <w:r>
        <w:rPr>
          <w:rFonts w:hint="eastAsia" w:ascii="Cambria" w:hAnsi="Cambria" w:eastAsia="宋体" w:cs="Times New Roman"/>
          <w:b/>
          <w:bCs/>
          <w:sz w:val="32"/>
          <w:szCs w:val="32"/>
        </w:rPr>
        <w:t xml:space="preserve"> 设计</w:t>
      </w:r>
      <w:bookmarkEnd w:id="691"/>
      <w:bookmarkEnd w:id="692"/>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重力式水泥土墙的抗滑移稳定性应符合下式规定（图</w:t>
      </w:r>
      <w:r>
        <w:rPr>
          <w:rFonts w:ascii="Times New Roman" w:hAnsi="Times New Roman" w:eastAsia="宋体" w:cs="Times New Roman"/>
          <w:sz w:val="24"/>
          <w:szCs w:val="24"/>
        </w:rPr>
        <w:t>10.2.1</w:t>
      </w:r>
      <w:r>
        <w:rPr>
          <w:rFonts w:hint="eastAsia" w:ascii="Times New Roman" w:hAnsi="Times New Roman" w:eastAsia="宋体" w:cs="Times New Roman"/>
          <w:sz w:val="24"/>
          <w:szCs w:val="24"/>
        </w:rPr>
        <w:t>）：</w:t>
      </w:r>
    </w:p>
    <w:tbl>
      <w:tblPr>
        <w:tblStyle w:val="32"/>
        <w:tblW w:w="9854" w:type="dxa"/>
        <w:tblInd w:w="0" w:type="dxa"/>
        <w:tblLayout w:type="fixed"/>
        <w:tblCellMar>
          <w:top w:w="0" w:type="dxa"/>
          <w:left w:w="108" w:type="dxa"/>
          <w:bottom w:w="0" w:type="dxa"/>
          <w:right w:w="108" w:type="dxa"/>
        </w:tblCellMar>
      </w:tblPr>
      <w:tblGrid>
        <w:gridCol w:w="5637"/>
        <w:gridCol w:w="4217"/>
      </w:tblGrid>
      <w:tr>
        <w:tblPrEx>
          <w:tblCellMar>
            <w:top w:w="0" w:type="dxa"/>
            <w:left w:w="108" w:type="dxa"/>
            <w:bottom w:w="0" w:type="dxa"/>
            <w:right w:w="108" w:type="dxa"/>
          </w:tblCellMar>
        </w:tblPrEx>
        <w:tc>
          <w:tcPr>
            <w:tcW w:w="5637" w:type="dxa"/>
          </w:tcPr>
          <w:p>
            <w:pPr>
              <w:widowControl w:val="0"/>
              <w:jc w:val="right"/>
              <w:rPr>
                <w:rFonts w:ascii="Times New Roman" w:hAnsi="Times New Roman" w:eastAsia="宋体" w:cs="Times New Roman"/>
                <w:position w:val="-30"/>
                <w:sz w:val="24"/>
              </w:rPr>
            </w:pPr>
            <w:r>
              <w:rPr>
                <w:rFonts w:ascii="Times New Roman" w:hAnsi="Times New Roman" w:eastAsia="宋体" w:cs="Times New Roman"/>
                <w:position w:val="-30"/>
                <w:sz w:val="24"/>
              </w:rPr>
              <w:object>
                <v:shape id="_x0000_i1226" o:spt="75" type="#_x0000_t75" style="height:34.8pt;width:156pt;" o:ole="t" filled="f" o:preferrelative="t" stroked="f" coordsize="21600,21600">
                  <v:path/>
                  <v:fill on="f" focussize="0,0"/>
                  <v:stroke on="f" joinstyle="miter"/>
                  <v:imagedata r:id="rId607" o:title=""/>
                  <o:lock v:ext="edit" aspectratio="t"/>
                  <w10:wrap type="none"/>
                  <w10:anchorlock/>
                </v:shape>
                <o:OLEObject Type="Embed" ProgID="Equation.DSMT4" ShapeID="_x0000_i1226" DrawAspect="Content" ObjectID="_1468075926" r:id="rId606">
                  <o:LockedField>false</o:LockedField>
                </o:OLEObject>
              </w:object>
            </w:r>
          </w:p>
        </w:tc>
        <w:tc>
          <w:tcPr>
            <w:tcW w:w="4217" w:type="dxa"/>
          </w:tcPr>
          <w:p>
            <w:pPr>
              <w:widowControl w:val="0"/>
              <w:spacing w:line="720" w:lineRule="auto"/>
              <w:jc w:val="right"/>
              <w:rPr>
                <w:rFonts w:ascii="Times New Roman" w:hAnsi="Times New Roman" w:eastAsia="宋体" w:cs="Times New Roman"/>
                <w:position w:val="-30"/>
                <w:sz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10.2.1</w:t>
            </w:r>
            <w:r>
              <w:rPr>
                <w:rFonts w:hint="eastAsia" w:ascii="Times New Roman" w:hAnsi="Times New Roman" w:eastAsia="宋体" w:cs="Times New Roman"/>
                <w:sz w:val="24"/>
                <w:szCs w:val="24"/>
              </w:rPr>
              <w:t>）</w:t>
            </w:r>
          </w:p>
        </w:tc>
      </w:tr>
    </w:tbl>
    <w:p>
      <w:pPr>
        <w:widowControl w:val="0"/>
        <w:rPr>
          <w:rFonts w:ascii="Times New Roman" w:hAnsi="Times New Roman" w:eastAsia="宋体" w:cs="Times New Roman"/>
          <w:sz w:val="24"/>
          <w:szCs w:val="24"/>
        </w:rPr>
      </w:pPr>
      <w:r>
        <w:rPr>
          <w:rFonts w:hint="eastAsia" w:ascii="Times New Roman" w:hAnsi="Times New Roman" w:eastAsia="宋体" w:cs="Times New Roman"/>
          <w:kern w:val="0"/>
          <w:sz w:val="24"/>
          <w:szCs w:val="24"/>
        </w:rPr>
        <w:t xml:space="preserve">式中： </w:t>
      </w:r>
      <w:r>
        <w:rPr>
          <w:rFonts w:ascii="Times New Roman" w:hAnsi="Times New Roman" w:eastAsia="宋体" w:cs="Times New Roman"/>
          <w:i/>
          <w:sz w:val="24"/>
          <w:szCs w:val="24"/>
        </w:rPr>
        <w:t>K</w:t>
      </w:r>
      <w:r>
        <w:rPr>
          <w:rFonts w:ascii="Times New Roman" w:hAnsi="Times New Roman" w:eastAsia="宋体" w:cs="Times New Roman"/>
          <w:sz w:val="24"/>
          <w:szCs w:val="24"/>
          <w:vertAlign w:val="subscript"/>
        </w:rPr>
        <w:t>sl</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抗滑移稳定安全系数</w:t>
      </w:r>
      <w:r>
        <w:rPr>
          <w:rFonts w:hint="eastAsia" w:ascii="Times New Roman" w:hAnsi="Times New Roman" w:eastAsia="宋体" w:cs="Times New Roman"/>
          <w:sz w:val="24"/>
          <w:szCs w:val="24"/>
        </w:rPr>
        <w:t>，其值不应小于</w:t>
      </w:r>
      <w:r>
        <w:rPr>
          <w:rFonts w:ascii="Times New Roman" w:hAnsi="Times New Roman" w:eastAsia="宋体" w:cs="Times New Roman"/>
          <w:sz w:val="24"/>
          <w:szCs w:val="24"/>
        </w:rPr>
        <w:t>1.2</w:t>
      </w:r>
      <w:r>
        <w:rPr>
          <w:rFonts w:hint="eastAsia" w:ascii="Times New Roman" w:hAnsi="Times New Roman" w:eastAsia="宋体" w:cs="Times New Roman"/>
          <w:sz w:val="24"/>
          <w:szCs w:val="24"/>
        </w:rPr>
        <w:t>；</w:t>
      </w:r>
    </w:p>
    <w:p>
      <w:pPr>
        <w:widowControl w:val="0"/>
        <w:autoSpaceDE w:val="0"/>
        <w:autoSpaceDN w:val="0"/>
        <w:adjustRightInd w:val="0"/>
        <w:spacing w:line="480" w:lineRule="exact"/>
        <w:ind w:left="1642" w:leftChars="134" w:hanging="1320" w:hangingChars="550"/>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E</w:t>
      </w:r>
      <w:r>
        <w:rPr>
          <w:rFonts w:ascii="Times New Roman" w:hAnsi="Times New Roman" w:eastAsia="宋体" w:cs="Times New Roman"/>
          <w:kern w:val="0"/>
          <w:sz w:val="24"/>
          <w:szCs w:val="24"/>
          <w:vertAlign w:val="subscript"/>
        </w:rPr>
        <w:t>ak</w:t>
      </w:r>
      <w:r>
        <w:rPr>
          <w:rFonts w:hint="eastAsia" w:ascii="Times New Roman" w:hAnsi="Times New Roman" w:eastAsia="宋体" w:cs="Times New Roman"/>
          <w:kern w:val="0"/>
          <w:sz w:val="24"/>
          <w:szCs w:val="24"/>
        </w:rPr>
        <w:t>、</w:t>
      </w:r>
      <w:r>
        <w:rPr>
          <w:rFonts w:ascii="Times New Roman" w:hAnsi="Times New Roman" w:eastAsia="宋体" w:cs="Times New Roman"/>
          <w:i/>
          <w:kern w:val="0"/>
          <w:sz w:val="24"/>
          <w:szCs w:val="24"/>
        </w:rPr>
        <w:t>E</w:t>
      </w:r>
      <w:r>
        <w:rPr>
          <w:rFonts w:ascii="Times New Roman" w:hAnsi="Times New Roman" w:eastAsia="宋体" w:cs="Times New Roman"/>
          <w:kern w:val="0"/>
          <w:sz w:val="24"/>
          <w:szCs w:val="24"/>
          <w:vertAlign w:val="subscript"/>
        </w:rPr>
        <w:t>pk</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作用在水泥土墙上的主动土压力、被动土压力标准值</w:t>
      </w:r>
      <w:r>
        <w:rPr>
          <w:rFonts w:hint="eastAsia" w:ascii="Times New Roman" w:hAnsi="Times New Roman" w:eastAsia="宋体" w:cs="Times New Roman"/>
          <w:sz w:val="24"/>
          <w:szCs w:val="24"/>
        </w:rPr>
        <w:t>（</w:t>
      </w:r>
      <w:r>
        <w:rPr>
          <w:rFonts w:ascii="Times New Roman" w:hAnsi="Times New Roman" w:eastAsia="宋体" w:cs="Times New Roman"/>
          <w:kern w:val="0"/>
          <w:sz w:val="24"/>
          <w:szCs w:val="24"/>
        </w:rPr>
        <w:t>kN/m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r>
        <w:rPr>
          <w:rFonts w:hint="eastAsia" w:ascii="Times New Roman" w:hAnsi="Times New Roman" w:eastAsia="宋体" w:cs="Times New Roman"/>
          <w:sz w:val="24"/>
          <w:szCs w:val="24"/>
        </w:rPr>
        <w:t>按本</w:t>
      </w:r>
      <w:r>
        <w:rPr>
          <w:rFonts w:hint="eastAsia" w:ascii="Times New Roman" w:hAnsi="Times New Roman" w:cs="Times New Roman"/>
          <w:sz w:val="24"/>
          <w:szCs w:val="24"/>
          <w:lang w:eastAsia="zh-CN"/>
        </w:rPr>
        <w:t>标准</w:t>
      </w:r>
      <w:r>
        <w:rPr>
          <w:rFonts w:hint="eastAsia" w:ascii="Times New Roman" w:hAnsi="Times New Roman" w:eastAsia="宋体" w:cs="Times New Roman"/>
          <w:sz w:val="24"/>
          <w:szCs w:val="24"/>
        </w:rPr>
        <w:t>第5</w:t>
      </w:r>
      <w:r>
        <w:rPr>
          <w:rFonts w:ascii="Times New Roman" w:hAnsi="Times New Roman" w:eastAsia="宋体" w:cs="Times New Roman"/>
          <w:sz w:val="24"/>
          <w:szCs w:val="24"/>
        </w:rPr>
        <w:t>.</w:t>
      </w:r>
      <w:r>
        <w:rPr>
          <w:rFonts w:hint="eastAsia" w:ascii="Times New Roman" w:hAnsi="Times New Roman" w:eastAsia="宋体" w:cs="Times New Roman"/>
          <w:sz w:val="24"/>
          <w:szCs w:val="24"/>
        </w:rPr>
        <w:t>5.1条</w:t>
      </w:r>
      <w:r>
        <w:rPr>
          <w:rFonts w:hint="eastAsia" w:ascii="Times New Roman" w:hAnsi="Times New Roman" w:eastAsia="宋体" w:cs="Times New Roman"/>
          <w:kern w:val="0"/>
          <w:sz w:val="24"/>
          <w:szCs w:val="24"/>
        </w:rPr>
        <w:t>的规定确定；</w:t>
      </w:r>
      <w:r>
        <w:rPr>
          <w:rFonts w:ascii="Times New Roman" w:hAnsi="Times New Roman" w:eastAsia="宋体" w:cs="Times New Roman"/>
          <w:kern w:val="0"/>
          <w:sz w:val="24"/>
          <w:szCs w:val="24"/>
        </w:rPr>
        <w:t xml:space="preserve"> </w:t>
      </w:r>
    </w:p>
    <w:p>
      <w:pPr>
        <w:widowControl w:val="0"/>
        <w:autoSpaceDE w:val="0"/>
        <w:autoSpaceDN w:val="0"/>
        <w:adjustRightInd w:val="0"/>
        <w:spacing w:line="480" w:lineRule="exact"/>
        <w:ind w:firstLine="960" w:firstLineChars="400"/>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G</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水泥土墙的自重</w:t>
      </w:r>
      <w:r>
        <w:rPr>
          <w:rFonts w:hint="eastAsia" w:ascii="Times New Roman" w:hAnsi="Times New Roman" w:eastAsia="宋体" w:cs="Times New Roman"/>
          <w:sz w:val="24"/>
          <w:szCs w:val="24"/>
        </w:rPr>
        <w:t>（</w:t>
      </w:r>
      <w:r>
        <w:rPr>
          <w:rFonts w:ascii="Times New Roman" w:hAnsi="Times New Roman" w:eastAsia="宋体" w:cs="Times New Roman"/>
          <w:kern w:val="0"/>
          <w:sz w:val="24"/>
          <w:szCs w:val="24"/>
        </w:rPr>
        <w:t>kN/m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p>
    <w:p>
      <w:pPr>
        <w:widowControl w:val="0"/>
        <w:tabs>
          <w:tab w:val="left" w:pos="1120"/>
          <w:tab w:val="left" w:pos="1372"/>
          <w:tab w:val="left" w:pos="1800"/>
          <w:tab w:val="left" w:pos="2160"/>
          <w:tab w:val="left" w:pos="3060"/>
          <w:tab w:val="left" w:pos="4680"/>
          <w:tab w:val="left" w:pos="7020"/>
        </w:tabs>
        <w:spacing w:line="480" w:lineRule="exact"/>
        <w:ind w:left="1430" w:leftChars="346" w:hanging="600" w:hangingChars="250"/>
        <w:rPr>
          <w:rFonts w:ascii="Times New Roman" w:hAnsi="Times New Roman" w:eastAsia="宋体" w:cs="Times New Roman"/>
          <w:sz w:val="24"/>
          <w:szCs w:val="24"/>
        </w:rPr>
      </w:pPr>
      <w:r>
        <w:rPr>
          <w:rFonts w:ascii="Times New Roman" w:hAnsi="Times New Roman" w:eastAsia="宋体" w:cs="Times New Roman"/>
          <w:i/>
          <w:sz w:val="24"/>
          <w:szCs w:val="24"/>
        </w:rPr>
        <w:t>u</w:t>
      </w:r>
      <w:r>
        <w:rPr>
          <w:rFonts w:ascii="Times New Roman" w:hAnsi="Times New Roman" w:eastAsia="宋体" w:cs="Times New Roman"/>
          <w:sz w:val="24"/>
          <w:szCs w:val="24"/>
          <w:vertAlign w:val="subscript"/>
        </w:rPr>
        <w:t>m</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水泥土墙底面上的</w:t>
      </w:r>
      <w:r>
        <w:rPr>
          <w:rFonts w:hint="eastAsia" w:ascii="Times New Roman" w:hAnsi="Times New Roman" w:eastAsia="宋体" w:cs="Times New Roman"/>
          <w:sz w:val="24"/>
          <w:szCs w:val="24"/>
        </w:rPr>
        <w:t>水压力（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水泥土墙底面</w:t>
      </w:r>
      <w:r>
        <w:rPr>
          <w:rFonts w:hint="eastAsia" w:ascii="Times New Roman" w:hAnsi="Times New Roman" w:eastAsia="宋体" w:cs="Times New Roman"/>
          <w:sz w:val="24"/>
          <w:szCs w:val="24"/>
        </w:rPr>
        <w:t>在地下水位以下时，可取</w:t>
      </w:r>
      <w:r>
        <w:rPr>
          <w:rFonts w:ascii="Times New Roman" w:hAnsi="Times New Roman" w:eastAsia="宋体" w:cs="Times New Roman"/>
          <w:i/>
          <w:sz w:val="24"/>
          <w:szCs w:val="24"/>
        </w:rPr>
        <w:t>u</w:t>
      </w:r>
      <w:r>
        <w:rPr>
          <w:rFonts w:ascii="Times New Roman" w:hAnsi="Times New Roman" w:eastAsia="宋体" w:cs="Times New Roman"/>
          <w:sz w:val="24"/>
          <w:szCs w:val="24"/>
          <w:vertAlign w:val="subscript"/>
        </w:rPr>
        <w:t>m</w: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wa</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wp</w:t>
      </w: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，在地下水位以上时，取</w:t>
      </w:r>
      <w:r>
        <w:rPr>
          <w:rFonts w:ascii="Times New Roman" w:hAnsi="Times New Roman" w:eastAsia="宋体" w:cs="Times New Roman"/>
          <w:i/>
          <w:sz w:val="24"/>
          <w:szCs w:val="24"/>
        </w:rPr>
        <w:t>u</w:t>
      </w:r>
      <w:r>
        <w:rPr>
          <w:rFonts w:ascii="Times New Roman" w:hAnsi="Times New Roman" w:eastAsia="宋体" w:cs="Times New Roman"/>
          <w:sz w:val="24"/>
          <w:szCs w:val="24"/>
          <w:vertAlign w:val="subscript"/>
        </w:rPr>
        <w:t>m</w:t>
      </w:r>
      <w:r>
        <w:rPr>
          <w:rFonts w:hint="eastAsia" w:ascii="Times New Roman" w:hAnsi="Times New Roman" w:eastAsia="宋体" w:cs="Times New Roman"/>
          <w:sz w:val="24"/>
          <w:szCs w:val="24"/>
        </w:rPr>
        <w:t>＝</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pPr>
        <w:widowControl w:val="0"/>
        <w:tabs>
          <w:tab w:val="left" w:pos="1120"/>
          <w:tab w:val="left" w:pos="1372"/>
          <w:tab w:val="left" w:pos="1800"/>
          <w:tab w:val="left" w:pos="2160"/>
          <w:tab w:val="left" w:pos="3060"/>
          <w:tab w:val="left" w:pos="4680"/>
          <w:tab w:val="left" w:pos="7020"/>
        </w:tabs>
        <w:spacing w:line="480" w:lineRule="exact"/>
        <w:ind w:left="1430" w:leftChars="346" w:hanging="600" w:hangingChars="250"/>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wa</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基坑外侧</w:t>
      </w:r>
      <w:r>
        <w:rPr>
          <w:rFonts w:hint="eastAsia" w:ascii="Times New Roman" w:hAnsi="Times New Roman" w:eastAsia="宋体" w:cs="Times New Roman"/>
          <w:kern w:val="0"/>
          <w:sz w:val="24"/>
          <w:szCs w:val="24"/>
        </w:rPr>
        <w:t>水泥土墙底处的水头高度</w:t>
      </w:r>
      <w:r>
        <w:rPr>
          <w:rFonts w:hint="eastAsia" w:ascii="Times New Roman" w:hAnsi="Times New Roman" w:eastAsia="宋体" w:cs="Times New Roman"/>
          <w:sz w:val="24"/>
          <w:szCs w:val="24"/>
        </w:rPr>
        <w:t>（</w:t>
      </w:r>
      <w:r>
        <w:rPr>
          <w:rFonts w:ascii="Times New Roman" w:hAnsi="Times New Roman" w:eastAsia="宋体" w:cs="Times New Roman"/>
          <w:kern w:val="0"/>
          <w:sz w:val="24"/>
          <w:szCs w:val="24"/>
        </w:rPr>
        <w:t>m</w:t>
      </w:r>
      <w:r>
        <w:rPr>
          <w:rFonts w:hint="eastAsia" w:ascii="Times New Roman" w:hAnsi="Times New Roman" w:eastAsia="宋体" w:cs="Times New Roman"/>
          <w:sz w:val="24"/>
          <w:szCs w:val="24"/>
        </w:rPr>
        <w:t>）；</w:t>
      </w:r>
    </w:p>
    <w:p>
      <w:pPr>
        <w:widowControl w:val="0"/>
        <w:tabs>
          <w:tab w:val="left" w:pos="1120"/>
          <w:tab w:val="left" w:pos="1372"/>
          <w:tab w:val="left" w:pos="1800"/>
          <w:tab w:val="left" w:pos="2160"/>
          <w:tab w:val="left" w:pos="3060"/>
          <w:tab w:val="left" w:pos="4680"/>
          <w:tab w:val="left" w:pos="7020"/>
        </w:tabs>
        <w:spacing w:line="480" w:lineRule="exact"/>
        <w:ind w:left="1430" w:leftChars="346" w:hanging="600" w:hangingChars="250"/>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wp</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基坑内侧</w:t>
      </w:r>
      <w:r>
        <w:rPr>
          <w:rFonts w:hint="eastAsia" w:ascii="Times New Roman" w:hAnsi="Times New Roman" w:eastAsia="宋体" w:cs="Times New Roman"/>
          <w:kern w:val="0"/>
          <w:sz w:val="24"/>
          <w:szCs w:val="24"/>
        </w:rPr>
        <w:t>水泥土墙底处的水头高度</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tabs>
          <w:tab w:val="left" w:pos="1120"/>
          <w:tab w:val="left" w:pos="1372"/>
          <w:tab w:val="left" w:pos="1800"/>
          <w:tab w:val="left" w:pos="2160"/>
          <w:tab w:val="left" w:pos="3060"/>
          <w:tab w:val="left" w:pos="4680"/>
          <w:tab w:val="left" w:pos="7020"/>
        </w:tabs>
        <w:spacing w:line="480" w:lineRule="exact"/>
        <w:ind w:left="1560" w:leftChars="250" w:hanging="960" w:hangingChars="400"/>
        <w:rPr>
          <w:rFonts w:ascii="Times New Roman" w:hAnsi="Times New Roman" w:eastAsia="宋体" w:cs="Times New Roman"/>
          <w:sz w:val="24"/>
          <w:szCs w:val="24"/>
        </w:rPr>
      </w:pPr>
      <w:r>
        <w:rPr>
          <w:rFonts w:ascii="Times New Roman" w:hAnsi="Times New Roman" w:eastAsia="宋体" w:cs="Times New Roman"/>
          <w:i/>
          <w:kern w:val="0"/>
          <w:sz w:val="24"/>
          <w:szCs w:val="24"/>
        </w:rPr>
        <w:t>c</w:t>
      </w:r>
      <w:r>
        <w:rPr>
          <w:rFonts w:hint="eastAsia" w:ascii="Times New Roman" w:hAnsi="Times New Roman" w:eastAsia="宋体" w:cs="Times New Roman"/>
          <w:kern w:val="0"/>
          <w:sz w:val="24"/>
          <w:szCs w:val="24"/>
        </w:rPr>
        <w:t>、</w:t>
      </w:r>
      <w:r>
        <w:rPr>
          <w:rFonts w:ascii="Times New Roman" w:hAnsi="Times New Roman" w:eastAsia="宋体" w:cs="Times New Roman"/>
          <w:i/>
          <w:kern w:val="0"/>
          <w:sz w:val="24"/>
          <w:szCs w:val="24"/>
        </w:rPr>
        <w:t>φ</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水泥土墙底面下土层的粘聚力</w:t>
      </w:r>
      <w:r>
        <w:rPr>
          <w:rFonts w:hint="eastAsia" w:ascii="Times New Roman" w:hAnsi="Times New Roman" w:eastAsia="宋体" w:cs="Times New Roman"/>
          <w:sz w:val="24"/>
          <w:szCs w:val="24"/>
        </w:rPr>
        <w:t>（</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、内摩擦角</w:t>
      </w:r>
      <w:r>
        <w:rPr>
          <w:rFonts w:hint="eastAsia" w:ascii="Times New Roman" w:hAnsi="Times New Roman" w:eastAsia="宋体" w:cs="Times New Roman"/>
          <w:sz w:val="24"/>
          <w:szCs w:val="24"/>
        </w:rPr>
        <w:t>（</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p>
    <w:p>
      <w:pPr>
        <w:widowControl w:val="0"/>
        <w:tabs>
          <w:tab w:val="left" w:pos="1120"/>
          <w:tab w:val="left" w:pos="1372"/>
          <w:tab w:val="left" w:pos="1800"/>
          <w:tab w:val="left" w:pos="2160"/>
          <w:tab w:val="left" w:pos="3060"/>
          <w:tab w:val="left" w:pos="4680"/>
          <w:tab w:val="left" w:pos="7020"/>
        </w:tabs>
        <w:spacing w:line="480" w:lineRule="exact"/>
        <w:ind w:left="1560" w:leftChars="400" w:hanging="600" w:hangingChars="250"/>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B</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水泥土墙的底面宽度</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重力式水泥土墙的抗倾覆稳定性应符合下式规定（图</w:t>
      </w:r>
      <w:r>
        <w:rPr>
          <w:rFonts w:ascii="Times New Roman" w:hAnsi="Times New Roman" w:eastAsia="宋体" w:cs="Times New Roman"/>
          <w:sz w:val="24"/>
          <w:szCs w:val="24"/>
        </w:rPr>
        <w:t>10.2.2</w:t>
      </w:r>
      <w:r>
        <w:rPr>
          <w:rFonts w:hint="eastAsia" w:ascii="Times New Roman" w:hAnsi="Times New Roman" w:eastAsia="宋体" w:cs="Times New Roman"/>
          <w:sz w:val="24"/>
          <w:szCs w:val="24"/>
        </w:rPr>
        <w:t>）：</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Times New Roman" w:hAnsi="Times New Roman" w:eastAsia="宋体" w:cs="Times New Roman"/>
                <w:position w:val="-30"/>
                <w:sz w:val="24"/>
              </w:rPr>
            </w:pPr>
            <w:r>
              <w:rPr>
                <w:rFonts w:ascii="Times New Roman" w:hAnsi="Times New Roman" w:eastAsia="宋体" w:cs="Times New Roman"/>
                <w:position w:val="-30"/>
                <w:sz w:val="24"/>
              </w:rPr>
              <w:object>
                <v:shape id="_x0000_i1227" o:spt="75" type="#_x0000_t75" style="height:34.8pt;width:132pt;" o:ole="t" filled="f" o:preferrelative="t" stroked="f" coordsize="21600,21600">
                  <v:path/>
                  <v:fill on="f" focussize="0,0"/>
                  <v:stroke on="f" joinstyle="miter"/>
                  <v:imagedata r:id="rId609" o:title=""/>
                  <o:lock v:ext="edit" aspectratio="t"/>
                  <w10:wrap type="none"/>
                  <w10:anchorlock/>
                </v:shape>
                <o:OLEObject Type="Embed" ProgID="Equation.DSMT4" ShapeID="_x0000_i1227" DrawAspect="Content" ObjectID="_1468075927" r:id="rId608">
                  <o:LockedField>false</o:LockedField>
                </o:OLEObject>
              </w:object>
            </w:r>
          </w:p>
        </w:tc>
        <w:tc>
          <w:tcPr>
            <w:tcW w:w="4927" w:type="dxa"/>
          </w:tcPr>
          <w:p>
            <w:pPr>
              <w:widowControl w:val="0"/>
              <w:spacing w:line="720" w:lineRule="auto"/>
              <w:jc w:val="right"/>
              <w:rPr>
                <w:rFonts w:ascii="Times New Roman" w:hAnsi="Times New Roman" w:eastAsia="宋体" w:cs="Times New Roman"/>
                <w:position w:val="-30"/>
                <w:sz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10.2.2</w:t>
            </w:r>
            <w:r>
              <w:rPr>
                <w:rFonts w:hint="eastAsia" w:ascii="Times New Roman" w:hAnsi="Times New Roman" w:eastAsia="宋体" w:cs="Times New Roman"/>
                <w:kern w:val="0"/>
                <w:sz w:val="24"/>
                <w:szCs w:val="24"/>
              </w:rPr>
              <w:t>）</w:t>
            </w:r>
          </w:p>
        </w:tc>
      </w:tr>
    </w:tbl>
    <w:p>
      <w:pPr>
        <w:widowControl w:val="0"/>
        <w:autoSpaceDE w:val="0"/>
        <w:autoSpaceDN w:val="0"/>
        <w:adjustRightInd w:val="0"/>
        <w:spacing w:line="480" w:lineRule="exact"/>
        <w:ind w:left="1850" w:hanging="1850" w:hangingChars="771"/>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式中：</w:t>
      </w:r>
      <w:r>
        <w:rPr>
          <w:rFonts w:ascii="Times New Roman" w:hAnsi="Times New Roman" w:eastAsia="宋体" w:cs="Times New Roman"/>
          <w:kern w:val="0"/>
          <w:sz w:val="24"/>
          <w:szCs w:val="24"/>
        </w:rPr>
        <w:t xml:space="preserve"> </w:t>
      </w:r>
      <w:r>
        <w:rPr>
          <w:rFonts w:ascii="Times New Roman" w:hAnsi="Times New Roman" w:eastAsia="宋体" w:cs="Times New Roman"/>
          <w:i/>
          <w:sz w:val="24"/>
          <w:szCs w:val="24"/>
        </w:rPr>
        <w:t>K</w:t>
      </w:r>
      <w:r>
        <w:rPr>
          <w:rFonts w:ascii="Times New Roman" w:hAnsi="Times New Roman" w:eastAsia="宋体" w:cs="Times New Roman"/>
          <w:sz w:val="24"/>
          <w:szCs w:val="24"/>
          <w:vertAlign w:val="subscript"/>
        </w:rPr>
        <w:t>ov</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抗倾覆稳定安全系数</w:t>
      </w:r>
      <w:r>
        <w:rPr>
          <w:rFonts w:hint="eastAsia" w:ascii="Times New Roman" w:hAnsi="Times New Roman" w:eastAsia="宋体" w:cs="Times New Roman"/>
          <w:sz w:val="24"/>
          <w:szCs w:val="24"/>
        </w:rPr>
        <w:t>，其值不应小于</w:t>
      </w:r>
      <w:r>
        <w:rPr>
          <w:rFonts w:ascii="Times New Roman" w:hAnsi="Times New Roman" w:eastAsia="宋体" w:cs="Times New Roman"/>
          <w:sz w:val="24"/>
          <w:szCs w:val="24"/>
        </w:rPr>
        <w:t>1.3</w:t>
      </w:r>
      <w:r>
        <w:rPr>
          <w:rFonts w:hint="eastAsia" w:ascii="Times New Roman" w:hAnsi="Times New Roman" w:eastAsia="宋体" w:cs="Times New Roman"/>
          <w:sz w:val="24"/>
          <w:szCs w:val="24"/>
        </w:rPr>
        <w:t>；</w:t>
      </w:r>
    </w:p>
    <w:p>
      <w:pPr>
        <w:widowControl w:val="0"/>
        <w:autoSpaceDE w:val="0"/>
        <w:autoSpaceDN w:val="0"/>
        <w:adjustRightInd w:val="0"/>
        <w:spacing w:line="480" w:lineRule="exact"/>
        <w:ind w:firstLine="960" w:firstLineChars="400"/>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a</w:t>
      </w:r>
      <w:r>
        <w:rPr>
          <w:rFonts w:ascii="Times New Roman" w:hAnsi="Times New Roman" w:eastAsia="宋体" w:cs="Times New Roman"/>
          <w:kern w:val="0"/>
          <w:sz w:val="24"/>
          <w:szCs w:val="24"/>
          <w:vertAlign w:val="subscript"/>
        </w:rPr>
        <w:t>a</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水泥土墙外侧主动土压力合力作用点至墙趾的竖向距离</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p>
    <w:p>
      <w:pPr>
        <w:widowControl w:val="0"/>
        <w:autoSpaceDE w:val="0"/>
        <w:autoSpaceDN w:val="0"/>
        <w:adjustRightInd w:val="0"/>
        <w:spacing w:line="480" w:lineRule="exact"/>
        <w:ind w:firstLine="960" w:firstLineChars="400"/>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a</w:t>
      </w:r>
      <w:r>
        <w:rPr>
          <w:rFonts w:ascii="Times New Roman" w:hAnsi="Times New Roman" w:eastAsia="宋体" w:cs="Times New Roman"/>
          <w:kern w:val="0"/>
          <w:sz w:val="24"/>
          <w:szCs w:val="24"/>
          <w:vertAlign w:val="subscript"/>
        </w:rPr>
        <w:t>p</w: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水泥土墙内侧被动土压力合力作用点至墙趾的竖向距离</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p>
    <w:p>
      <w:pPr>
        <w:widowControl w:val="0"/>
        <w:autoSpaceDE w:val="0"/>
        <w:autoSpaceDN w:val="0"/>
        <w:adjustRightInd w:val="0"/>
        <w:spacing w:line="480" w:lineRule="exact"/>
        <w:ind w:firstLine="960" w:firstLineChars="400"/>
        <w:rPr>
          <w:rFonts w:ascii="Times New Roman" w:hAnsi="Times New Roman" w:eastAsia="宋体" w:cs="Times New Roman"/>
          <w:kern w:val="0"/>
          <w:sz w:val="24"/>
          <w:szCs w:val="24"/>
        </w:rPr>
      </w:pPr>
      <w:r>
        <w:rPr>
          <w:rFonts w:ascii="Times New Roman" w:hAnsi="Times New Roman" w:eastAsia="宋体" w:cs="Times New Roman"/>
          <w:kern w:val="0"/>
          <w:position w:val="-12"/>
          <w:sz w:val="24"/>
          <w:szCs w:val="24"/>
        </w:rPr>
        <w:object>
          <v:shape id="_x0000_i1228" o:spt="75" type="#_x0000_t75" style="height:18pt;width:15pt;" o:ole="t" filled="f" o:preferrelative="t" stroked="f" coordsize="21600,21600">
            <v:path/>
            <v:fill on="f" focussize="0,0"/>
            <v:stroke on="f" joinstyle="miter"/>
            <v:imagedata r:id="rId611" o:title=""/>
            <o:lock v:ext="edit" aspectratio="t"/>
            <w10:wrap type="none"/>
            <w10:anchorlock/>
          </v:shape>
          <o:OLEObject Type="Embed" ProgID="Equation.DSMT4" ShapeID="_x0000_i1228" DrawAspect="Content" ObjectID="_1468075928" r:id="rId610">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kern w:val="0"/>
          <w:sz w:val="24"/>
          <w:szCs w:val="24"/>
        </w:rPr>
        <w:t>水泥土墙自重与墙底水压力合力作用点至墙趾的水平距离</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p>
    <w:p>
      <w:pPr>
        <w:widowControl w:val="0"/>
        <w:autoSpaceDE w:val="0"/>
        <w:autoSpaceDN w:val="0"/>
        <w:adjustRightInd w:val="0"/>
        <w:ind w:left="1850" w:leftChars="500" w:hanging="650" w:hangingChars="271"/>
        <w:rPr>
          <w:rFonts w:ascii="Times New Roman" w:hAnsi="Times New Roman" w:eastAsia="宋体" w:cs="Times New Roman"/>
          <w:kern w:val="0"/>
          <w:sz w:val="24"/>
          <w:szCs w:val="21"/>
        </w:rPr>
      </w:pPr>
      <w:r>
        <w:rPr>
          <w:rFonts w:ascii="Calibri" w:hAnsi="Calibri" w:eastAsia="宋体" w:cs="Times New Roman"/>
          <w:sz w:val="24"/>
        </w:rPr>
        <w:drawing>
          <wp:inline distT="0" distB="0" distL="0" distR="0">
            <wp:extent cx="4095115" cy="1850390"/>
            <wp:effectExtent l="0" t="0" r="4445" b="8890"/>
            <wp:docPr id="232" name="图片 232" descr="C:\Users\Administrator\AppData\Roaming\feiq\RichOle\128571502.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2" name="图片 232" descr="C:\Users\Administrator\AppData\Roaming\feiq\RichOle\128571502.bmp"/>
                    <pic:cNvPicPr>
                      <a:picLocks noChangeAspect="true" noChangeArrowheads="true"/>
                    </pic:cNvPicPr>
                  </pic:nvPicPr>
                  <pic:blipFill>
                    <a:blip r:embed="rId612">
                      <a:extLst>
                        <a:ext uri="{28A0092B-C50C-407E-A947-70E740481C1C}">
                          <a14:useLocalDpi xmlns:a14="http://schemas.microsoft.com/office/drawing/2010/main" val="false"/>
                        </a:ext>
                      </a:extLst>
                    </a:blip>
                    <a:srcRect/>
                    <a:stretch>
                      <a:fillRect/>
                    </a:stretch>
                  </pic:blipFill>
                  <pic:spPr>
                    <a:xfrm>
                      <a:off x="0" y="0"/>
                      <a:ext cx="4095604" cy="1850400"/>
                    </a:xfrm>
                    <a:prstGeom prst="rect">
                      <a:avLst/>
                    </a:prstGeom>
                    <a:noFill/>
                    <a:ln>
                      <a:noFill/>
                    </a:ln>
                  </pic:spPr>
                </pic:pic>
              </a:graphicData>
            </a:graphic>
          </wp:inline>
        </w:drawing>
      </w:r>
    </w:p>
    <w:p>
      <w:pPr>
        <w:widowControl w:val="0"/>
        <w:ind w:firstLine="1200" w:firstLineChars="500"/>
        <w:rPr>
          <w:rFonts w:ascii="Times New Roman" w:hAnsi="Times New Roman" w:eastAsia="宋体" w:cs="Times New Roman"/>
          <w:sz w:val="24"/>
          <w:szCs w:val="24"/>
        </w:rPr>
      </w:pPr>
      <w:r>
        <w:rPr>
          <w:rFonts w:hint="eastAsia" w:ascii="Times New Roman" w:hAnsi="Times New Roman" w:eastAsia="宋体" w:cs="Times New Roman"/>
          <w:sz w:val="24"/>
          <w:szCs w:val="24"/>
        </w:rPr>
        <w:t>图</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2.1  </w:t>
      </w:r>
      <w:r>
        <w:rPr>
          <w:rFonts w:hint="eastAsia" w:ascii="Times New Roman" w:hAnsi="Times New Roman" w:eastAsia="宋体" w:cs="Times New Roman"/>
          <w:sz w:val="24"/>
          <w:szCs w:val="24"/>
        </w:rPr>
        <w:t>抗滑移稳定性验算</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图</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2.2  </w:t>
      </w:r>
      <w:r>
        <w:rPr>
          <w:rFonts w:hint="eastAsia" w:ascii="Times New Roman" w:hAnsi="Times New Roman" w:eastAsia="宋体" w:cs="Times New Roman"/>
          <w:sz w:val="24"/>
          <w:szCs w:val="24"/>
        </w:rPr>
        <w:t>抗倾覆稳定性验算</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 xml:space="preserve">.3 </w:t>
      </w:r>
      <w:r>
        <w:rPr>
          <w:rFonts w:hint="eastAsia" w:ascii="Times New Roman" w:hAnsi="Times New Roman" w:eastAsia="宋体" w:cs="Times New Roman"/>
          <w:sz w:val="24"/>
          <w:szCs w:val="24"/>
        </w:rPr>
        <w:t>重力式水泥土墙应按下列规定进行圆弧滑动稳定性验算：</w:t>
      </w:r>
    </w:p>
    <w:p>
      <w:pPr>
        <w:widowControl w:val="0"/>
        <w:spacing w:line="480" w:lineRule="exact"/>
        <w:ind w:firstLine="602" w:firstLineChars="250"/>
        <w:rPr>
          <w:rFonts w:ascii="Times New Roman" w:hAnsi="Times New Roman" w:eastAsia="宋体" w:cs="Times New Roman"/>
          <w:sz w:val="24"/>
          <w:szCs w:val="24"/>
        </w:rPr>
      </w:pPr>
      <w:r>
        <w:rPr>
          <w:rFonts w:ascii="Times New Roman" w:hAnsi="Times New Roman" w:eastAsia="宋体" w:cs="Times New Roman"/>
          <w:b/>
          <w:sz w:val="24"/>
          <w:szCs w:val="24"/>
        </w:rPr>
        <w:t>1</w:t>
      </w:r>
      <w:r>
        <w:rPr>
          <w:rFonts w:hint="eastAsia" w:ascii="Times New Roman" w:hAnsi="Times New Roman" w:eastAsia="宋体" w:cs="Times New Roman"/>
          <w:sz w:val="24"/>
          <w:szCs w:val="24"/>
        </w:rPr>
        <w:t xml:space="preserve"> 可采用圆弧滑动条分法进行验算；</w:t>
      </w:r>
    </w:p>
    <w:p>
      <w:pPr>
        <w:widowControl w:val="0"/>
        <w:spacing w:line="480" w:lineRule="exact"/>
        <w:ind w:firstLine="602" w:firstLineChars="250"/>
        <w:rPr>
          <w:rFonts w:ascii="Times New Roman" w:hAnsi="Times New Roman" w:eastAsia="宋体" w:cs="Times New Roman"/>
          <w:sz w:val="24"/>
          <w:szCs w:val="24"/>
        </w:rPr>
      </w:pPr>
      <w:r>
        <w:rPr>
          <w:rFonts w:ascii="Times New Roman" w:hAnsi="Times New Roman" w:eastAsia="宋体" w:cs="Times New Roman"/>
          <w:b/>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采用圆弧滑动条分法时，其稳定性应符合下式规定（图</w:t>
      </w:r>
      <w:r>
        <w:rPr>
          <w:rFonts w:ascii="Times New Roman" w:hAnsi="Times New Roman" w:eastAsia="宋体" w:cs="Times New Roman"/>
          <w:kern w:val="0"/>
          <w:sz w:val="24"/>
          <w:szCs w:val="24"/>
        </w:rPr>
        <w:t>10.2</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sz w:val="24"/>
          <w:szCs w:val="24"/>
        </w:rPr>
        <w:t>）：</w:t>
      </w:r>
    </w:p>
    <w:p>
      <w:pPr>
        <w:widowControl w:val="0"/>
        <w:tabs>
          <w:tab w:val="left" w:pos="540"/>
          <w:tab w:val="left" w:pos="720"/>
        </w:tabs>
        <w:spacing w:line="480" w:lineRule="exact"/>
        <w:ind w:right="-998" w:rightChars="-416"/>
        <w:jc w:val="right"/>
        <w:rPr>
          <w:rFonts w:ascii="Times New Roman" w:hAnsi="Times New Roman" w:eastAsia="宋体" w:cs="Times New Roman"/>
          <w:sz w:val="24"/>
        </w:rPr>
      </w:pPr>
      <w:r>
        <w:rPr>
          <w:rFonts w:ascii="Times New Roman" w:hAnsi="Times New Roman" w:eastAsia="宋体" w:cs="Times New Roman"/>
          <w:position w:val="-16"/>
          <w:sz w:val="24"/>
        </w:rPr>
        <w:object>
          <v:shape id="_x0000_i1229" o:spt="75" type="#_x0000_t75" style="height:21pt;width:136.8pt;" o:ole="t" filled="f" o:preferrelative="t" stroked="f" coordsize="21600,21600">
            <v:path/>
            <v:fill on="f" focussize="0,0"/>
            <v:stroke on="f" joinstyle="miter"/>
            <v:imagedata r:id="rId561" o:title=""/>
            <o:lock v:ext="edit" aspectratio="t"/>
            <w10:wrap type="none"/>
            <w10:anchorlock/>
          </v:shape>
          <o:OLEObject Type="Embed" ProgID="Equation.DSMT4" ShapeID="_x0000_i1229" DrawAspect="Content" ObjectID="_1468075929" r:id="rId613">
            <o:LockedField>false</o:LockedField>
          </o:OLEObject>
        </w:object>
      </w:r>
      <w:r>
        <w:rPr>
          <w:rFonts w:ascii="Times New Roman" w:hAnsi="Times New Roman" w:eastAsia="宋体" w:cs="Times New Roman"/>
          <w:sz w:val="24"/>
        </w:rPr>
        <w:t xml:space="preserve">                              </w:t>
      </w:r>
      <w:r>
        <w:rPr>
          <w:rFonts w:hint="eastAsia" w:ascii="Times New Roman" w:hAnsi="Times New Roman" w:eastAsia="宋体" w:cs="Times New Roman"/>
          <w:sz w:val="24"/>
          <w:szCs w:val="24"/>
        </w:rPr>
        <w:t>（</w:t>
      </w:r>
      <w:r>
        <w:rPr>
          <w:rFonts w:ascii="Times New Roman" w:hAnsi="Times New Roman" w:eastAsia="宋体" w:cs="Times New Roman"/>
          <w:sz w:val="24"/>
          <w:szCs w:val="24"/>
        </w:rPr>
        <w:t>10.2.3-1</w:t>
      </w:r>
      <w:r>
        <w:rPr>
          <w:rFonts w:hint="eastAsia" w:ascii="Times New Roman" w:hAnsi="Times New Roman" w:eastAsia="宋体" w:cs="Times New Roman"/>
          <w:sz w:val="24"/>
          <w:szCs w:val="24"/>
        </w:rPr>
        <w:t>）</w:t>
      </w:r>
    </w:p>
    <w:tbl>
      <w:tblPr>
        <w:tblStyle w:val="32"/>
        <w:tblW w:w="17402" w:type="dxa"/>
        <w:tblInd w:w="0" w:type="dxa"/>
        <w:tblLayout w:type="fixed"/>
        <w:tblCellMar>
          <w:top w:w="0" w:type="dxa"/>
          <w:left w:w="108" w:type="dxa"/>
          <w:bottom w:w="0" w:type="dxa"/>
          <w:right w:w="108" w:type="dxa"/>
        </w:tblCellMar>
      </w:tblPr>
      <w:tblGrid>
        <w:gridCol w:w="7338"/>
        <w:gridCol w:w="2516"/>
        <w:gridCol w:w="2516"/>
        <w:gridCol w:w="2516"/>
        <w:gridCol w:w="2516"/>
      </w:tblGrid>
      <w:tr>
        <w:tblPrEx>
          <w:tblCellMar>
            <w:top w:w="0" w:type="dxa"/>
            <w:left w:w="108" w:type="dxa"/>
            <w:bottom w:w="0" w:type="dxa"/>
            <w:right w:w="108" w:type="dxa"/>
          </w:tblCellMar>
        </w:tblPrEx>
        <w:tc>
          <w:tcPr>
            <w:tcW w:w="7338" w:type="dxa"/>
          </w:tcPr>
          <w:p>
            <w:pPr>
              <w:widowControl w:val="0"/>
              <w:jc w:val="center"/>
              <w:rPr>
                <w:rFonts w:ascii="Times New Roman" w:hAnsi="Times New Roman" w:eastAsia="宋体" w:cs="Times New Roman"/>
                <w:kern w:val="0"/>
                <w:position w:val="-32"/>
                <w:sz w:val="24"/>
              </w:rPr>
            </w:pPr>
            <w:r>
              <w:rPr>
                <w:rFonts w:ascii="Times New Roman" w:hAnsi="Times New Roman" w:eastAsia="宋体" w:cs="Times New Roman"/>
                <w:kern w:val="0"/>
                <w:position w:val="-32"/>
                <w:sz w:val="24"/>
              </w:rPr>
              <w:object>
                <v:shape id="_x0000_i1230" o:spt="75" type="#_x0000_t75" style="height:40.8pt;width:241.2pt;" o:ole="t" filled="f" o:preferrelative="t" stroked="f" coordsize="21600,21600">
                  <v:path/>
                  <v:fill on="f" focussize="0,0"/>
                  <v:stroke on="f" joinstyle="miter"/>
                  <v:imagedata r:id="rId615" o:title=""/>
                  <o:lock v:ext="edit" aspectratio="t"/>
                  <w10:wrap type="none"/>
                  <w10:anchorlock/>
                </v:shape>
                <o:OLEObject Type="Embed" ProgID="Equation.DSMT4" ShapeID="_x0000_i1230" DrawAspect="Content" ObjectID="_1468075930" r:id="rId614">
                  <o:LockedField>false</o:LockedField>
                </o:OLEObject>
              </w:object>
            </w:r>
          </w:p>
        </w:tc>
        <w:tc>
          <w:tcPr>
            <w:tcW w:w="2516" w:type="dxa"/>
          </w:tcPr>
          <w:p>
            <w:pPr>
              <w:widowControl w:val="0"/>
              <w:spacing w:line="720" w:lineRule="auto"/>
              <w:jc w:val="right"/>
              <w:rPr>
                <w:rFonts w:ascii="Times New Roman" w:hAnsi="Times New Roman" w:eastAsia="宋体" w:cs="Times New Roman"/>
                <w:kern w:val="0"/>
                <w:position w:val="-32"/>
                <w:sz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10.2.3-2</w:t>
            </w:r>
            <w:r>
              <w:rPr>
                <w:rFonts w:hint="eastAsia" w:ascii="Times New Roman" w:hAnsi="Times New Roman" w:eastAsia="宋体" w:cs="Times New Roman"/>
                <w:sz w:val="24"/>
                <w:szCs w:val="24"/>
              </w:rPr>
              <w:t>）</w:t>
            </w:r>
          </w:p>
        </w:tc>
        <w:tc>
          <w:tcPr>
            <w:tcW w:w="2516" w:type="dxa"/>
          </w:tcPr>
          <w:p>
            <w:pPr>
              <w:widowControl w:val="0"/>
              <w:spacing w:line="720" w:lineRule="auto"/>
              <w:jc w:val="right"/>
              <w:rPr>
                <w:rFonts w:ascii="Times New Roman" w:hAnsi="Times New Roman" w:eastAsia="宋体" w:cs="Times New Roman"/>
                <w:sz w:val="24"/>
                <w:szCs w:val="24"/>
              </w:rPr>
            </w:pPr>
          </w:p>
        </w:tc>
        <w:tc>
          <w:tcPr>
            <w:tcW w:w="2516" w:type="dxa"/>
          </w:tcPr>
          <w:p>
            <w:pPr>
              <w:widowControl w:val="0"/>
              <w:spacing w:line="720" w:lineRule="auto"/>
              <w:jc w:val="right"/>
              <w:rPr>
                <w:rFonts w:ascii="Times New Roman" w:hAnsi="Times New Roman" w:eastAsia="宋体" w:cs="Times New Roman"/>
                <w:sz w:val="24"/>
                <w:szCs w:val="24"/>
              </w:rPr>
            </w:pPr>
          </w:p>
        </w:tc>
        <w:tc>
          <w:tcPr>
            <w:tcW w:w="2516" w:type="dxa"/>
          </w:tcPr>
          <w:p>
            <w:pPr>
              <w:widowControl w:val="0"/>
              <w:spacing w:line="720" w:lineRule="auto"/>
              <w:jc w:val="right"/>
              <w:rPr>
                <w:rFonts w:ascii="Times New Roman" w:hAnsi="Times New Roman" w:eastAsia="宋体" w:cs="Times New Roman"/>
                <w:sz w:val="24"/>
                <w:szCs w:val="24"/>
              </w:rPr>
            </w:pPr>
          </w:p>
        </w:tc>
      </w:tr>
    </w:tbl>
    <w:p>
      <w:pPr>
        <w:widowControl w:val="0"/>
        <w:autoSpaceDE w:val="0"/>
        <w:autoSpaceDN w:val="0"/>
        <w:adjustRightInd w:val="0"/>
        <w:spacing w:line="480" w:lineRule="exact"/>
        <w:ind w:left="1850" w:hanging="1850" w:hangingChars="771"/>
        <w:rPr>
          <w:rFonts w:ascii="Times New Roman" w:hAnsi="Times New Roman" w:eastAsia="宋体" w:cs="Times New Roman"/>
          <w:sz w:val="24"/>
          <w:szCs w:val="24"/>
        </w:rPr>
      </w:pPr>
      <w:r>
        <w:rPr>
          <w:rFonts w:hint="eastAsia" w:ascii="Times New Roman" w:hAnsi="Times New Roman" w:eastAsia="宋体" w:cs="Times New Roman"/>
          <w:kern w:val="0"/>
          <w:sz w:val="24"/>
          <w:szCs w:val="24"/>
        </w:rPr>
        <w:t>式中：</w:t>
      </w:r>
      <w:r>
        <w:rPr>
          <w:rFonts w:ascii="Times New Roman" w:hAnsi="Times New Roman" w:eastAsia="宋体" w:cs="Times New Roman"/>
          <w:position w:val="-12"/>
          <w:sz w:val="24"/>
          <w:szCs w:val="24"/>
          <w:vertAlign w:val="subscript"/>
        </w:rPr>
        <w:object>
          <v:shape id="_x0000_i1231" o:spt="75" type="#_x0000_t75" style="height:18pt;width:15pt;" o:ole="t" filled="f" o:preferrelative="t" stroked="f" coordsize="21600,21600">
            <v:path/>
            <v:fill on="f" focussize="0,0"/>
            <v:stroke on="f" joinstyle="miter"/>
            <v:imagedata r:id="rId617" o:title=""/>
            <o:lock v:ext="edit" aspectratio="t"/>
            <w10:wrap type="none"/>
            <w10:anchorlock/>
          </v:shape>
          <o:OLEObject Type="Embed" ProgID="Equation.DSMT4" ShapeID="_x0000_i1231" DrawAspect="Content" ObjectID="_1468075931" r:id="rId616">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圆弧滑动稳定安全系数，其值不应小于</w:t>
      </w:r>
      <w:r>
        <w:rPr>
          <w:rFonts w:ascii="Times New Roman" w:hAnsi="Times New Roman" w:eastAsia="宋体" w:cs="Times New Roman"/>
          <w:sz w:val="24"/>
          <w:szCs w:val="24"/>
        </w:rPr>
        <w:t>1.3</w:t>
      </w:r>
      <w:r>
        <w:rPr>
          <w:rFonts w:hint="eastAsia" w:ascii="Times New Roman" w:hAnsi="Times New Roman" w:eastAsia="宋体" w:cs="Times New Roman"/>
          <w:sz w:val="24"/>
          <w:szCs w:val="24"/>
        </w:rPr>
        <w:t>；</w:t>
      </w:r>
    </w:p>
    <w:p>
      <w:pPr>
        <w:widowControl w:val="0"/>
        <w:autoSpaceDE w:val="0"/>
        <w:autoSpaceDN w:val="0"/>
        <w:adjustRightInd w:val="0"/>
        <w:spacing w:line="480" w:lineRule="exact"/>
        <w:ind w:firstLine="708" w:firstLineChars="295"/>
        <w:rPr>
          <w:rFonts w:ascii="Times New Roman" w:hAnsi="Times New Roman" w:eastAsia="宋体" w:cs="Times New Roman"/>
          <w:sz w:val="24"/>
          <w:szCs w:val="24"/>
        </w:rPr>
      </w:pPr>
      <w:r>
        <w:rPr>
          <w:rFonts w:ascii="Times New Roman" w:hAnsi="Times New Roman" w:eastAsia="宋体" w:cs="Times New Roman"/>
          <w:kern w:val="0"/>
          <w:position w:val="-8"/>
          <w:sz w:val="24"/>
          <w:szCs w:val="24"/>
        </w:rPr>
        <w:object>
          <v:shape id="_x0000_i1232" o:spt="75" type="#_x0000_t75" style="height:13.8pt;width:21pt;" o:ole="t" filled="f" o:preferrelative="t" stroked="f" coordsize="21600,21600">
            <v:path/>
            <v:fill on="f" focussize="0,0"/>
            <v:stroke on="f" joinstyle="miter"/>
            <v:imagedata r:id="rId619" o:title=""/>
            <o:lock v:ext="edit" aspectratio="t"/>
            <w10:wrap type="none"/>
            <w10:anchorlock/>
          </v:shape>
          <o:OLEObject Type="Embed" ProgID="Equation.DSMT4" ShapeID="_x0000_i1232" DrawAspect="Content" ObjectID="_1468075932" r:id="rId618">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hint="eastAsia" w:ascii="Times New Roman" w:hAnsi="Times New Roman" w:eastAsia="宋体" w:cs="Times New Roman"/>
          <w:i/>
          <w:sz w:val="24"/>
          <w:szCs w:val="24"/>
        </w:rPr>
        <w:t>i</w:t>
      </w:r>
      <w:r>
        <w:rPr>
          <w:rFonts w:hint="eastAsia" w:ascii="Times New Roman" w:hAnsi="Times New Roman" w:eastAsia="宋体" w:cs="Times New Roman"/>
          <w:sz w:val="24"/>
          <w:szCs w:val="24"/>
        </w:rPr>
        <w:t>个</w:t>
      </w:r>
      <w:r>
        <w:rPr>
          <w:rFonts w:ascii="Times New Roman" w:hAnsi="Times New Roman" w:eastAsia="宋体" w:cs="Times New Roman"/>
          <w:sz w:val="24"/>
          <w:szCs w:val="24"/>
        </w:rPr>
        <w:t>圆弧</w:t>
      </w:r>
      <w:r>
        <w:rPr>
          <w:rFonts w:hint="eastAsia" w:ascii="Times New Roman" w:hAnsi="Times New Roman" w:eastAsia="宋体" w:cs="Times New Roman"/>
          <w:sz w:val="24"/>
          <w:szCs w:val="24"/>
        </w:rPr>
        <w:t>滑动体</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抗滑</w:t>
      </w:r>
      <w:r>
        <w:rPr>
          <w:rFonts w:ascii="Times New Roman" w:hAnsi="Times New Roman" w:eastAsia="宋体" w:cs="Times New Roman"/>
          <w:sz w:val="24"/>
          <w:szCs w:val="24"/>
        </w:rPr>
        <w:t>力矩</w:t>
      </w:r>
      <w:r>
        <w:rPr>
          <w:rFonts w:hint="eastAsia" w:ascii="Times New Roman" w:hAnsi="Times New Roman" w:eastAsia="宋体" w:cs="Times New Roman"/>
          <w:sz w:val="24"/>
          <w:szCs w:val="24"/>
        </w:rPr>
        <w:t>与</w:t>
      </w:r>
      <w:r>
        <w:rPr>
          <w:rFonts w:ascii="Times New Roman" w:hAnsi="Times New Roman" w:eastAsia="宋体" w:cs="Times New Roman"/>
          <w:sz w:val="24"/>
          <w:szCs w:val="24"/>
        </w:rPr>
        <w:t>滑动</w:t>
      </w:r>
      <w:r>
        <w:rPr>
          <w:rFonts w:hint="eastAsia" w:ascii="Times New Roman" w:hAnsi="Times New Roman" w:eastAsia="宋体" w:cs="Times New Roman"/>
          <w:sz w:val="24"/>
          <w:szCs w:val="24"/>
        </w:rPr>
        <w:t>力矩</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比值</w:t>
      </w:r>
      <w:r>
        <w:rPr>
          <w:rFonts w:ascii="Times New Roman" w:hAnsi="Times New Roman" w:eastAsia="宋体" w:cs="Times New Roman"/>
          <w:sz w:val="24"/>
          <w:szCs w:val="24"/>
        </w:rPr>
        <w:t>；</w:t>
      </w:r>
      <w:r>
        <w:rPr>
          <w:rFonts w:hint="eastAsia" w:ascii="Times New Roman" w:hAnsi="Times New Roman" w:eastAsia="宋体" w:cs="Times New Roman"/>
          <w:sz w:val="24"/>
          <w:szCs w:val="24"/>
        </w:rPr>
        <w:t>抗滑</w:t>
      </w:r>
      <w:r>
        <w:rPr>
          <w:rFonts w:ascii="Times New Roman" w:hAnsi="Times New Roman" w:eastAsia="宋体" w:cs="Times New Roman"/>
          <w:sz w:val="24"/>
          <w:szCs w:val="24"/>
        </w:rPr>
        <w:t>力矩</w:t>
      </w:r>
      <w:r>
        <w:rPr>
          <w:rFonts w:hint="eastAsia" w:ascii="Times New Roman" w:hAnsi="Times New Roman" w:eastAsia="宋体" w:cs="Times New Roman"/>
          <w:sz w:val="24"/>
          <w:szCs w:val="24"/>
        </w:rPr>
        <w:t>与</w:t>
      </w:r>
      <w:r>
        <w:rPr>
          <w:rFonts w:ascii="Times New Roman" w:hAnsi="Times New Roman" w:eastAsia="宋体" w:cs="Times New Roman"/>
          <w:sz w:val="24"/>
          <w:szCs w:val="24"/>
        </w:rPr>
        <w:t>滑动</w:t>
      </w:r>
      <w:r>
        <w:rPr>
          <w:rFonts w:hint="eastAsia" w:ascii="Times New Roman" w:hAnsi="Times New Roman" w:eastAsia="宋体" w:cs="Times New Roman"/>
          <w:sz w:val="24"/>
          <w:szCs w:val="24"/>
        </w:rPr>
        <w:t>力</w:t>
      </w:r>
    </w:p>
    <w:p>
      <w:pPr>
        <w:widowControl w:val="0"/>
        <w:autoSpaceDE w:val="0"/>
        <w:autoSpaceDN w:val="0"/>
        <w:adjustRightInd w:val="0"/>
        <w:spacing w:line="480" w:lineRule="exact"/>
        <w:ind w:left="1560" w:leftChars="650"/>
        <w:rPr>
          <w:rFonts w:ascii="Times New Roman" w:hAnsi="Times New Roman" w:eastAsia="宋体" w:cs="Times New Roman"/>
          <w:kern w:val="0"/>
          <w:sz w:val="24"/>
          <w:szCs w:val="24"/>
        </w:rPr>
      </w:pPr>
      <w:r>
        <w:rPr>
          <w:rFonts w:hint="eastAsia" w:ascii="Times New Roman" w:hAnsi="Times New Roman" w:eastAsia="宋体" w:cs="Times New Roman"/>
          <w:sz w:val="24"/>
          <w:szCs w:val="24"/>
        </w:rPr>
        <w:t>矩之</w:t>
      </w:r>
      <w:r>
        <w:rPr>
          <w:rFonts w:ascii="Times New Roman" w:hAnsi="Times New Roman" w:eastAsia="宋体" w:cs="Times New Roman"/>
          <w:sz w:val="24"/>
          <w:szCs w:val="24"/>
        </w:rPr>
        <w:t>比</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最小值</w:t>
      </w:r>
      <w:r>
        <w:rPr>
          <w:rFonts w:hint="eastAsia" w:ascii="Times New Roman" w:hAnsi="Times New Roman" w:eastAsia="宋体" w:cs="Times New Roman"/>
          <w:sz w:val="24"/>
          <w:szCs w:val="24"/>
        </w:rPr>
        <w:t>宜</w:t>
      </w:r>
      <w:r>
        <w:rPr>
          <w:rFonts w:ascii="Times New Roman" w:hAnsi="Times New Roman" w:eastAsia="宋体" w:cs="Times New Roman"/>
          <w:sz w:val="24"/>
          <w:szCs w:val="24"/>
        </w:rPr>
        <w:t>通过</w:t>
      </w:r>
      <w:r>
        <w:rPr>
          <w:rFonts w:hint="eastAsia" w:ascii="Times New Roman" w:hAnsi="Times New Roman" w:eastAsia="宋体" w:cs="Times New Roman"/>
          <w:sz w:val="24"/>
          <w:szCs w:val="24"/>
        </w:rPr>
        <w:t>搜索</w:t>
      </w:r>
      <w:r>
        <w:rPr>
          <w:rFonts w:ascii="Times New Roman" w:hAnsi="Times New Roman" w:eastAsia="宋体" w:cs="Times New Roman"/>
          <w:sz w:val="24"/>
          <w:szCs w:val="24"/>
        </w:rPr>
        <w:t>不同</w:t>
      </w:r>
      <w:r>
        <w:rPr>
          <w:rFonts w:hint="eastAsia" w:ascii="Times New Roman" w:hAnsi="Times New Roman" w:eastAsia="宋体" w:cs="Times New Roman"/>
          <w:sz w:val="24"/>
          <w:szCs w:val="24"/>
        </w:rPr>
        <w:t>圆心</w:t>
      </w:r>
      <w:r>
        <w:rPr>
          <w:rFonts w:ascii="Times New Roman" w:hAnsi="Times New Roman" w:eastAsia="宋体" w:cs="Times New Roman"/>
          <w:sz w:val="24"/>
          <w:szCs w:val="24"/>
        </w:rPr>
        <w:t>及</w:t>
      </w:r>
      <w:r>
        <w:rPr>
          <w:rFonts w:hint="eastAsia" w:ascii="Times New Roman" w:hAnsi="Times New Roman" w:eastAsia="宋体" w:cs="Times New Roman"/>
          <w:sz w:val="24"/>
          <w:szCs w:val="24"/>
        </w:rPr>
        <w:t>半径</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所有</w:t>
      </w:r>
      <w:r>
        <w:rPr>
          <w:rFonts w:ascii="Times New Roman" w:hAnsi="Times New Roman" w:eastAsia="宋体" w:cs="Times New Roman"/>
          <w:sz w:val="24"/>
          <w:szCs w:val="24"/>
        </w:rPr>
        <w:t>潜在</w:t>
      </w:r>
      <w:r>
        <w:rPr>
          <w:rFonts w:hint="eastAsia" w:ascii="Times New Roman" w:hAnsi="Times New Roman" w:eastAsia="宋体" w:cs="Times New Roman"/>
          <w:sz w:val="24"/>
          <w:szCs w:val="24"/>
        </w:rPr>
        <w:t>滑动</w:t>
      </w:r>
      <w:r>
        <w:rPr>
          <w:rFonts w:ascii="Times New Roman" w:hAnsi="Times New Roman" w:eastAsia="宋体" w:cs="Times New Roman"/>
          <w:sz w:val="24"/>
          <w:szCs w:val="24"/>
        </w:rPr>
        <w:t>圆弧</w:t>
      </w:r>
      <w:r>
        <w:rPr>
          <w:rFonts w:hint="eastAsia" w:ascii="Times New Roman" w:hAnsi="Times New Roman" w:eastAsia="宋体" w:cs="Times New Roman"/>
          <w:sz w:val="24"/>
          <w:szCs w:val="24"/>
        </w:rPr>
        <w:t>确定；</w:t>
      </w:r>
    </w:p>
    <w:p>
      <w:pPr>
        <w:widowControl w:val="0"/>
        <w:autoSpaceDE w:val="0"/>
        <w:autoSpaceDN w:val="0"/>
        <w:adjustRightInd w:val="0"/>
        <w:spacing w:line="480" w:lineRule="exact"/>
        <w:ind w:left="1560" w:leftChars="150" w:hanging="1200" w:hangingChars="500"/>
        <w:rPr>
          <w:rFonts w:ascii="Times New Roman" w:hAnsi="Times New Roman" w:eastAsia="宋体" w:cs="Times New Roman"/>
          <w:kern w:val="0"/>
          <w:sz w:val="24"/>
          <w:szCs w:val="24"/>
        </w:rPr>
      </w:pPr>
      <w:r>
        <w:rPr>
          <w:rFonts w:ascii="Times New Roman" w:hAnsi="Times New Roman" w:eastAsia="宋体" w:cs="Times New Roman"/>
          <w:kern w:val="0"/>
          <w:position w:val="-14"/>
          <w:sz w:val="24"/>
          <w:szCs w:val="24"/>
        </w:rPr>
        <w:object>
          <v:shape id="_x0000_i1233" o:spt="75" type="#_x0000_t75" style="height:19.8pt;width:13.2pt;" o:ole="t" filled="f" o:preferrelative="t" stroked="f" coordsize="21600,21600">
            <v:path/>
            <v:fill on="f" focussize="0,0"/>
            <v:stroke on="f" joinstyle="miter"/>
            <v:imagedata r:id="rId621" o:title=""/>
            <o:lock v:ext="edit" aspectratio="t"/>
            <w10:wrap type="none"/>
            <w10:anchorlock/>
          </v:shape>
          <o:OLEObject Type="Embed" ProgID="Equation.DSMT4" ShapeID="_x0000_i1233" DrawAspect="Content" ObjectID="_1468075933" r:id="rId620">
            <o:LockedField>false</o:LockedField>
          </o:OLEObject>
        </w:object>
      </w:r>
      <w:r>
        <w:rPr>
          <w:rFonts w:hint="eastAsia" w:ascii="Times New Roman" w:hAnsi="Times New Roman" w:eastAsia="宋体" w:cs="Times New Roman"/>
          <w:kern w:val="0"/>
          <w:sz w:val="24"/>
          <w:szCs w:val="24"/>
        </w:rPr>
        <w:t>、</w:t>
      </w:r>
      <w:r>
        <w:rPr>
          <w:rFonts w:ascii="Times New Roman" w:hAnsi="Times New Roman" w:eastAsia="宋体" w:cs="Times New Roman"/>
          <w:kern w:val="0"/>
          <w:position w:val="-14"/>
          <w:sz w:val="24"/>
          <w:szCs w:val="24"/>
        </w:rPr>
        <w:object>
          <v:shape id="_x0000_i1234" o:spt="75" type="#_x0000_t75" style="height:19.8pt;width:13.8pt;" o:ole="t" filled="f" o:preferrelative="t" stroked="f" coordsize="21600,21600">
            <v:path/>
            <v:fill on="f" focussize="0,0"/>
            <v:stroke on="f" joinstyle="miter"/>
            <v:imagedata r:id="rId623" o:title=""/>
            <o:lock v:ext="edit" aspectratio="t"/>
            <w10:wrap type="none"/>
            <w10:anchorlock/>
          </v:shape>
          <o:OLEObject Type="Embed" ProgID="Equation.DSMT4" ShapeID="_x0000_i1234" DrawAspect="Content" ObjectID="_1468075934" r:id="rId622">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分别为第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土条滑弧面处土的粘聚力（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）、内摩擦角（</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p>
    <w:p>
      <w:pPr>
        <w:widowControl w:val="0"/>
        <w:autoSpaceDE w:val="0"/>
        <w:autoSpaceDN w:val="0"/>
        <w:adjustRightInd w:val="0"/>
        <w:spacing w:line="480" w:lineRule="exact"/>
        <w:ind w:left="1560" w:leftChars="350" w:hanging="720" w:hangingChars="300"/>
        <w:rPr>
          <w:rFonts w:ascii="Times New Roman" w:hAnsi="Times New Roman" w:eastAsia="宋体" w:cs="Times New Roman"/>
          <w:kern w:val="0"/>
          <w:sz w:val="24"/>
          <w:szCs w:val="24"/>
        </w:rPr>
      </w:pPr>
      <w:r>
        <w:rPr>
          <w:rFonts w:ascii="Times New Roman" w:hAnsi="Times New Roman" w:eastAsia="宋体" w:cs="Times New Roman"/>
          <w:kern w:val="0"/>
          <w:position w:val="-14"/>
          <w:sz w:val="24"/>
          <w:szCs w:val="24"/>
        </w:rPr>
        <w:object>
          <v:shape id="_x0000_i1235" o:spt="75" type="#_x0000_t75" style="height:19.8pt;width:13.2pt;" o:ole="t" filled="f" o:preferrelative="t" stroked="f" coordsize="21600,21600">
            <v:path/>
            <v:fill on="f" focussize="0,0"/>
            <v:stroke on="f" joinstyle="miter"/>
            <v:imagedata r:id="rId572" o:title=""/>
            <o:lock v:ext="edit" aspectratio="t"/>
            <w10:wrap type="none"/>
            <w10:anchorlock/>
          </v:shape>
          <o:OLEObject Type="Embed" ProgID="Equation.DSMT4" ShapeID="_x0000_i1235" DrawAspect="Content" ObjectID="_1468075935" r:id="rId624">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w:t>
      </w:r>
      <w:r>
        <w:rPr>
          <w:rFonts w:hint="eastAsia" w:ascii="Times New Roman" w:hAnsi="Times New Roman" w:eastAsia="宋体" w:cs="Times New Roman"/>
          <w:kern w:val="0"/>
          <w:sz w:val="24"/>
          <w:szCs w:val="24"/>
        </w:rPr>
        <w:t>的宽度</w:t>
      </w:r>
      <w:r>
        <w:rPr>
          <w:rFonts w:hint="eastAsia" w:ascii="Times New Roman" w:hAnsi="Times New Roman" w:eastAsia="宋体" w:cs="Times New Roman"/>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 xml:space="preserve"> </w:t>
      </w:r>
    </w:p>
    <w:p>
      <w:pPr>
        <w:widowControl w:val="0"/>
        <w:tabs>
          <w:tab w:val="left" w:pos="1080"/>
          <w:tab w:val="left" w:pos="1120"/>
          <w:tab w:val="left" w:pos="1372"/>
          <w:tab w:val="left" w:pos="2160"/>
          <w:tab w:val="left" w:pos="3060"/>
          <w:tab w:val="left" w:pos="4680"/>
          <w:tab w:val="left" w:pos="7020"/>
        </w:tabs>
        <w:spacing w:line="480" w:lineRule="exact"/>
        <w:ind w:left="141" w:leftChars="59" w:firstLine="708" w:firstLineChars="295"/>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36" o:spt="75" type="#_x0000_t75" style="height:19.2pt;width:13.2pt;" o:ole="t" filled="f" o:preferrelative="t" stroked="f" coordsize="21600,21600">
            <v:path/>
            <v:fill on="f" focussize="0,0"/>
            <v:stroke on="f" joinstyle="miter"/>
            <v:imagedata r:id="rId574" o:title=""/>
            <o:lock v:ext="edit" aspectratio="t"/>
            <w10:wrap type="none"/>
            <w10:anchorlock/>
          </v:shape>
          <o:OLEObject Type="Embed" ProgID="Equation.DSMT4" ShapeID="_x0000_i1236" DrawAspect="Content" ObjectID="_1468075936" r:id="rId625">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土条滑弧面中点处的法线与垂直面的夹角（</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r>
        <w:rPr>
          <w:rFonts w:hint="eastAsia" w:ascii="Times New Roman" w:hAnsi="Times New Roman" w:eastAsia="宋体" w:cs="Times New Roman"/>
          <w:kern w:val="0"/>
          <w:sz w:val="24"/>
          <w:szCs w:val="24"/>
        </w:rPr>
        <w:t>；</w:t>
      </w:r>
    </w:p>
    <w:p>
      <w:pPr>
        <w:widowControl w:val="0"/>
        <w:autoSpaceDE w:val="0"/>
        <w:autoSpaceDN w:val="0"/>
        <w:adjustRightInd w:val="0"/>
        <w:spacing w:line="480" w:lineRule="exact"/>
        <w:ind w:firstLine="840" w:firstLineChars="350"/>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37" o:spt="75" type="#_x0000_t75" style="height:19.8pt;width:10.8pt;" o:ole="t" filled="f" o:preferrelative="t" stroked="f" coordsize="21600,21600">
            <v:path/>
            <v:fill on="f" focussize="0,0"/>
            <v:stroke on="f" joinstyle="miter"/>
            <v:imagedata r:id="rId576" o:title=""/>
            <o:lock v:ext="edit" aspectratio="t"/>
            <w10:wrap type="none"/>
            <w10:anchorlock/>
          </v:shape>
          <o:OLEObject Type="Embed" ProgID="Equation.DSMT4" ShapeID="_x0000_i1237" DrawAspect="Content" ObjectID="_1468075937" r:id="rId626">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土条的滑弧长度（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r>
        <w:rPr>
          <w:rFonts w:hint="eastAsia" w:ascii="Times New Roman" w:hAnsi="Times New Roman" w:eastAsia="宋体" w:cs="Times New Roman"/>
          <w:sz w:val="24"/>
        </w:rPr>
        <w:t>取</w:t>
      </w:r>
      <w:r>
        <w:rPr>
          <w:rFonts w:ascii="Times New Roman" w:hAnsi="Times New Roman" w:eastAsia="宋体" w:cs="Times New Roman"/>
          <w:position w:val="-14"/>
          <w:sz w:val="24"/>
        </w:rPr>
        <w:object>
          <v:shape id="_x0000_i1238" o:spt="75" type="#_x0000_t75" style="height:19.8pt;width:67.8pt;" o:ole="t" filled="f" o:preferrelative="t" stroked="f" coordsize="21600,21600">
            <v:path/>
            <v:fill on="f" focussize="0,0"/>
            <v:stroke on="f" joinstyle="miter"/>
            <v:imagedata r:id="rId188" o:title=""/>
            <o:lock v:ext="edit" aspectratio="t"/>
            <w10:wrap type="none"/>
            <w10:anchorlock/>
          </v:shape>
          <o:OLEObject Type="Embed" ProgID="Equation.3" ShapeID="_x0000_i1238" DrawAspect="Content" ObjectID="_1468075938" r:id="rId627">
            <o:LockedField>false</o:LockedField>
          </o:OLEObject>
        </w:object>
      </w:r>
      <w:r>
        <w:rPr>
          <w:rFonts w:hint="eastAsia" w:ascii="Times New Roman" w:hAnsi="Times New Roman" w:eastAsia="宋体" w:cs="Times New Roman"/>
          <w:sz w:val="24"/>
          <w:szCs w:val="24"/>
        </w:rPr>
        <w:t>；</w:t>
      </w:r>
    </w:p>
    <w:p>
      <w:pPr>
        <w:widowControl w:val="0"/>
        <w:autoSpaceDE w:val="0"/>
        <w:autoSpaceDN w:val="0"/>
        <w:adjustRightInd w:val="0"/>
        <w:spacing w:line="480" w:lineRule="exact"/>
        <w:ind w:firstLine="840" w:firstLineChars="350"/>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39" o:spt="75" type="#_x0000_t75" style="height:19.8pt;width:13.2pt;" o:ole="t" filled="f" o:preferrelative="t" stroked="f" coordsize="21600,21600">
            <v:path/>
            <v:fill on="f" focussize="0,0"/>
            <v:stroke on="f" joinstyle="miter"/>
            <v:imagedata r:id="rId579" o:title=""/>
            <o:lock v:ext="edit" aspectratio="t"/>
            <w10:wrap type="none"/>
            <w10:anchorlock/>
          </v:shape>
          <o:OLEObject Type="Embed" ProgID="Equation.DSMT4" ShapeID="_x0000_i1239" DrawAspect="Content" ObjectID="_1468075939" r:id="rId628">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作用在第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土条上的附加分布荷载标准值（</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w:t>
      </w:r>
    </w:p>
    <w:p>
      <w:pPr>
        <w:widowControl w:val="0"/>
        <w:tabs>
          <w:tab w:val="left" w:pos="615"/>
          <w:tab w:val="left" w:pos="1134"/>
          <w:tab w:val="left" w:pos="2160"/>
          <w:tab w:val="left" w:pos="3060"/>
          <w:tab w:val="left" w:pos="4680"/>
          <w:tab w:val="left" w:pos="7020"/>
        </w:tabs>
        <w:spacing w:line="480" w:lineRule="exact"/>
        <w:ind w:left="1834" w:hanging="1125"/>
        <w:rPr>
          <w:rFonts w:ascii="Times New Roman" w:hAnsi="Times New Roman" w:eastAsia="宋体" w:cs="Times New Roman"/>
          <w:sz w:val="24"/>
          <w:szCs w:val="24"/>
        </w:rPr>
      </w:pPr>
      <w:r>
        <w:rPr>
          <w:rFonts w:ascii="Times New Roman" w:hAnsi="Times New Roman" w:eastAsia="宋体" w:cs="Times New Roman"/>
          <w:position w:val="-14"/>
          <w:sz w:val="24"/>
          <w:szCs w:val="24"/>
        </w:rPr>
        <w:object>
          <v:shape id="_x0000_i1240" o:spt="75" type="#_x0000_t75" style="height:19.8pt;width:24pt;" o:ole="t" filled="f" o:preferrelative="t" stroked="f" coordsize="21600,21600">
            <v:path/>
            <v:fill on="f" focussize="0,0"/>
            <v:stroke on="f" joinstyle="miter"/>
            <v:imagedata r:id="rId581" o:title=""/>
            <o:lock v:ext="edit" aspectratio="t"/>
            <w10:wrap type="none"/>
            <w10:anchorlock/>
          </v:shape>
          <o:OLEObject Type="Embed" ProgID="Equation.DSMT4" ShapeID="_x0000_i1240" DrawAspect="Content" ObjectID="_1468075940" r:id="rId629">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土条的自重（</w:t>
      </w:r>
      <w:r>
        <w:rPr>
          <w:rFonts w:ascii="Times New Roman" w:hAnsi="Times New Roman" w:eastAsia="宋体" w:cs="Times New Roman"/>
          <w:kern w:val="0"/>
          <w:sz w:val="24"/>
          <w:szCs w:val="24"/>
        </w:rPr>
        <w:t>kN</w:t>
      </w:r>
      <w:r>
        <w:rPr>
          <w:rFonts w:hint="eastAsia" w:ascii="Times New Roman" w:hAnsi="Times New Roman" w:eastAsia="宋体" w:cs="Times New Roman"/>
          <w:sz w:val="24"/>
          <w:szCs w:val="24"/>
        </w:rPr>
        <w:t>），按天然重度计算；</w:t>
      </w:r>
      <w:r>
        <w:rPr>
          <w:rFonts w:hint="eastAsia" w:ascii="Times New Roman" w:hAnsi="Times New Roman" w:eastAsia="宋体" w:cs="Times New Roman"/>
          <w:kern w:val="0"/>
          <w:sz w:val="24"/>
          <w:szCs w:val="24"/>
        </w:rPr>
        <w:t>分条时，水泥土墙可按土体考虑；</w:t>
      </w:r>
    </w:p>
    <w:p>
      <w:pPr>
        <w:widowControl w:val="0"/>
        <w:tabs>
          <w:tab w:val="left" w:pos="765"/>
          <w:tab w:val="left" w:pos="1120"/>
          <w:tab w:val="left" w:pos="1372"/>
          <w:tab w:val="left" w:pos="2160"/>
          <w:tab w:val="left" w:pos="3060"/>
          <w:tab w:val="left" w:pos="4680"/>
          <w:tab w:val="left" w:pos="7020"/>
        </w:tabs>
        <w:spacing w:line="480" w:lineRule="exact"/>
        <w:ind w:left="1440" w:leftChars="350" w:hanging="600" w:hangingChars="250"/>
        <w:rPr>
          <w:rFonts w:ascii="Times New Roman" w:hAnsi="Times New Roman" w:eastAsia="宋体" w:cs="Times New Roman"/>
          <w:sz w:val="24"/>
          <w:szCs w:val="24"/>
        </w:rPr>
      </w:pPr>
      <w:r>
        <w:rPr>
          <w:rFonts w:ascii="Times New Roman" w:hAnsi="Times New Roman" w:eastAsia="宋体" w:cs="Times New Roman"/>
          <w:i/>
          <w:position w:val="-14"/>
          <w:sz w:val="24"/>
          <w:szCs w:val="24"/>
        </w:rPr>
        <w:object>
          <v:shape id="_x0000_i1241" o:spt="75" type="#_x0000_t75" style="height:19.8pt;width:13.2pt;" o:ole="t" filled="f" o:preferrelative="t" stroked="f" coordsize="21600,21600">
            <v:path/>
            <v:fill on="f" focussize="0,0"/>
            <v:stroke on="f" joinstyle="miter"/>
            <v:imagedata r:id="rId583" o:title=""/>
            <o:lock v:ext="edit" aspectratio="t"/>
            <w10:wrap type="none"/>
            <w10:anchorlock/>
          </v:shape>
          <o:OLEObject Type="Embed" ProgID="Equation.DSMT4" ShapeID="_x0000_i1241" DrawAspect="Content" ObjectID="_1468075941" r:id="rId630">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土条在滑弧面上的孔隙水压力（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）；对地下水位以下的砂土、碎石土、粉土，当地下水是静止的或渗流水力梯度可忽略不计时，在基坑外侧，可取</w:t>
      </w:r>
      <w:r>
        <w:rPr>
          <w:rFonts w:ascii="Times New Roman" w:hAnsi="Times New Roman" w:eastAsia="宋体" w:cs="Times New Roman"/>
          <w:i/>
          <w:position w:val="-14"/>
          <w:sz w:val="24"/>
          <w:szCs w:val="24"/>
        </w:rPr>
        <w:object>
          <v:shape id="_x0000_i1242" o:spt="75" type="#_x0000_t75" style="height:19.8pt;width:13.2pt;" o:ole="t" filled="f" o:preferrelative="t" stroked="f" coordsize="21600,21600">
            <v:path/>
            <v:fill on="f" focussize="0,0"/>
            <v:stroke on="f" joinstyle="miter"/>
            <v:imagedata r:id="rId585" o:title=""/>
            <o:lock v:ext="edit" aspectratio="t"/>
            <w10:wrap type="none"/>
            <w10:anchorlock/>
          </v:shape>
          <o:OLEObject Type="Embed" ProgID="Equation.DSMT4" ShapeID="_x0000_i1242" DrawAspect="Content" ObjectID="_1468075942" r:id="rId631">
            <o:LockedField>false</o:LockedField>
          </o:OLEObject>
        </w:objec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wa</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hint="eastAsia" w:ascii="Times New Roman" w:hAnsi="Times New Roman" w:eastAsia="宋体" w:cs="Times New Roman"/>
          <w:sz w:val="24"/>
          <w:szCs w:val="24"/>
        </w:rPr>
        <w:t>，在基坑内侧，可取</w:t>
      </w:r>
      <w:r>
        <w:rPr>
          <w:rFonts w:ascii="Times New Roman" w:hAnsi="Times New Roman" w:eastAsia="宋体" w:cs="Times New Roman"/>
          <w:i/>
          <w:position w:val="-14"/>
          <w:sz w:val="24"/>
          <w:szCs w:val="24"/>
        </w:rPr>
        <w:object>
          <v:shape id="_x0000_i1243" o:spt="75" type="#_x0000_t75" style="height:19.8pt;width:13.2pt;" o:ole="t" filled="f" o:preferrelative="t" stroked="f" coordsize="21600,21600">
            <v:path/>
            <v:fill on="f" focussize="0,0"/>
            <v:stroke on="f" joinstyle="miter"/>
            <v:imagedata r:id="rId587" o:title=""/>
            <o:lock v:ext="edit" aspectratio="t"/>
            <w10:wrap type="none"/>
            <w10:anchorlock/>
          </v:shape>
          <o:OLEObject Type="Embed" ProgID="Equation.DSMT4" ShapeID="_x0000_i1243" DrawAspect="Content" ObjectID="_1468075943" r:id="rId632">
            <o:LockedField>false</o:LockedField>
          </o:OLEObject>
        </w:objec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wp</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hint="eastAsia" w:ascii="Times New Roman" w:hAnsi="Times New Roman" w:eastAsia="宋体" w:cs="Times New Roman"/>
          <w:sz w:val="24"/>
          <w:szCs w:val="24"/>
        </w:rPr>
        <w:t>；对地下水位以上的各类土和地下水位以下的粘性土，取</w:t>
      </w:r>
      <w:r>
        <w:rPr>
          <w:rFonts w:ascii="Times New Roman" w:hAnsi="Times New Roman" w:eastAsia="宋体" w:cs="Times New Roman"/>
          <w:i/>
          <w:position w:val="-14"/>
          <w:sz w:val="24"/>
          <w:szCs w:val="24"/>
        </w:rPr>
        <w:object>
          <v:shape id="_x0000_i1244" o:spt="75" type="#_x0000_t75" style="height:19.8pt;width:13.2pt;" o:ole="t" filled="f" o:preferrelative="t" stroked="f" coordsize="21600,21600">
            <v:path/>
            <v:fill on="f" focussize="0,0"/>
            <v:stroke on="f" joinstyle="miter"/>
            <v:imagedata r:id="rId589" o:title=""/>
            <o:lock v:ext="edit" aspectratio="t"/>
            <w10:wrap type="none"/>
            <w10:anchorlock/>
          </v:shape>
          <o:OLEObject Type="Embed" ProgID="Equation.DSMT4" ShapeID="_x0000_i1244" DrawAspect="Content" ObjectID="_1468075944" r:id="rId633">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pPr>
        <w:widowControl w:val="0"/>
        <w:tabs>
          <w:tab w:val="left" w:pos="765"/>
          <w:tab w:val="left" w:pos="1120"/>
          <w:tab w:val="left" w:pos="1372"/>
          <w:tab w:val="left" w:pos="2160"/>
          <w:tab w:val="left" w:pos="3060"/>
          <w:tab w:val="left" w:pos="4680"/>
          <w:tab w:val="left" w:pos="7020"/>
        </w:tabs>
        <w:spacing w:line="480" w:lineRule="exact"/>
        <w:ind w:left="283" w:leftChars="118" w:firstLine="600" w:firstLineChars="250"/>
        <w:rPr>
          <w:rFonts w:ascii="Times New Roman" w:hAnsi="Times New Roman" w:eastAsia="宋体" w:cs="Times New Roman"/>
          <w:sz w:val="24"/>
          <w:szCs w:val="24"/>
        </w:rPr>
      </w:pPr>
      <w:r>
        <w:rPr>
          <w:rFonts w:hint="eastAsia" w:ascii="Times New Roman" w:hAnsi="Times New Roman" w:eastAsia="宋体" w:cs="Times New Roman"/>
          <w:i/>
          <w:sz w:val="24"/>
          <w:szCs w:val="24"/>
        </w:rPr>
        <w:t>γ</w:t>
      </w:r>
      <w:r>
        <w:rPr>
          <w:rFonts w:ascii="Times New Roman" w:hAnsi="Times New Roman" w:eastAsia="宋体" w:cs="Times New Roman"/>
          <w:sz w:val="24"/>
          <w:szCs w:val="24"/>
          <w:vertAlign w:val="subscript"/>
        </w:rPr>
        <w:t>w</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地下水重度（</w:t>
      </w:r>
      <w:r>
        <w:rPr>
          <w:rFonts w:ascii="Times New Roman" w:hAnsi="Times New Roman" w:eastAsia="宋体" w:cs="Times New Roman"/>
          <w:sz w:val="24"/>
          <w:szCs w:val="24"/>
        </w:rPr>
        <w:t>kN/m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p>
    <w:p>
      <w:pPr>
        <w:widowControl w:val="0"/>
        <w:tabs>
          <w:tab w:val="left" w:pos="658"/>
          <w:tab w:val="left" w:pos="1134"/>
          <w:tab w:val="left" w:pos="1372"/>
          <w:tab w:val="left" w:pos="2160"/>
          <w:tab w:val="left" w:pos="3060"/>
          <w:tab w:val="left" w:pos="4680"/>
          <w:tab w:val="left" w:pos="7020"/>
        </w:tabs>
        <w:spacing w:line="480" w:lineRule="exact"/>
        <w:ind w:left="425" w:leftChars="177" w:firstLine="480" w:firstLineChars="200"/>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wa</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基坑外地下水位至第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土条滑弧面中点的深度（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tabs>
          <w:tab w:val="left" w:pos="658"/>
          <w:tab w:val="left" w:pos="1134"/>
          <w:tab w:val="left" w:pos="1372"/>
          <w:tab w:val="left" w:pos="2160"/>
          <w:tab w:val="left" w:pos="3060"/>
          <w:tab w:val="left" w:pos="4680"/>
          <w:tab w:val="left" w:pos="7020"/>
        </w:tabs>
        <w:spacing w:line="480" w:lineRule="exact"/>
        <w:ind w:left="989" w:leftChars="354" w:hanging="139" w:hangingChars="58"/>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vertAlign w:val="subscript"/>
        </w:rPr>
        <w:t>wp</w:t>
      </w:r>
      <w:r>
        <w:rPr>
          <w:rFonts w:hint="eastAsia" w:ascii="Times New Roman" w:hAnsi="Times New Roman" w:eastAsia="宋体" w:cs="Times New Roman"/>
          <w:sz w:val="24"/>
          <w:szCs w:val="24"/>
          <w:vertAlign w:val="subscript"/>
        </w:rPr>
        <w:t>，</w:t>
      </w:r>
      <w:r>
        <w:rPr>
          <w:rFonts w:ascii="Times New Roman" w:hAnsi="Times New Roman" w:eastAsia="宋体" w:cs="Times New Roman"/>
          <w:i/>
          <w:sz w:val="24"/>
          <w:szCs w:val="24"/>
          <w:vertAlign w:val="subscript"/>
        </w:rPr>
        <w:t>j</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基坑内地下水位至第</w:t>
      </w:r>
      <w:r>
        <w:rPr>
          <w:rFonts w:ascii="Times New Roman" w:hAnsi="Times New Roman" w:eastAsia="宋体" w:cs="Times New Roman"/>
          <w:i/>
          <w:sz w:val="24"/>
          <w:szCs w:val="24"/>
        </w:rPr>
        <w:t>j</w:t>
      </w:r>
      <w:r>
        <w:rPr>
          <w:rFonts w:hint="eastAsia" w:ascii="Times New Roman" w:hAnsi="Times New Roman" w:eastAsia="宋体" w:cs="Times New Roman"/>
          <w:sz w:val="24"/>
          <w:szCs w:val="24"/>
        </w:rPr>
        <w:t>土条滑弧面中点的深度（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jc w:val="center"/>
        <w:rPr>
          <w:rFonts w:ascii="Times New Roman" w:hAnsi="Times New Roman" w:eastAsia="宋体" w:cs="Times New Roman"/>
          <w:sz w:val="24"/>
        </w:rPr>
      </w:pPr>
      <w:r>
        <w:rPr>
          <w:rFonts w:ascii="Calibri" w:hAnsi="Calibri" w:eastAsia="宋体" w:cs="Times New Roman"/>
          <w:sz w:val="24"/>
        </w:rPr>
        <w:drawing>
          <wp:inline distT="0" distB="0" distL="0" distR="0">
            <wp:extent cx="3756660" cy="2012315"/>
            <wp:effectExtent l="0" t="0" r="7620" b="14605"/>
            <wp:docPr id="233" name="图片 233" descr="C:\Users\Administrator\AppData\Roaming\feiq\RichOle\1034918143.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3" name="图片 233" descr="C:\Users\Administrator\AppData\Roaming\feiq\RichOle\1034918143.bmp"/>
                    <pic:cNvPicPr>
                      <a:picLocks noChangeAspect="true" noChangeArrowheads="true"/>
                    </pic:cNvPicPr>
                  </pic:nvPicPr>
                  <pic:blipFill>
                    <a:blip r:embed="rId634">
                      <a:extLst>
                        <a:ext uri="{28A0092B-C50C-407E-A947-70E740481C1C}">
                          <a14:useLocalDpi xmlns:a14="http://schemas.microsoft.com/office/drawing/2010/main" val="false"/>
                        </a:ext>
                      </a:extLst>
                    </a:blip>
                    <a:srcRect/>
                    <a:stretch>
                      <a:fillRect/>
                    </a:stretch>
                  </pic:blipFill>
                  <pic:spPr>
                    <a:xfrm>
                      <a:off x="0" y="0"/>
                      <a:ext cx="3756805" cy="2012400"/>
                    </a:xfrm>
                    <a:prstGeom prst="rect">
                      <a:avLst/>
                    </a:prstGeom>
                    <a:noFill/>
                    <a:ln>
                      <a:noFill/>
                    </a:ln>
                  </pic:spPr>
                </pic:pic>
              </a:graphicData>
            </a:graphic>
          </wp:inline>
        </w:drawing>
      </w:r>
    </w:p>
    <w:p>
      <w:pPr>
        <w:widowControl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图</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2.3  </w:t>
      </w:r>
      <w:r>
        <w:rPr>
          <w:rFonts w:hint="eastAsia" w:ascii="Times New Roman" w:hAnsi="Times New Roman" w:eastAsia="宋体" w:cs="Times New Roman"/>
          <w:sz w:val="24"/>
          <w:szCs w:val="24"/>
        </w:rPr>
        <w:t>整体滑动稳定性验算</w:t>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1—任意圆弧</w:t>
      </w:r>
      <w:r>
        <w:rPr>
          <w:rFonts w:ascii="Times New Roman" w:hAnsi="Times New Roman" w:eastAsia="宋体" w:cs="Times New Roman"/>
          <w:sz w:val="21"/>
          <w:szCs w:val="21"/>
        </w:rPr>
        <w:t>滑动面；</w:t>
      </w:r>
      <w:r>
        <w:rPr>
          <w:rFonts w:hint="eastAsia" w:ascii="Times New Roman" w:hAnsi="Times New Roman" w:eastAsia="宋体" w:cs="Times New Roman"/>
          <w:sz w:val="21"/>
          <w:szCs w:val="21"/>
        </w:rPr>
        <w:t>2—重力式</w:t>
      </w:r>
      <w:r>
        <w:rPr>
          <w:rFonts w:ascii="Times New Roman" w:hAnsi="Times New Roman" w:eastAsia="宋体" w:cs="Times New Roman"/>
          <w:sz w:val="21"/>
          <w:szCs w:val="21"/>
        </w:rPr>
        <w:t>水泥土墙</w:t>
      </w:r>
    </w:p>
    <w:p>
      <w:pPr>
        <w:widowControl w:val="0"/>
        <w:tabs>
          <w:tab w:val="left" w:pos="658"/>
          <w:tab w:val="left" w:pos="720"/>
          <w:tab w:val="left" w:pos="1440"/>
          <w:tab w:val="left" w:pos="2160"/>
          <w:tab w:val="left" w:pos="3060"/>
          <w:tab w:val="left" w:pos="4680"/>
          <w:tab w:val="left" w:pos="7020"/>
        </w:tabs>
        <w:spacing w:line="480" w:lineRule="exact"/>
        <w:ind w:left="2" w:leftChars="1" w:firstLine="481" w:firstLineChars="200"/>
        <w:rPr>
          <w:rFonts w:ascii="Times New Roman" w:hAnsi="Times New Roman" w:eastAsia="宋体" w:cs="Times New Roman"/>
          <w:sz w:val="24"/>
        </w:rPr>
      </w:pPr>
      <w:r>
        <w:rPr>
          <w:rFonts w:ascii="Times New Roman" w:hAnsi="Times New Roman" w:eastAsia="宋体" w:cs="Times New Roman"/>
          <w:b/>
          <w:sz w:val="24"/>
          <w:szCs w:val="24"/>
        </w:rPr>
        <w:t>3</w:t>
      </w:r>
      <w:r>
        <w:rPr>
          <w:rFonts w:hint="eastAsia" w:ascii="Times New Roman" w:hAnsi="Times New Roman" w:eastAsia="宋体" w:cs="Times New Roman"/>
          <w:sz w:val="24"/>
          <w:szCs w:val="24"/>
        </w:rPr>
        <w:t>当墙底以下存在软弱下卧土层时，稳定性验算的滑动面中尚应包括由圆弧与软弱土层层面组成的复合滑动面。</w:t>
      </w:r>
    </w:p>
    <w:p>
      <w:pPr>
        <w:widowControl w:val="0"/>
        <w:tabs>
          <w:tab w:val="left" w:pos="0"/>
        </w:tabs>
        <w:spacing w:line="480" w:lineRule="exact"/>
        <w:rPr>
          <w:rFonts w:ascii="Times New Roman" w:hAnsi="Times New Roman" w:eastAsia="宋体" w:cs="Times New Roman"/>
          <w:sz w:val="24"/>
          <w:szCs w:val="24"/>
          <w:highlight w:val="yellow"/>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4</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重力式水泥土墙，其嵌固深度应符合下列坑底隆起稳定性要求：</w:t>
      </w:r>
    </w:p>
    <w:p>
      <w:pPr>
        <w:widowControl w:val="0"/>
        <w:tabs>
          <w:tab w:val="left" w:pos="0"/>
        </w:tabs>
        <w:spacing w:line="480" w:lineRule="exact"/>
        <w:ind w:firstLine="481"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1</w:t>
      </w:r>
      <w:r>
        <w:rPr>
          <w:rFonts w:hint="eastAsia" w:ascii="Times New Roman" w:hAnsi="Times New Roman" w:eastAsia="宋体" w:cs="Times New Roman"/>
          <w:sz w:val="24"/>
          <w:szCs w:val="24"/>
        </w:rPr>
        <w:t>抗隆起稳定性可按公式(</w:t>
      </w:r>
      <w:r>
        <w:rPr>
          <w:rFonts w:ascii="Times New Roman" w:hAnsi="Times New Roman" w:eastAsia="宋体" w:cs="Times New Roman"/>
          <w:sz w:val="24"/>
          <w:szCs w:val="24"/>
        </w:rPr>
        <w:t>10.2.4</w:t>
      </w:r>
      <w:r>
        <w:rPr>
          <w:rFonts w:hint="eastAsia" w:ascii="Times New Roman" w:hAnsi="Times New Roman" w:eastAsia="宋体" w:cs="Times New Roman"/>
          <w:sz w:val="24"/>
          <w:szCs w:val="24"/>
        </w:rPr>
        <w:t>-1)～公式(</w:t>
      </w:r>
      <w:r>
        <w:rPr>
          <w:rFonts w:ascii="Times New Roman" w:hAnsi="Times New Roman" w:eastAsia="宋体" w:cs="Times New Roman"/>
          <w:sz w:val="24"/>
          <w:szCs w:val="24"/>
        </w:rPr>
        <w:t>10.2.4</w:t>
      </w:r>
      <w:r>
        <w:rPr>
          <w:rFonts w:hint="eastAsia" w:ascii="Times New Roman" w:hAnsi="Times New Roman" w:eastAsia="宋体" w:cs="Times New Roman"/>
          <w:sz w:val="24"/>
          <w:szCs w:val="24"/>
        </w:rPr>
        <w:t>-3)验算，墙底端平面下土的抗隆起稳定性验算见图</w:t>
      </w:r>
      <w:r>
        <w:rPr>
          <w:rFonts w:ascii="Times New Roman" w:hAnsi="Times New Roman" w:eastAsia="宋体" w:cs="Times New Roman"/>
          <w:sz w:val="24"/>
          <w:szCs w:val="24"/>
        </w:rPr>
        <w:t>10.2.4</w:t>
      </w:r>
      <w:r>
        <w:rPr>
          <w:rFonts w:hint="eastAsia" w:ascii="Times New Roman" w:hAnsi="Times New Roman" w:eastAsia="宋体" w:cs="Times New Roman"/>
          <w:sz w:val="24"/>
          <w:szCs w:val="24"/>
        </w:rPr>
        <w:t>-1：</w:t>
      </w:r>
    </w:p>
    <w:tbl>
      <w:tblPr>
        <w:tblStyle w:val="32"/>
        <w:tblW w:w="10564" w:type="dxa"/>
        <w:tblInd w:w="0" w:type="dxa"/>
        <w:tblLayout w:type="fixed"/>
        <w:tblCellMar>
          <w:top w:w="0" w:type="dxa"/>
          <w:left w:w="108" w:type="dxa"/>
          <w:bottom w:w="0" w:type="dxa"/>
          <w:right w:w="108" w:type="dxa"/>
        </w:tblCellMar>
      </w:tblPr>
      <w:tblGrid>
        <w:gridCol w:w="5637"/>
        <w:gridCol w:w="4927"/>
      </w:tblGrid>
      <w:tr>
        <w:tblPrEx>
          <w:tblCellMar>
            <w:top w:w="0" w:type="dxa"/>
            <w:left w:w="108" w:type="dxa"/>
            <w:bottom w:w="0" w:type="dxa"/>
            <w:right w:w="108" w:type="dxa"/>
          </w:tblCellMar>
        </w:tblPrEx>
        <w:tc>
          <w:tcPr>
            <w:tcW w:w="5637" w:type="dxa"/>
          </w:tcPr>
          <w:p>
            <w:pPr>
              <w:widowControl w:val="0"/>
              <w:tabs>
                <w:tab w:val="left" w:pos="672"/>
                <w:tab w:val="left" w:pos="1036"/>
                <w:tab w:val="left" w:pos="1620"/>
                <w:tab w:val="left" w:pos="2552"/>
                <w:tab w:val="left" w:pos="7020"/>
              </w:tabs>
              <w:jc w:val="right"/>
              <w:rPr>
                <w:rFonts w:ascii="Times New Roman" w:hAnsi="Times New Roman" w:eastAsia="宋体" w:cs="Times New Roman"/>
                <w:position w:val="-30"/>
                <w:sz w:val="24"/>
              </w:rPr>
            </w:pPr>
            <w:r>
              <w:rPr>
                <w:rFonts w:ascii="Times New Roman" w:hAnsi="Times New Roman" w:eastAsia="宋体" w:cs="Times New Roman"/>
                <w:position w:val="-30"/>
                <w:sz w:val="24"/>
              </w:rPr>
              <w:object>
                <v:shape id="_x0000_i1245" o:spt="75" type="#_x0000_t75" style="height:34.8pt;width:105pt;" o:ole="t" filled="f" o:preferrelative="t" stroked="f" coordsize="21600,21600">
                  <v:path/>
                  <v:fill on="f" focussize="0,0"/>
                  <v:stroke on="f" joinstyle="miter"/>
                  <v:imagedata r:id="rId636" o:title=""/>
                  <o:lock v:ext="edit" aspectratio="t"/>
                  <w10:wrap type="none"/>
                  <w10:anchorlock/>
                </v:shape>
                <o:OLEObject Type="Embed" ProgID="Equation.DSMT4" ShapeID="_x0000_i1245" DrawAspect="Content" ObjectID="_1468075945" r:id="rId635">
                  <o:LockedField>false</o:LockedField>
                </o:OLEObject>
              </w:object>
            </w:r>
          </w:p>
        </w:tc>
        <w:tc>
          <w:tcPr>
            <w:tcW w:w="4927" w:type="dxa"/>
          </w:tcPr>
          <w:p>
            <w:pPr>
              <w:widowControl w:val="0"/>
              <w:tabs>
                <w:tab w:val="left" w:pos="672"/>
                <w:tab w:val="left" w:pos="1036"/>
                <w:tab w:val="left" w:pos="1620"/>
                <w:tab w:val="left" w:pos="1730"/>
                <w:tab w:val="left" w:pos="7020"/>
              </w:tabs>
              <w:spacing w:line="720" w:lineRule="auto"/>
              <w:ind w:left="312" w:leftChars="130" w:right="847" w:rightChars="353" w:firstLine="1132" w:firstLineChars="472"/>
              <w:jc w:val="right"/>
              <w:rPr>
                <w:rFonts w:ascii="Times New Roman" w:hAnsi="Times New Roman" w:eastAsia="宋体" w:cs="Times New Roman"/>
                <w:position w:val="-30"/>
                <w:sz w:val="24"/>
              </w:rPr>
            </w:pPr>
            <w:r>
              <w:rPr>
                <w:rFonts w:ascii="Times New Roman" w:hAnsi="Times New Roman" w:eastAsia="宋体" w:cs="Times New Roman"/>
                <w:sz w:val="24"/>
                <w:szCs w:val="24"/>
              </w:rPr>
              <w:t>(10.2.4-1)</w:t>
            </w:r>
          </w:p>
        </w:tc>
      </w:tr>
      <w:tr>
        <w:tblPrEx>
          <w:tblCellMar>
            <w:top w:w="0" w:type="dxa"/>
            <w:left w:w="108" w:type="dxa"/>
            <w:bottom w:w="0" w:type="dxa"/>
            <w:right w:w="108" w:type="dxa"/>
          </w:tblCellMar>
        </w:tblPrEx>
        <w:tc>
          <w:tcPr>
            <w:tcW w:w="5637" w:type="dxa"/>
          </w:tcPr>
          <w:p>
            <w:pPr>
              <w:widowControl w:val="0"/>
              <w:tabs>
                <w:tab w:val="left" w:pos="672"/>
                <w:tab w:val="left" w:pos="1036"/>
                <w:tab w:val="left" w:pos="1620"/>
                <w:tab w:val="left" w:pos="2160"/>
                <w:tab w:val="left" w:pos="7020"/>
              </w:tabs>
              <w:ind w:right="-141" w:rightChars="-59"/>
              <w:jc w:val="right"/>
              <w:rPr>
                <w:rFonts w:ascii="Times New Roman" w:hAnsi="Times New Roman" w:eastAsia="宋体" w:cs="Times New Roman"/>
                <w:position w:val="-30"/>
                <w:sz w:val="24"/>
              </w:rPr>
            </w:pPr>
            <w:r>
              <w:rPr>
                <w:rFonts w:ascii="Times New Roman" w:hAnsi="Times New Roman" w:eastAsia="宋体" w:cs="Times New Roman"/>
                <w:position w:val="-28"/>
                <w:sz w:val="24"/>
              </w:rPr>
              <w:object>
                <v:shape id="_x0000_i1246" o:spt="75" type="#_x0000_t75" style="height:34.2pt;width:124.8pt;" o:ole="t" filled="f" o:preferrelative="t" stroked="f" coordsize="21600,21600">
                  <v:path/>
                  <v:fill on="f" focussize="0,0"/>
                  <v:stroke on="f" joinstyle="miter"/>
                  <v:imagedata r:id="rId638" o:title=""/>
                  <o:lock v:ext="edit" aspectratio="t"/>
                  <w10:wrap type="none"/>
                  <w10:anchorlock/>
                </v:shape>
                <o:OLEObject Type="Embed" ProgID="Equation.DSMT4" ShapeID="_x0000_i1246" DrawAspect="Content" ObjectID="_1468075946" r:id="rId637">
                  <o:LockedField>false</o:LockedField>
                </o:OLEObject>
              </w:object>
            </w:r>
          </w:p>
        </w:tc>
        <w:tc>
          <w:tcPr>
            <w:tcW w:w="4927" w:type="dxa"/>
            <w:vAlign w:val="center"/>
          </w:tcPr>
          <w:p>
            <w:pPr>
              <w:widowControl w:val="0"/>
              <w:tabs>
                <w:tab w:val="left" w:pos="672"/>
                <w:tab w:val="left" w:pos="1036"/>
                <w:tab w:val="left" w:pos="1620"/>
                <w:tab w:val="left" w:pos="2160"/>
                <w:tab w:val="left" w:pos="7020"/>
              </w:tabs>
              <w:ind w:right="847" w:rightChars="353"/>
              <w:jc w:val="right"/>
              <w:rPr>
                <w:rFonts w:ascii="Times New Roman" w:hAnsi="Times New Roman" w:eastAsia="宋体" w:cs="Times New Roman"/>
                <w:position w:val="-30"/>
                <w:sz w:val="24"/>
                <w:shd w:val="pct10" w:color="auto" w:fill="FFFFFF"/>
              </w:rPr>
            </w:pPr>
            <w:r>
              <w:rPr>
                <w:rFonts w:ascii="Times New Roman" w:hAnsi="Times New Roman" w:eastAsia="宋体" w:cs="Times New Roman"/>
                <w:sz w:val="24"/>
                <w:szCs w:val="24"/>
              </w:rPr>
              <w:t>(10.2.4-2)</w:t>
            </w:r>
          </w:p>
        </w:tc>
      </w:tr>
      <w:tr>
        <w:tblPrEx>
          <w:tblCellMar>
            <w:top w:w="0" w:type="dxa"/>
            <w:left w:w="108" w:type="dxa"/>
            <w:bottom w:w="0" w:type="dxa"/>
            <w:right w:w="108" w:type="dxa"/>
          </w:tblCellMar>
        </w:tblPrEx>
        <w:tc>
          <w:tcPr>
            <w:tcW w:w="5637" w:type="dxa"/>
          </w:tcPr>
          <w:p>
            <w:pPr>
              <w:widowControl w:val="0"/>
              <w:tabs>
                <w:tab w:val="left" w:pos="672"/>
                <w:tab w:val="left" w:pos="1036"/>
                <w:tab w:val="left" w:pos="1620"/>
                <w:tab w:val="left" w:pos="2160"/>
                <w:tab w:val="left" w:pos="7020"/>
              </w:tabs>
              <w:jc w:val="right"/>
              <w:rPr>
                <w:rFonts w:ascii="Times New Roman" w:hAnsi="Times New Roman" w:eastAsia="宋体" w:cs="Times New Roman"/>
                <w:position w:val="-30"/>
                <w:sz w:val="24"/>
              </w:rPr>
            </w:pPr>
            <w:r>
              <w:rPr>
                <w:rFonts w:ascii="Times New Roman" w:hAnsi="Times New Roman" w:eastAsia="宋体" w:cs="Times New Roman"/>
                <w:position w:val="-14"/>
                <w:sz w:val="24"/>
              </w:rPr>
              <w:object>
                <v:shape id="_x0000_i1247" o:spt="75" type="#_x0000_t75" style="height:19.8pt;width:100.2pt;" o:ole="t" filled="f" o:preferrelative="t" stroked="f" coordsize="21600,21600">
                  <v:path/>
                  <v:fill on="f" focussize="0,0"/>
                  <v:stroke on="f" joinstyle="miter"/>
                  <v:imagedata r:id="rId640" o:title=""/>
                  <o:lock v:ext="edit" aspectratio="t"/>
                  <w10:wrap type="none"/>
                  <w10:anchorlock/>
                </v:shape>
                <o:OLEObject Type="Embed" ProgID="Equation.DSMT4" ShapeID="_x0000_i1247" DrawAspect="Content" ObjectID="_1468075947" r:id="rId639">
                  <o:LockedField>false</o:LockedField>
                </o:OLEObject>
              </w:object>
            </w:r>
          </w:p>
        </w:tc>
        <w:tc>
          <w:tcPr>
            <w:tcW w:w="4927" w:type="dxa"/>
          </w:tcPr>
          <w:p>
            <w:pPr>
              <w:widowControl w:val="0"/>
              <w:tabs>
                <w:tab w:val="left" w:pos="672"/>
                <w:tab w:val="left" w:pos="1036"/>
                <w:tab w:val="left" w:pos="1620"/>
                <w:tab w:val="left" w:pos="2160"/>
                <w:tab w:val="left" w:pos="7020"/>
              </w:tabs>
              <w:spacing w:line="480" w:lineRule="auto"/>
              <w:ind w:right="847" w:rightChars="353"/>
              <w:jc w:val="right"/>
              <w:rPr>
                <w:rFonts w:ascii="Times New Roman" w:hAnsi="Times New Roman" w:eastAsia="宋体" w:cs="Times New Roman"/>
                <w:position w:val="-30"/>
                <w:sz w:val="24"/>
              </w:rPr>
            </w:pPr>
            <w:r>
              <w:rPr>
                <w:rFonts w:ascii="Times New Roman" w:hAnsi="Times New Roman" w:eastAsia="宋体" w:cs="Times New Roman"/>
                <w:sz w:val="24"/>
                <w:szCs w:val="24"/>
              </w:rPr>
              <w:t>(10.2.4-3)</w:t>
            </w:r>
          </w:p>
        </w:tc>
      </w:tr>
    </w:tbl>
    <w:p>
      <w:pPr>
        <w:widowControl w:val="0"/>
        <w:tabs>
          <w:tab w:val="left" w:pos="672"/>
          <w:tab w:val="left" w:pos="1980"/>
          <w:tab w:val="left" w:pos="2160"/>
          <w:tab w:val="left" w:pos="7020"/>
        </w:tabs>
        <w:spacing w:line="480" w:lineRule="exact"/>
        <w:ind w:left="1560" w:hanging="1560" w:hangingChars="650"/>
        <w:rPr>
          <w:rFonts w:ascii="Times New Roman" w:hAnsi="Times New Roman" w:eastAsia="宋体" w:cs="Times New Roman"/>
          <w:b/>
          <w:sz w:val="24"/>
          <w:szCs w:val="24"/>
        </w:rPr>
      </w:pPr>
      <w:r>
        <w:rPr>
          <w:rFonts w:hint="eastAsia" w:ascii="Times New Roman" w:hAnsi="Times New Roman" w:eastAsia="宋体" w:cs="Times New Roman"/>
          <w:sz w:val="24"/>
          <w:szCs w:val="24"/>
        </w:rPr>
        <w:t>式中：</w:t>
      </w:r>
      <w:r>
        <w:rPr>
          <w:rFonts w:hint="eastAsia" w:ascii="Times New Roman" w:hAnsi="Times New Roman" w:eastAsia="宋体" w:cs="Times New Roman"/>
          <w:i/>
          <w:sz w:val="24"/>
          <w:szCs w:val="24"/>
        </w:rPr>
        <w:t>K</w:t>
      </w:r>
      <w:r>
        <w:rPr>
          <w:rFonts w:ascii="Times New Roman" w:hAnsi="Times New Roman" w:eastAsia="宋体" w:cs="Times New Roman"/>
          <w:i/>
          <w:sz w:val="24"/>
          <w:szCs w:val="24"/>
          <w:vertAlign w:val="subscript"/>
        </w:rPr>
        <w:t>lq</w:t>
      </w:r>
      <w:r>
        <w:rPr>
          <w:rFonts w:ascii="Times New Roman" w:hAnsi="Times New Roman" w:eastAsia="宋体" w:cs="Times New Roman"/>
          <w:sz w:val="24"/>
          <w:szCs w:val="24"/>
        </w:rPr>
        <w:t>——</w:t>
      </w:r>
      <w:r>
        <w:rPr>
          <w:rFonts w:hint="eastAsia" w:ascii="Times New Roman" w:hAnsi="Times New Roman" w:eastAsia="宋体" w:cs="Times New Roman"/>
          <w:sz w:val="24"/>
          <w:szCs w:val="24"/>
        </w:rPr>
        <w:t>抗隆起安全系数；安全等级为二级、三级的重力式水泥土墙，分别不应小于</w:t>
      </w:r>
      <w:r>
        <w:rPr>
          <w:rFonts w:ascii="Times New Roman" w:hAnsi="Times New Roman" w:eastAsia="宋体" w:cs="Times New Roman"/>
          <w:sz w:val="24"/>
          <w:szCs w:val="24"/>
        </w:rPr>
        <w:t>1.6</w:t>
      </w:r>
      <w:r>
        <w:rPr>
          <w:rFonts w:hint="eastAsia" w:ascii="Times New Roman" w:hAnsi="Times New Roman" w:eastAsia="宋体" w:cs="Times New Roman"/>
          <w:sz w:val="24"/>
          <w:szCs w:val="24"/>
        </w:rPr>
        <w:t>、</w:t>
      </w:r>
      <w:r>
        <w:rPr>
          <w:rFonts w:ascii="Times New Roman" w:hAnsi="Times New Roman" w:eastAsia="宋体" w:cs="Times New Roman"/>
          <w:sz w:val="24"/>
          <w:szCs w:val="24"/>
        </w:rPr>
        <w:t>1.4</w:t>
      </w:r>
      <w:r>
        <w:rPr>
          <w:rFonts w:hint="eastAsia" w:ascii="Times New Roman" w:hAnsi="Times New Roman" w:eastAsia="宋体" w:cs="Times New Roman"/>
          <w:sz w:val="24"/>
          <w:szCs w:val="24"/>
        </w:rPr>
        <w:t>；</w:t>
      </w:r>
    </w:p>
    <w:p>
      <w:pPr>
        <w:widowControl w:val="0"/>
        <w:spacing w:line="480" w:lineRule="exact"/>
        <w:ind w:left="1675" w:leftChars="295" w:hanging="967" w:hangingChars="403"/>
        <w:rPr>
          <w:rFonts w:ascii="Times New Roman" w:hAnsi="Times New Roman" w:eastAsia="宋体" w:cs="Times New Roman"/>
          <w:sz w:val="24"/>
          <w:szCs w:val="24"/>
        </w:rPr>
      </w:pPr>
      <w:r>
        <w:rPr>
          <w:rFonts w:ascii="Times New Roman" w:hAnsi="Times New Roman" w:eastAsia="宋体" w:cs="Times New Roman"/>
          <w:i/>
          <w:position w:val="-12"/>
          <w:sz w:val="24"/>
          <w:szCs w:val="24"/>
        </w:rPr>
        <w:object>
          <v:shape id="_x0000_i1248" o:spt="75" type="#_x0000_t75" style="height:18pt;width:18pt;" o:ole="t" filled="f" o:preferrelative="t" stroked="f" coordsize="21600,21600">
            <v:path/>
            <v:fill on="f" focussize="0,0"/>
            <v:stroke on="f" joinstyle="miter"/>
            <v:imagedata r:id="rId642" o:title=""/>
            <o:lock v:ext="edit" aspectratio="t"/>
            <w10:wrap type="none"/>
            <w10:anchorlock/>
          </v:shape>
          <o:OLEObject Type="Embed" ProgID="Equation.DSMT4" ShapeID="_x0000_i1248" DrawAspect="Content" ObjectID="_1468075948" r:id="rId641">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基坑外重力式水泥土墙底面以上土的天然重度（</w:t>
      </w:r>
      <w:r>
        <w:rPr>
          <w:rFonts w:ascii="Times New Roman" w:hAnsi="Times New Roman" w:eastAsia="宋体" w:cs="Times New Roman"/>
          <w:sz w:val="24"/>
          <w:szCs w:val="24"/>
        </w:rPr>
        <w:t>kN/m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）；对地下水位以下的砂土、粉土取浮重度；对多层土取各层土按厚度加权的平均重度；</w:t>
      </w:r>
    </w:p>
    <w:p>
      <w:pPr>
        <w:widowControl w:val="0"/>
        <w:spacing w:line="480" w:lineRule="exact"/>
        <w:ind w:left="1677" w:leftChars="295" w:hanging="969" w:hangingChars="404"/>
        <w:rPr>
          <w:rFonts w:ascii="Times New Roman" w:hAnsi="Times New Roman" w:eastAsia="宋体" w:cs="Times New Roman"/>
          <w:sz w:val="24"/>
          <w:szCs w:val="24"/>
        </w:rPr>
      </w:pPr>
      <w:r>
        <w:rPr>
          <w:rFonts w:ascii="Times New Roman" w:hAnsi="Times New Roman" w:eastAsia="宋体" w:cs="Times New Roman"/>
          <w:i/>
          <w:position w:val="-12"/>
          <w:sz w:val="24"/>
          <w:szCs w:val="24"/>
        </w:rPr>
        <w:object>
          <v:shape id="_x0000_i1249" o:spt="75" type="#_x0000_t75" style="height:18pt;width:19.8pt;" o:ole="t" filled="f" o:preferrelative="t" stroked="f" coordsize="21600,21600">
            <v:path/>
            <v:fill on="f" focussize="0,0"/>
            <v:stroke on="f" joinstyle="miter"/>
            <v:imagedata r:id="rId644" o:title=""/>
            <o:lock v:ext="edit" aspectratio="t"/>
            <w10:wrap type="none"/>
            <w10:anchorlock/>
          </v:shape>
          <o:OLEObject Type="Embed" ProgID="Equation.DSMT4" ShapeID="_x0000_i1249" DrawAspect="Content" ObjectID="_1468075949" r:id="rId643">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基坑内重力式水泥土墙底面以上土的天然重度（</w:t>
      </w:r>
      <w:r>
        <w:rPr>
          <w:rFonts w:ascii="Times New Roman" w:hAnsi="Times New Roman" w:eastAsia="宋体" w:cs="Times New Roman"/>
          <w:sz w:val="24"/>
          <w:szCs w:val="24"/>
        </w:rPr>
        <w:t>kN/m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）；对地下水位以下的砂土、粉土取浮重度；对多层土取各层土按厚度加权的平均重度；</w:t>
      </w:r>
    </w:p>
    <w:p>
      <w:pPr>
        <w:widowControl w:val="0"/>
        <w:spacing w:line="480" w:lineRule="exact"/>
        <w:ind w:firstLine="849" w:firstLineChars="354"/>
        <w:rPr>
          <w:rFonts w:ascii="Times New Roman" w:hAnsi="Times New Roman" w:eastAsia="宋体" w:cs="Times New Roman"/>
          <w:sz w:val="24"/>
          <w:szCs w:val="24"/>
          <w:u w:val="single"/>
        </w:rPr>
      </w:pPr>
      <w:r>
        <w:rPr>
          <w:rFonts w:ascii="Times New Roman" w:hAnsi="Times New Roman" w:eastAsia="宋体" w:cs="Times New Roman"/>
          <w:i/>
          <w:sz w:val="24"/>
          <w:szCs w:val="24"/>
        </w:rPr>
        <w:t>D</w:t>
      </w:r>
      <w:r>
        <w:rPr>
          <w:rFonts w:ascii="Times New Roman" w:hAnsi="Times New Roman" w:eastAsia="宋体" w:cs="Times New Roman"/>
          <w:sz w:val="24"/>
          <w:szCs w:val="24"/>
        </w:rPr>
        <w:t>——</w:t>
      </w:r>
      <w:r>
        <w:rPr>
          <w:rFonts w:hint="eastAsia" w:ascii="Times New Roman" w:hAnsi="Times New Roman" w:eastAsia="宋体" w:cs="Times New Roman"/>
          <w:sz w:val="24"/>
          <w:szCs w:val="24"/>
        </w:rPr>
        <w:t>重力式挡墙的嵌固深度；</w:t>
      </w:r>
    </w:p>
    <w:p>
      <w:pPr>
        <w:widowControl w:val="0"/>
        <w:tabs>
          <w:tab w:val="left" w:pos="672"/>
          <w:tab w:val="left" w:pos="1036"/>
          <w:tab w:val="left" w:pos="1980"/>
          <w:tab w:val="left" w:pos="2160"/>
          <w:tab w:val="left" w:pos="7020"/>
        </w:tabs>
        <w:spacing w:line="480" w:lineRule="exact"/>
        <w:ind w:firstLine="849" w:firstLineChars="354"/>
        <w:rPr>
          <w:rFonts w:ascii="Times New Roman" w:hAnsi="Times New Roman" w:eastAsia="宋体" w:cs="Times New Roman"/>
          <w:sz w:val="24"/>
          <w:szCs w:val="24"/>
        </w:rPr>
      </w:pPr>
      <w:r>
        <w:rPr>
          <w:rFonts w:ascii="Times New Roman" w:hAnsi="Times New Roman" w:eastAsia="宋体" w:cs="Times New Roman"/>
          <w:i/>
          <w:sz w:val="24"/>
          <w:szCs w:val="24"/>
        </w:rPr>
        <w:t>h</w:t>
      </w:r>
      <w:r>
        <w:rPr>
          <w:rFonts w:ascii="Times New Roman" w:hAnsi="Times New Roman" w:eastAsia="宋体" w:cs="Times New Roman"/>
          <w:sz w:val="24"/>
          <w:szCs w:val="24"/>
        </w:rPr>
        <w:t>——</w:t>
      </w:r>
      <w:r>
        <w:rPr>
          <w:rFonts w:hint="eastAsia" w:ascii="Times New Roman" w:hAnsi="Times New Roman" w:eastAsia="宋体" w:cs="Times New Roman"/>
          <w:sz w:val="24"/>
          <w:szCs w:val="24"/>
        </w:rPr>
        <w:t>基坑深度（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spacing w:line="480" w:lineRule="exact"/>
        <w:ind w:firstLine="849" w:firstLineChars="354"/>
        <w:rPr>
          <w:rFonts w:ascii="Times New Roman" w:hAnsi="Times New Roman" w:eastAsia="宋体" w:cs="Times New Roman"/>
          <w:sz w:val="24"/>
          <w:szCs w:val="24"/>
        </w:rPr>
      </w:pPr>
      <w:r>
        <w:rPr>
          <w:rFonts w:ascii="Times New Roman" w:hAnsi="Times New Roman" w:eastAsia="宋体" w:cs="Times New Roman"/>
          <w:i/>
          <w:position w:val="-12"/>
          <w:sz w:val="24"/>
          <w:szCs w:val="24"/>
        </w:rPr>
        <w:object>
          <v:shape id="_x0000_i1250" o:spt="75" type="#_x0000_t75" style="height:18pt;width:13.2pt;" o:ole="t" filled="f" o:preferrelative="t" stroked="f" coordsize="21600,21600">
            <v:path/>
            <v:fill on="f" focussize="0,0"/>
            <v:stroke on="f" joinstyle="miter"/>
            <v:imagedata r:id="rId646" o:title=""/>
            <o:lock v:ext="edit" aspectratio="t"/>
            <w10:wrap type="none"/>
            <w10:anchorlock/>
          </v:shape>
          <o:OLEObject Type="Embed" ProgID="Equation.DSMT4" ShapeID="_x0000_i1250" DrawAspect="Content" ObjectID="_1468075950" r:id="rId645">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地面均布荷载（</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w:t>
      </w:r>
    </w:p>
    <w:p>
      <w:pPr>
        <w:widowControl w:val="0"/>
        <w:spacing w:line="480" w:lineRule="exact"/>
        <w:ind w:firstLine="708" w:firstLineChars="295"/>
        <w:rPr>
          <w:rFonts w:ascii="Times New Roman" w:hAnsi="Times New Roman" w:eastAsia="宋体" w:cs="Times New Roman"/>
          <w:sz w:val="24"/>
          <w:szCs w:val="24"/>
        </w:rPr>
      </w:pPr>
      <w:r>
        <w:rPr>
          <w:rFonts w:ascii="Times New Roman" w:hAnsi="Times New Roman" w:eastAsia="宋体" w:cs="Times New Roman"/>
          <w:i/>
          <w:iCs/>
          <w:position w:val="-12"/>
          <w:sz w:val="24"/>
          <w:szCs w:val="24"/>
        </w:rPr>
        <w:object>
          <v:shape id="_x0000_i1251" o:spt="75" type="#_x0000_t75" style="height:18pt;width:16.2pt;" o:ole="t" filled="f" o:preferrelative="t" stroked="f" coordsize="21600,21600">
            <v:path/>
            <v:fill on="f" focussize="0,0"/>
            <v:stroke on="f" joinstyle="miter"/>
            <v:imagedata r:id="rId648" o:title=""/>
            <o:lock v:ext="edit" aspectratio="t"/>
            <w10:wrap type="none"/>
            <w10:anchorlock/>
          </v:shape>
          <o:OLEObject Type="Embed" ProgID="Equation.DSMT4" ShapeID="_x0000_i1251" DrawAspect="Content" ObjectID="_1468075951" r:id="rId647">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i/>
          <w:iCs/>
          <w:position w:val="-14"/>
          <w:sz w:val="24"/>
          <w:szCs w:val="24"/>
        </w:rPr>
        <w:object>
          <v:shape id="_x0000_i1252" o:spt="75" type="#_x0000_t75" style="height:19.8pt;width:16.8pt;" o:ole="t" filled="f" o:preferrelative="t" stroked="f" coordsize="21600,21600">
            <v:path/>
            <v:fill on="f" focussize="0,0"/>
            <v:stroke on="f" joinstyle="miter"/>
            <v:imagedata r:id="rId650" o:title=""/>
            <o:lock v:ext="edit" aspectratio="t"/>
            <w10:wrap type="none"/>
            <w10:anchorlock/>
          </v:shape>
          <o:OLEObject Type="Embed" ProgID="Equation.DSMT4" ShapeID="_x0000_i1252" DrawAspect="Content" ObjectID="_1468075952" r:id="rId649">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承载力系数；</w:t>
      </w:r>
    </w:p>
    <w:p>
      <w:pPr>
        <w:widowControl w:val="0"/>
        <w:spacing w:line="480" w:lineRule="exact"/>
        <w:ind w:left="1680" w:leftChars="300" w:hanging="960" w:hangingChars="400"/>
        <w:rPr>
          <w:rFonts w:ascii="Times New Roman" w:hAnsi="Times New Roman" w:eastAsia="宋体" w:cs="Times New Roman"/>
          <w:sz w:val="24"/>
          <w:szCs w:val="24"/>
        </w:rPr>
      </w:pPr>
      <w:r>
        <w:rPr>
          <w:rFonts w:ascii="Times New Roman" w:hAnsi="Times New Roman" w:eastAsia="宋体" w:cs="Times New Roman"/>
          <w:i/>
          <w:sz w:val="24"/>
          <w:szCs w:val="24"/>
        </w:rPr>
        <w:t>c</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sym w:font="Symbol" w:char="F06A"/>
      </w:r>
      <w:r>
        <w:rPr>
          <w:rFonts w:ascii="Times New Roman" w:hAnsi="Times New Roman" w:eastAsia="宋体" w:cs="Times New Roman"/>
          <w:sz w:val="24"/>
          <w:szCs w:val="24"/>
        </w:rPr>
        <w:t>——</w:t>
      </w:r>
      <w:r>
        <w:rPr>
          <w:rFonts w:hint="eastAsia" w:ascii="Times New Roman" w:hAnsi="Times New Roman" w:eastAsia="宋体" w:cs="Times New Roman"/>
          <w:sz w:val="24"/>
          <w:szCs w:val="24"/>
        </w:rPr>
        <w:t>分别</w:t>
      </w:r>
      <w:r>
        <w:rPr>
          <w:rFonts w:ascii="Times New Roman" w:hAnsi="Times New Roman" w:eastAsia="宋体" w:cs="Times New Roman"/>
          <w:sz w:val="24"/>
          <w:szCs w:val="24"/>
        </w:rPr>
        <w:t>为</w:t>
      </w:r>
      <w:r>
        <w:rPr>
          <w:rFonts w:hint="eastAsia" w:ascii="Times New Roman" w:hAnsi="Times New Roman" w:eastAsia="宋体" w:cs="Times New Roman"/>
          <w:sz w:val="24"/>
          <w:szCs w:val="24"/>
        </w:rPr>
        <w:t>重力式水泥土墙底面以下土的粘聚力（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）、内摩擦角（</w:t>
      </w:r>
      <m:oMath>
        <m:r>
          <m:rPr>
            <m:sty m:val="p"/>
          </m:rPr>
          <w:rPr>
            <w:rFonts w:ascii="Cambria Math" w:hAnsi="Cambria Math" w:eastAsia="宋体" w:cs="Times New Roman"/>
            <w:sz w:val="24"/>
            <w:szCs w:val="24"/>
          </w:rPr>
          <m:t>°</m:t>
        </m:r>
      </m:oMath>
      <w:r>
        <w:rPr>
          <w:rFonts w:hint="eastAsia" w:ascii="Times New Roman" w:hAnsi="Times New Roman" w:eastAsia="宋体" w:cs="Times New Roman"/>
          <w:sz w:val="24"/>
          <w:szCs w:val="24"/>
        </w:rPr>
        <w:t>）。</w:t>
      </w:r>
    </w:p>
    <w:p>
      <w:pPr>
        <w:widowControl w:val="0"/>
        <w:tabs>
          <w:tab w:val="left" w:pos="0"/>
        </w:tabs>
        <w:spacing w:line="480" w:lineRule="exact"/>
        <w:ind w:firstLine="481" w:firstLineChars="200"/>
        <w:jc w:val="left"/>
        <w:rPr>
          <w:rFonts w:ascii="Times New Roman" w:hAnsi="Times New Roman" w:eastAsia="宋体" w:cs="Times New Roman"/>
          <w:b/>
          <w:sz w:val="24"/>
          <w:szCs w:val="24"/>
        </w:rPr>
      </w:pPr>
    </w:p>
    <w:p>
      <w:pPr>
        <w:widowControl w:val="0"/>
        <w:spacing w:line="480" w:lineRule="exact"/>
        <w:ind w:left="1680" w:leftChars="300" w:hanging="960" w:hangingChars="400"/>
        <w:rPr>
          <w:rFonts w:ascii="Times New Roman" w:hAnsi="Times New Roman" w:eastAsia="宋体" w:cs="Times New Roman"/>
          <w:sz w:val="24"/>
          <w:szCs w:val="24"/>
        </w:rPr>
      </w:pPr>
    </w:p>
    <w:p>
      <w:pPr>
        <w:widowControl w:val="0"/>
        <w:ind w:firstLine="720" w:firstLineChars="300"/>
        <w:jc w:val="center"/>
        <w:rPr>
          <w:rFonts w:ascii="Times New Roman" w:hAnsi="Times New Roman" w:eastAsia="宋体" w:cs="Times New Roman"/>
          <w:sz w:val="24"/>
          <w:szCs w:val="24"/>
        </w:rPr>
      </w:pPr>
      <w:r>
        <w:rPr>
          <w:rFonts w:ascii="Calibri" w:hAnsi="Calibri" w:eastAsia="宋体" w:cs="Times New Roman"/>
          <w:sz w:val="24"/>
        </w:rPr>
        <w:drawing>
          <wp:inline distT="0" distB="0" distL="0" distR="0">
            <wp:extent cx="3387725" cy="2047875"/>
            <wp:effectExtent l="0" t="0" r="10795" b="9525"/>
            <wp:docPr id="236" name="图片 236" descr="C:\Users\Administrator\AppData\Roaming\feiq\RichOle\2902073660.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6" name="图片 236" descr="C:\Users\Administrator\AppData\Roaming\feiq\RichOle\2902073660.bmp"/>
                    <pic:cNvPicPr>
                      <a:picLocks noChangeAspect="true" noChangeArrowheads="true"/>
                    </pic:cNvPicPr>
                  </pic:nvPicPr>
                  <pic:blipFill>
                    <a:blip r:embed="rId651">
                      <a:extLst>
                        <a:ext uri="{28A0092B-C50C-407E-A947-70E740481C1C}">
                          <a14:useLocalDpi xmlns:a14="http://schemas.microsoft.com/office/drawing/2010/main" val="false"/>
                        </a:ext>
                      </a:extLst>
                    </a:blip>
                    <a:srcRect/>
                    <a:stretch>
                      <a:fillRect/>
                    </a:stretch>
                  </pic:blipFill>
                  <pic:spPr>
                    <a:xfrm>
                      <a:off x="0" y="0"/>
                      <a:ext cx="3388112" cy="2048400"/>
                    </a:xfrm>
                    <a:prstGeom prst="rect">
                      <a:avLst/>
                    </a:prstGeom>
                    <a:noFill/>
                    <a:ln>
                      <a:noFill/>
                    </a:ln>
                  </pic:spPr>
                </pic:pic>
              </a:graphicData>
            </a:graphic>
          </wp:inline>
        </w:drawing>
      </w:r>
    </w:p>
    <w:p>
      <w:pPr>
        <w:widowControl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图</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ascii="Times New Roman" w:hAnsi="Times New Roman" w:eastAsia="宋体" w:cs="Times New Roman"/>
          <w:sz w:val="24"/>
          <w:szCs w:val="24"/>
        </w:rPr>
        <w:t>4</w:t>
      </w:r>
      <w:r>
        <w:rPr>
          <w:rFonts w:hint="eastAsia" w:ascii="Times New Roman" w:hAnsi="Times New Roman" w:eastAsia="宋体" w:cs="Times New Roman"/>
          <w:sz w:val="24"/>
          <w:szCs w:val="24"/>
        </w:rPr>
        <w:t>-1墙底端平面下土的抗隆起稳定性验算</w:t>
      </w:r>
    </w:p>
    <w:p>
      <w:pPr>
        <w:widowControl w:val="0"/>
        <w:rPr>
          <w:rFonts w:ascii="Times New Roman" w:hAnsi="Times New Roman" w:eastAsia="宋体" w:cs="Times New Roman"/>
          <w:sz w:val="21"/>
          <w:szCs w:val="21"/>
        </w:rPr>
      </w:pPr>
    </w:p>
    <w:p>
      <w:pPr>
        <w:widowControl w:val="0"/>
        <w:tabs>
          <w:tab w:val="left" w:pos="672"/>
          <w:tab w:val="left" w:pos="1036"/>
          <w:tab w:val="left" w:pos="1620"/>
          <w:tab w:val="left" w:pos="2160"/>
          <w:tab w:val="left" w:pos="6660"/>
        </w:tabs>
        <w:spacing w:line="48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2</w:t>
      </w:r>
      <w:r>
        <w:rPr>
          <w:rFonts w:hint="eastAsia" w:ascii="Times New Roman" w:hAnsi="Times New Roman" w:eastAsia="宋体" w:cs="Times New Roman"/>
          <w:sz w:val="24"/>
          <w:szCs w:val="24"/>
        </w:rPr>
        <w:t>当重力式水泥土墙底面以下有软弱下卧层时，墙底面土的抗隆起稳定性验算的部位尚应包括软弱下卧层（图</w:t>
      </w:r>
      <w:r>
        <w:rPr>
          <w:rFonts w:ascii="Times New Roman" w:hAnsi="Times New Roman" w:eastAsia="宋体" w:cs="Times New Roman"/>
          <w:sz w:val="24"/>
          <w:szCs w:val="24"/>
        </w:rPr>
        <w:t>10.2.4</w:t>
      </w: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。此时</w:t>
      </w:r>
      <w:r>
        <w:rPr>
          <w:rFonts w:ascii="Times New Roman" w:hAnsi="Times New Roman" w:eastAsia="宋体" w:cs="Times New Roman"/>
          <w:sz w:val="24"/>
          <w:szCs w:val="24"/>
        </w:rPr>
        <w:t>，</w:t>
      </w:r>
      <w:r>
        <w:rPr>
          <w:rFonts w:hint="eastAsia" w:ascii="Times New Roman" w:hAnsi="Times New Roman" w:eastAsia="宋体" w:cs="Times New Roman"/>
          <w:sz w:val="24"/>
          <w:szCs w:val="24"/>
        </w:rPr>
        <w:t>公式</w:t>
      </w:r>
      <w:r>
        <w:rPr>
          <w:rFonts w:ascii="Times New Roman" w:hAnsi="Times New Roman" w:eastAsia="宋体" w:cs="Times New Roman"/>
          <w:sz w:val="24"/>
          <w:szCs w:val="24"/>
        </w:rPr>
        <w:t>10.2.4</w:t>
      </w:r>
      <w:r>
        <w:rPr>
          <w:rFonts w:hint="eastAsia" w:ascii="Times New Roman" w:hAnsi="Times New Roman" w:eastAsia="宋体" w:cs="Times New Roman"/>
          <w:sz w:val="24"/>
          <w:szCs w:val="24"/>
        </w:rPr>
        <w:t>-1中</w:t>
      </w:r>
      <w:r>
        <w:rPr>
          <w:rFonts w:ascii="Times New Roman" w:hAnsi="Times New Roman" w:eastAsia="宋体" w:cs="Times New Roman"/>
          <w:sz w:val="24"/>
          <w:szCs w:val="24"/>
        </w:rPr>
        <w:t>的</w:t>
      </w:r>
      <w:r>
        <w:rPr>
          <w:rFonts w:ascii="Times New Roman" w:hAnsi="Times New Roman" w:eastAsia="宋体" w:cs="Times New Roman"/>
          <w:i/>
          <w:position w:val="-12"/>
          <w:sz w:val="24"/>
          <w:szCs w:val="24"/>
        </w:rPr>
        <w:object>
          <v:shape id="_x0000_i1253" o:spt="75" type="#_x0000_t75" style="height:18pt;width:18pt;" o:ole="t" filled="f" o:preferrelative="t" stroked="f" coordsize="21600,21600">
            <v:path/>
            <v:fill on="f" focussize="0,0"/>
            <v:stroke on="f" joinstyle="miter"/>
            <v:imagedata r:id="rId642" o:title=""/>
            <o:lock v:ext="edit" aspectratio="t"/>
            <w10:wrap type="none"/>
            <w10:anchorlock/>
          </v:shape>
          <o:OLEObject Type="Embed" ProgID="Equation.DSMT4" ShapeID="_x0000_i1253" DrawAspect="Content" ObjectID="_1468075953" r:id="rId652">
            <o:LockedField>false</o:LockedField>
          </o:OLEObject>
        </w:object>
      </w:r>
      <w:r>
        <w:rPr>
          <w:rFonts w:hint="eastAsia" w:ascii="Times New Roman" w:hAnsi="Times New Roman" w:eastAsia="宋体" w:cs="Times New Roman"/>
          <w:sz w:val="24"/>
          <w:szCs w:val="24"/>
        </w:rPr>
        <w:t>、</w:t>
      </w:r>
      <w:r>
        <w:rPr>
          <w:rFonts w:ascii="Times New Roman" w:hAnsi="Times New Roman" w:eastAsia="宋体" w:cs="Times New Roman"/>
          <w:i/>
          <w:position w:val="-12"/>
          <w:sz w:val="24"/>
          <w:szCs w:val="24"/>
        </w:rPr>
        <w:object>
          <v:shape id="_x0000_i1254" o:spt="75" type="#_x0000_t75" style="height:18pt;width:19.8pt;" o:ole="t" filled="f" o:preferrelative="t" stroked="f" coordsize="21600,21600">
            <v:path/>
            <v:fill on="f" focussize="0,0"/>
            <v:stroke on="f" joinstyle="miter"/>
            <v:imagedata r:id="rId644" o:title=""/>
            <o:lock v:ext="edit" aspectratio="t"/>
            <w10:wrap type="none"/>
            <w10:anchorlock/>
          </v:shape>
          <o:OLEObject Type="Embed" ProgID="Equation.DSMT4" ShapeID="_x0000_i1254" DrawAspect="Content" ObjectID="_1468075954" r:id="rId653">
            <o:LockedField>false</o:LockedField>
          </o:OLEObject>
        </w:object>
      </w:r>
      <w:r>
        <w:rPr>
          <w:rFonts w:hint="eastAsia" w:ascii="Times New Roman" w:hAnsi="Times New Roman" w:eastAsia="宋体" w:cs="Times New Roman"/>
          <w:sz w:val="24"/>
          <w:szCs w:val="24"/>
        </w:rPr>
        <w:t>应取软弱下卧层顶面以上土的天然重度，对地下水位以下的砂土、粉土取浮重度；对多层土取各层土按厚度加权的平均重度；</w:t>
      </w:r>
      <w:r>
        <w:rPr>
          <w:rFonts w:ascii="Times New Roman" w:hAnsi="Times New Roman" w:eastAsia="宋体" w:cs="Times New Roman"/>
          <w:i/>
          <w:sz w:val="24"/>
          <w:szCs w:val="24"/>
        </w:rPr>
        <w:t>D</w:t>
      </w:r>
      <w:r>
        <w:rPr>
          <w:rFonts w:hint="eastAsia" w:ascii="Times New Roman" w:hAnsi="Times New Roman" w:eastAsia="宋体" w:cs="Times New Roman"/>
          <w:sz w:val="24"/>
          <w:szCs w:val="24"/>
        </w:rPr>
        <w:t>为坑底至软弱下卧层顶面的土层厚度。</w:t>
      </w:r>
      <w:r>
        <w:rPr>
          <w:rFonts w:ascii="Times New Roman" w:hAnsi="Times New Roman" w:eastAsia="宋体" w:cs="Times New Roman"/>
          <w:i/>
          <w:sz w:val="24"/>
          <w:szCs w:val="24"/>
        </w:rPr>
        <w:t>c</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sym w:font="Symbol" w:char="F06A"/>
      </w:r>
      <w:r>
        <w:rPr>
          <w:rFonts w:hint="eastAsia" w:ascii="Times New Roman" w:hAnsi="Times New Roman" w:eastAsia="宋体" w:cs="Times New Roman"/>
          <w:sz w:val="24"/>
          <w:szCs w:val="24"/>
        </w:rPr>
        <w:t>分别为软弱下卧层的粘聚力、内摩擦角。</w:t>
      </w:r>
    </w:p>
    <w:p>
      <w:pPr>
        <w:widowControl w:val="0"/>
        <w:jc w:val="center"/>
        <w:rPr>
          <w:rFonts w:ascii="Times New Roman" w:hAnsi="Times New Roman" w:eastAsia="宋体" w:cs="Times New Roman"/>
          <w:sz w:val="24"/>
          <w:szCs w:val="24"/>
        </w:rPr>
      </w:pPr>
      <w:r>
        <w:rPr>
          <w:rFonts w:ascii="Calibri" w:hAnsi="Calibri" w:eastAsia="宋体" w:cs="Times New Roman"/>
          <w:sz w:val="24"/>
        </w:rPr>
        <w:drawing>
          <wp:inline distT="0" distB="0" distL="0" distR="0">
            <wp:extent cx="3162300" cy="2152650"/>
            <wp:effectExtent l="0" t="0" r="7620" b="11430"/>
            <wp:docPr id="237" name="图片 237" descr="C:\Users\Administrator\AppData\Roaming\feiq\RichOle\3296278005.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7" name="图片 237" descr="C:\Users\Administrator\AppData\Roaming\feiq\RichOle\3296278005.bmp"/>
                    <pic:cNvPicPr>
                      <a:picLocks noChangeAspect="true" noChangeArrowheads="true"/>
                    </pic:cNvPicPr>
                  </pic:nvPicPr>
                  <pic:blipFill>
                    <a:blip r:embed="rId654">
                      <a:extLst>
                        <a:ext uri="{28A0092B-C50C-407E-A947-70E740481C1C}">
                          <a14:useLocalDpi xmlns:a14="http://schemas.microsoft.com/office/drawing/2010/main" val="false"/>
                        </a:ext>
                      </a:extLst>
                    </a:blip>
                    <a:srcRect/>
                    <a:stretch>
                      <a:fillRect/>
                    </a:stretch>
                  </pic:blipFill>
                  <pic:spPr>
                    <a:xfrm>
                      <a:off x="0" y="0"/>
                      <a:ext cx="3162814" cy="2152800"/>
                    </a:xfrm>
                    <a:prstGeom prst="rect">
                      <a:avLst/>
                    </a:prstGeom>
                    <a:noFill/>
                    <a:ln>
                      <a:noFill/>
                    </a:ln>
                  </pic:spPr>
                </pic:pic>
              </a:graphicData>
            </a:graphic>
          </wp:inline>
        </w:drawing>
      </w:r>
    </w:p>
    <w:p>
      <w:pPr>
        <w:widowControl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图</w:t>
      </w:r>
      <w:r>
        <w:rPr>
          <w:rFonts w:ascii="Times New Roman" w:hAnsi="Times New Roman" w:eastAsia="宋体" w:cs="Times New Roman"/>
          <w:sz w:val="24"/>
          <w:szCs w:val="24"/>
        </w:rPr>
        <w:t>10.2.4-2</w:t>
      </w:r>
      <w:r>
        <w:rPr>
          <w:rFonts w:hint="eastAsia" w:ascii="Times New Roman" w:hAnsi="Times New Roman" w:eastAsia="宋体" w:cs="Times New Roman"/>
          <w:sz w:val="24"/>
          <w:szCs w:val="24"/>
        </w:rPr>
        <w:t>软弱下卧层的抗隆起稳定性验算</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5</w:t>
      </w:r>
      <w:r>
        <w:rPr>
          <w:rFonts w:hint="eastAsia" w:ascii="Times New Roman" w:hAnsi="Times New Roman" w:eastAsia="宋体" w:cs="Times New Roman"/>
          <w:sz w:val="24"/>
          <w:szCs w:val="24"/>
        </w:rPr>
        <w:t>当地下水</w:t>
      </w:r>
      <w:r>
        <w:rPr>
          <w:rFonts w:ascii="Times New Roman" w:hAnsi="Times New Roman" w:eastAsia="宋体" w:cs="Times New Roman"/>
          <w:sz w:val="24"/>
          <w:szCs w:val="24"/>
        </w:rPr>
        <w:t>位高于坑底时，</w:t>
      </w:r>
      <w:r>
        <w:rPr>
          <w:rFonts w:hint="eastAsia" w:ascii="Times New Roman" w:hAnsi="Times New Roman" w:eastAsia="宋体" w:cs="Times New Roman"/>
          <w:sz w:val="24"/>
          <w:szCs w:val="24"/>
        </w:rPr>
        <w:t>重力式水泥土墙应</w:t>
      </w:r>
      <w:r>
        <w:rPr>
          <w:rFonts w:ascii="Times New Roman" w:hAnsi="Times New Roman" w:eastAsia="宋体" w:cs="Times New Roman"/>
          <w:sz w:val="24"/>
          <w:szCs w:val="24"/>
        </w:rPr>
        <w:t>按本</w:t>
      </w:r>
      <w:r>
        <w:rPr>
          <w:rFonts w:hint="eastAsia" w:ascii="Times New Roman" w:hAnsi="Times New Roman" w:eastAsia="宋体" w:cs="Times New Roman"/>
          <w:sz w:val="24"/>
          <w:szCs w:val="24"/>
        </w:rPr>
        <w:t>标准</w:t>
      </w:r>
      <w:r>
        <w:rPr>
          <w:rFonts w:ascii="Times New Roman" w:hAnsi="Times New Roman" w:eastAsia="宋体" w:cs="Times New Roman"/>
          <w:sz w:val="24"/>
          <w:szCs w:val="24"/>
        </w:rPr>
        <w:t>6.5</w:t>
      </w:r>
      <w:r>
        <w:rPr>
          <w:rFonts w:hint="eastAsia" w:ascii="Times New Roman" w:hAnsi="Times New Roman" w:eastAsia="宋体" w:cs="Times New Roman"/>
          <w:sz w:val="24"/>
          <w:szCs w:val="24"/>
        </w:rPr>
        <w:t>节的</w:t>
      </w:r>
      <w:r>
        <w:rPr>
          <w:rFonts w:ascii="Times New Roman" w:hAnsi="Times New Roman" w:eastAsia="宋体" w:cs="Times New Roman"/>
          <w:sz w:val="24"/>
          <w:szCs w:val="24"/>
        </w:rPr>
        <w:t>规定进行地下水渗透稳定性验算。</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6</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重力式水泥土墙墙体的正截面应力应符合下列规定：</w:t>
      </w:r>
    </w:p>
    <w:p>
      <w:pPr>
        <w:widowControl w:val="0"/>
        <w:tabs>
          <w:tab w:val="left" w:pos="0"/>
        </w:tabs>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 xml:space="preserve">1 </w:t>
      </w:r>
      <w:r>
        <w:rPr>
          <w:rFonts w:hint="eastAsia" w:ascii="Times New Roman" w:hAnsi="Times New Roman" w:eastAsia="宋体" w:cs="Times New Roman"/>
          <w:sz w:val="24"/>
          <w:szCs w:val="24"/>
        </w:rPr>
        <w:t>拉应力：</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0"/>
              </w:tabs>
              <w:jc w:val="right"/>
              <w:rPr>
                <w:rFonts w:ascii="Times New Roman" w:hAnsi="Times New Roman" w:eastAsia="宋体" w:cs="Times New Roman"/>
                <w:position w:val="-24"/>
                <w:sz w:val="24"/>
                <w:szCs w:val="21"/>
              </w:rPr>
            </w:pPr>
            <w:r>
              <w:rPr>
                <w:rFonts w:ascii="Times New Roman" w:hAnsi="Times New Roman" w:eastAsia="宋体" w:cs="Times New Roman"/>
                <w:position w:val="-24"/>
                <w:sz w:val="24"/>
                <w:szCs w:val="21"/>
              </w:rPr>
              <w:object>
                <v:shape id="_x0000_i1255" o:spt="75" type="#_x0000_t75" style="height:31.2pt;width:97.8pt;" o:ole="t" filled="f" o:preferrelative="t" stroked="f" coordsize="21600,21600">
                  <v:path/>
                  <v:fill on="f" focussize="0,0"/>
                  <v:stroke on="f" joinstyle="miter"/>
                  <v:imagedata r:id="rId656" o:title=""/>
                  <o:lock v:ext="edit" aspectratio="t"/>
                  <w10:wrap type="none"/>
                  <w10:anchorlock/>
                </v:shape>
                <o:OLEObject Type="Embed" ProgID="Equation.DSMT4" ShapeID="_x0000_i1255" DrawAspect="Content" ObjectID="_1468075955" r:id="rId655">
                  <o:LockedField>false</o:LockedField>
                </o:OLEObject>
              </w:object>
            </w:r>
          </w:p>
        </w:tc>
        <w:tc>
          <w:tcPr>
            <w:tcW w:w="4927" w:type="dxa"/>
          </w:tcPr>
          <w:p>
            <w:pPr>
              <w:widowControl w:val="0"/>
              <w:tabs>
                <w:tab w:val="left" w:pos="0"/>
              </w:tabs>
              <w:spacing w:line="480" w:lineRule="auto"/>
              <w:jc w:val="right"/>
              <w:rPr>
                <w:rFonts w:ascii="Times New Roman" w:hAnsi="Times New Roman" w:eastAsia="宋体" w:cs="Times New Roman"/>
                <w:position w:val="-24"/>
                <w:sz w:val="24"/>
                <w:szCs w:val="21"/>
              </w:rPr>
            </w:pPr>
            <w:r>
              <w:rPr>
                <w:rFonts w:hint="eastAsia" w:ascii="Times New Roman" w:hAnsi="Times New Roman" w:eastAsia="宋体" w:cs="Times New Roman"/>
                <w:sz w:val="24"/>
                <w:szCs w:val="24"/>
              </w:rPr>
              <w:t>（</w:t>
            </w:r>
            <w:r>
              <w:rPr>
                <w:rFonts w:hint="eastAsia" w:ascii="Times New Roman" w:hAnsi="Times New Roman" w:cs="Times New Roman"/>
                <w:sz w:val="24"/>
                <w:szCs w:val="24"/>
                <w:lang w:val="en-US" w:eastAsia="zh-CN"/>
              </w:rPr>
              <w:t>10</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6</w:t>
            </w: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p>
        </w:tc>
      </w:tr>
    </w:tbl>
    <w:p>
      <w:pPr>
        <w:widowControl w:val="0"/>
        <w:tabs>
          <w:tab w:val="left" w:pos="0"/>
        </w:tabs>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压应力：</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0"/>
              </w:tabs>
              <w:jc w:val="right"/>
              <w:rPr>
                <w:rFonts w:ascii="Times New Roman" w:hAnsi="Times New Roman" w:eastAsia="宋体" w:cs="Times New Roman"/>
                <w:position w:val="-24"/>
                <w:sz w:val="24"/>
                <w:szCs w:val="21"/>
              </w:rPr>
            </w:pPr>
            <w:r>
              <w:rPr>
                <w:rFonts w:ascii="Times New Roman" w:hAnsi="Times New Roman" w:eastAsia="宋体" w:cs="Times New Roman"/>
                <w:position w:val="-24"/>
                <w:sz w:val="24"/>
                <w:szCs w:val="21"/>
              </w:rPr>
              <w:object>
                <v:shape id="_x0000_i1256" o:spt="75" type="#_x0000_t75" style="height:31.2pt;width:97.2pt;" o:ole="t" filled="f" o:preferrelative="t" stroked="f" coordsize="21600,21600">
                  <v:path/>
                  <v:fill on="f" focussize="0,0"/>
                  <v:stroke on="f" joinstyle="miter"/>
                  <v:imagedata r:id="rId658" o:title=""/>
                  <o:lock v:ext="edit" aspectratio="t"/>
                  <w10:wrap type="none"/>
                  <w10:anchorlock/>
                </v:shape>
                <o:OLEObject Type="Embed" ProgID="Equation.DSMT4" ShapeID="_x0000_i1256" DrawAspect="Content" ObjectID="_1468075956" r:id="rId657">
                  <o:LockedField>false</o:LockedField>
                </o:OLEObject>
              </w:object>
            </w:r>
          </w:p>
        </w:tc>
        <w:tc>
          <w:tcPr>
            <w:tcW w:w="4927" w:type="dxa"/>
          </w:tcPr>
          <w:p>
            <w:pPr>
              <w:widowControl w:val="0"/>
              <w:tabs>
                <w:tab w:val="left" w:pos="0"/>
              </w:tabs>
              <w:spacing w:line="480" w:lineRule="auto"/>
              <w:jc w:val="right"/>
              <w:rPr>
                <w:rFonts w:ascii="Times New Roman" w:hAnsi="Times New Roman" w:eastAsia="宋体" w:cs="Times New Roman"/>
                <w:position w:val="-24"/>
                <w:sz w:val="24"/>
                <w:szCs w:val="21"/>
              </w:rPr>
            </w:pPr>
            <w:r>
              <w:rPr>
                <w:rFonts w:hint="eastAsia" w:ascii="Times New Roman" w:hAnsi="Times New Roman" w:eastAsia="宋体" w:cs="Times New Roman"/>
                <w:sz w:val="24"/>
                <w:szCs w:val="24"/>
              </w:rPr>
              <w:t>（</w:t>
            </w:r>
            <w:r>
              <w:rPr>
                <w:rFonts w:hint="eastAsia" w:ascii="Times New Roman" w:hAnsi="Times New Roman" w:cs="Times New Roman"/>
                <w:sz w:val="24"/>
                <w:szCs w:val="24"/>
                <w:lang w:val="en-US" w:eastAsia="zh-CN"/>
              </w:rPr>
              <w:t>10</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6</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p>
        </w:tc>
      </w:tr>
    </w:tbl>
    <w:p>
      <w:pPr>
        <w:widowControl w:val="0"/>
        <w:tabs>
          <w:tab w:val="left" w:pos="0"/>
        </w:tabs>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剪应力：</w:t>
      </w:r>
    </w:p>
    <w:tbl>
      <w:tblPr>
        <w:tblStyle w:val="32"/>
        <w:tblW w:w="13622" w:type="dxa"/>
        <w:jc w:val="center"/>
        <w:tblLayout w:type="fixed"/>
        <w:tblCellMar>
          <w:top w:w="0" w:type="dxa"/>
          <w:left w:w="108" w:type="dxa"/>
          <w:bottom w:w="0" w:type="dxa"/>
          <w:right w:w="108" w:type="dxa"/>
        </w:tblCellMar>
      </w:tblPr>
      <w:tblGrid>
        <w:gridCol w:w="7945"/>
        <w:gridCol w:w="5677"/>
      </w:tblGrid>
      <w:tr>
        <w:tblPrEx>
          <w:tblCellMar>
            <w:top w:w="0" w:type="dxa"/>
            <w:left w:w="108" w:type="dxa"/>
            <w:bottom w:w="0" w:type="dxa"/>
            <w:right w:w="108" w:type="dxa"/>
          </w:tblCellMar>
        </w:tblPrEx>
        <w:trPr>
          <w:jc w:val="center"/>
        </w:trPr>
        <w:tc>
          <w:tcPr>
            <w:tcW w:w="7945" w:type="dxa"/>
          </w:tcPr>
          <w:p>
            <w:pPr>
              <w:widowControl w:val="0"/>
              <w:tabs>
                <w:tab w:val="left" w:pos="0"/>
              </w:tabs>
              <w:ind w:right="382" w:rightChars="159"/>
              <w:jc w:val="right"/>
              <w:rPr>
                <w:rFonts w:ascii="Times New Roman" w:hAnsi="Times New Roman" w:eastAsia="宋体" w:cs="Times New Roman"/>
                <w:position w:val="-24"/>
                <w:sz w:val="24"/>
                <w:szCs w:val="21"/>
              </w:rPr>
            </w:pPr>
            <w:r>
              <w:rPr>
                <w:rFonts w:ascii="Times New Roman" w:hAnsi="Times New Roman" w:eastAsia="宋体" w:cs="Times New Roman"/>
                <w:position w:val="-24"/>
                <w:sz w:val="24"/>
                <w:szCs w:val="21"/>
              </w:rPr>
              <w:object>
                <v:shape id="_x0000_i1257" o:spt="75" type="#_x0000_t75" style="height:31.8pt;width:115.8pt;" o:ole="t" filled="f" o:preferrelative="t" stroked="f" coordsize="21600,21600">
                  <v:path/>
                  <v:fill on="f" focussize="0,0"/>
                  <v:stroke on="f" joinstyle="miter"/>
                  <v:imagedata r:id="rId660" o:title=""/>
                  <o:lock v:ext="edit" aspectratio="t"/>
                  <w10:wrap type="none"/>
                  <w10:anchorlock/>
                </v:shape>
                <o:OLEObject Type="Embed" ProgID="Equation.DSMT4" ShapeID="_x0000_i1257" DrawAspect="Content" ObjectID="_1468075957" r:id="rId659">
                  <o:LockedField>false</o:LockedField>
                </o:OLEObject>
              </w:object>
            </w:r>
          </w:p>
        </w:tc>
        <w:tc>
          <w:tcPr>
            <w:tcW w:w="5677" w:type="dxa"/>
          </w:tcPr>
          <w:p>
            <w:pPr>
              <w:widowControl w:val="0"/>
              <w:spacing w:line="720" w:lineRule="auto"/>
              <w:ind w:left="2069" w:leftChars="862" w:right="1380" w:rightChars="575" w:firstLine="19" w:firstLineChars="8"/>
              <w:jc w:val="right"/>
              <w:rPr>
                <w:rFonts w:ascii="Times New Roman" w:hAnsi="Times New Roman" w:eastAsia="宋体" w:cs="Times New Roman"/>
                <w:position w:val="-24"/>
                <w:sz w:val="24"/>
                <w:szCs w:val="21"/>
              </w:rPr>
            </w:pPr>
            <w:r>
              <w:rPr>
                <w:rFonts w:hint="eastAsia" w:ascii="Times New Roman" w:hAnsi="Times New Roman" w:eastAsia="宋体" w:cs="Times New Roman"/>
                <w:sz w:val="24"/>
                <w:szCs w:val="24"/>
              </w:rPr>
              <w:t>（</w:t>
            </w:r>
            <w:r>
              <w:rPr>
                <w:rFonts w:hint="eastAsia" w:ascii="Times New Roman" w:hAnsi="Times New Roman" w:cs="Times New Roman"/>
                <w:sz w:val="24"/>
                <w:szCs w:val="24"/>
                <w:lang w:val="en-US" w:eastAsia="zh-CN"/>
              </w:rPr>
              <w:t>10</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6</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p>
        </w:tc>
      </w:tr>
    </w:tbl>
    <w:p>
      <w:pPr>
        <w:widowControl w:val="0"/>
        <w:tabs>
          <w:tab w:val="left" w:pos="0"/>
        </w:tabs>
        <w:spacing w:line="48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M</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w:t>
      </w:r>
      <w:r>
        <w:rPr>
          <w:rFonts w:hint="eastAsia" w:ascii="Times New Roman" w:hAnsi="Times New Roman" w:eastAsia="宋体" w:cs="Times New Roman"/>
          <w:sz w:val="24"/>
          <w:szCs w:val="24"/>
        </w:rPr>
        <w:t>水泥土墙验算截面的弯矩设计值（</w:t>
      </w:r>
      <w:r>
        <w:rPr>
          <w:rFonts w:ascii="Times New Roman" w:hAnsi="Times New Roman" w:eastAsia="宋体" w:cs="Times New Roman"/>
          <w:sz w:val="24"/>
          <w:szCs w:val="24"/>
        </w:rPr>
        <w:t>kN</w:t>
      </w:r>
      <w:r>
        <w:rPr>
          <w:rFonts w:hint="eastAsia" w:ascii="Times New Roman" w:hAnsi="Times New Roman" w:eastAsia="宋体" w:cs="Times New Roman"/>
          <w:sz w:val="24"/>
          <w:szCs w:val="24"/>
        </w:rPr>
        <w:t>·</w:t>
      </w:r>
      <w:r>
        <w:rPr>
          <w:rFonts w:ascii="Times New Roman" w:hAnsi="Times New Roman" w:eastAsia="宋体" w:cs="Times New Roman"/>
          <w:sz w:val="24"/>
          <w:szCs w:val="24"/>
        </w:rPr>
        <w:t>m/m</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B</w:t>
      </w:r>
      <w:r>
        <w:rPr>
          <w:rFonts w:ascii="Times New Roman" w:hAnsi="Times New Roman" w:eastAsia="宋体" w:cs="Times New Roman"/>
          <w:sz w:val="24"/>
          <w:szCs w:val="24"/>
        </w:rPr>
        <w:t>——</w:t>
      </w:r>
      <w:r>
        <w:rPr>
          <w:rFonts w:hint="eastAsia" w:ascii="Times New Roman" w:hAnsi="Times New Roman" w:eastAsia="宋体" w:cs="Times New Roman"/>
          <w:sz w:val="24"/>
          <w:szCs w:val="24"/>
        </w:rPr>
        <w:t>验算截面处水泥土墙的宽度（</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tabs>
          <w:tab w:val="left" w:pos="0"/>
        </w:tabs>
        <w:spacing w:line="480" w:lineRule="exact"/>
        <w:ind w:firstLine="900" w:firstLineChars="500"/>
        <w:rPr>
          <w:rFonts w:ascii="Times New Roman" w:hAnsi="Times New Roman" w:eastAsia="宋体" w:cs="Times New Roman"/>
          <w:sz w:val="24"/>
          <w:szCs w:val="24"/>
        </w:rPr>
      </w:pPr>
      <w:r>
        <w:rPr>
          <w:rFonts w:ascii="Times New Roman" w:hAnsi="Times New Roman" w:eastAsia="宋体" w:cs="Times New Roman"/>
          <w:i/>
          <w:position w:val="-12"/>
          <w:sz w:val="18"/>
          <w:szCs w:val="18"/>
          <w:vertAlign w:val="subscript"/>
        </w:rPr>
        <w:object>
          <v:shape id="_x0000_i1258" o:spt="75" type="#_x0000_t75" style="height:18pt;width:16.2pt;" o:ole="t" filled="f" o:preferrelative="t" stroked="f" coordsize="21600,21600">
            <v:path/>
            <v:fill on="f" focussize="0,0"/>
            <v:stroke on="f" joinstyle="miter"/>
            <v:imagedata r:id="rId662" o:title=""/>
            <o:lock v:ext="edit" aspectratio="t"/>
            <w10:wrap type="none"/>
            <w10:anchorlock/>
          </v:shape>
          <o:OLEObject Type="Embed" ProgID="Equation.DSMT4" ShapeID="_x0000_i1258" DrawAspect="Content" ObjectID="_1468075958" r:id="rId661">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水泥土墙的重度（</w:t>
      </w:r>
      <w:r>
        <w:rPr>
          <w:rFonts w:ascii="Times New Roman" w:hAnsi="Times New Roman" w:eastAsia="宋体" w:cs="Times New Roman"/>
          <w:sz w:val="24"/>
          <w:szCs w:val="24"/>
        </w:rPr>
        <w:t>kN/m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p>
    <w:p>
      <w:pPr>
        <w:widowControl w:val="0"/>
        <w:tabs>
          <w:tab w:val="left" w:pos="0"/>
        </w:tabs>
        <w:spacing w:line="480" w:lineRule="exact"/>
        <w:ind w:firstLine="1080" w:firstLineChars="450"/>
        <w:rPr>
          <w:rFonts w:ascii="Times New Roman" w:hAnsi="Times New Roman" w:eastAsia="宋体" w:cs="Times New Roman"/>
          <w:sz w:val="24"/>
          <w:szCs w:val="24"/>
        </w:rPr>
      </w:pPr>
      <w:r>
        <w:rPr>
          <w:rFonts w:ascii="Times New Roman" w:hAnsi="Times New Roman" w:eastAsia="宋体" w:cs="Times New Roman"/>
          <w:i/>
          <w:sz w:val="24"/>
          <w:szCs w:val="24"/>
        </w:rPr>
        <w:t>z</w:t>
      </w:r>
      <w:r>
        <w:rPr>
          <w:rFonts w:ascii="Times New Roman" w:hAnsi="Times New Roman" w:eastAsia="宋体" w:cs="Times New Roman"/>
          <w:sz w:val="24"/>
          <w:szCs w:val="24"/>
        </w:rPr>
        <w:t>——</w:t>
      </w:r>
      <w:r>
        <w:rPr>
          <w:rFonts w:hint="eastAsia" w:ascii="Times New Roman" w:hAnsi="Times New Roman" w:eastAsia="宋体" w:cs="Times New Roman"/>
          <w:sz w:val="24"/>
          <w:szCs w:val="24"/>
        </w:rPr>
        <w:t>验算截面至水泥土墙顶的垂直距离（</w:t>
      </w:r>
      <w:r>
        <w:rPr>
          <w:rFonts w:ascii="Times New Roman" w:hAnsi="Times New Roman" w:eastAsia="宋体" w:cs="Times New Roman"/>
          <w:sz w:val="24"/>
          <w:szCs w:val="24"/>
        </w:rPr>
        <w:t>m</w:t>
      </w:r>
      <w:r>
        <w:rPr>
          <w:rFonts w:hint="eastAsia" w:ascii="Times New Roman" w:hAnsi="Times New Roman" w:eastAsia="宋体" w:cs="Times New Roman"/>
          <w:sz w:val="24"/>
          <w:szCs w:val="24"/>
        </w:rPr>
        <w:t>）；</w:t>
      </w:r>
    </w:p>
    <w:p>
      <w:pPr>
        <w:widowControl w:val="0"/>
        <w:tabs>
          <w:tab w:val="left" w:pos="0"/>
        </w:tabs>
        <w:spacing w:line="480" w:lineRule="exact"/>
        <w:ind w:left="1680" w:leftChars="400" w:hanging="720" w:hangingChars="300"/>
        <w:rPr>
          <w:rFonts w:ascii="Times New Roman" w:hAnsi="Times New Roman" w:eastAsia="宋体" w:cs="Times New Roman"/>
          <w:sz w:val="24"/>
          <w:szCs w:val="24"/>
        </w:rPr>
      </w:pPr>
      <w:r>
        <w:rPr>
          <w:rFonts w:ascii="Times New Roman" w:hAnsi="Times New Roman" w:eastAsia="宋体" w:cs="Times New Roman"/>
          <w:i/>
          <w:position w:val="-12"/>
          <w:sz w:val="24"/>
          <w:szCs w:val="24"/>
        </w:rPr>
        <w:object>
          <v:shape id="_x0000_i1259" o:spt="75" type="#_x0000_t75" style="height:18pt;width:16.2pt;" o:ole="t" filled="f" o:preferrelative="t" stroked="f" coordsize="21600,21600">
            <v:path/>
            <v:fill on="f" focussize="0,0"/>
            <v:stroke on="f" joinstyle="miter"/>
            <v:imagedata r:id="rId664" o:title=""/>
            <o:lock v:ext="edit" aspectratio="t"/>
            <w10:wrap type="none"/>
            <w10:anchorlock/>
          </v:shape>
          <o:OLEObject Type="Embed" ProgID="Equation.DSMT4" ShapeID="_x0000_i1259" DrawAspect="Content" ObjectID="_1468075959" r:id="rId663">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水泥土开挖龄期时的轴心抗压强度设计值（</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），应根据现场试验或工程经验确定；</w:t>
      </w:r>
    </w:p>
    <w:p>
      <w:pPr>
        <w:widowControl w:val="0"/>
        <w:tabs>
          <w:tab w:val="left" w:pos="0"/>
        </w:tabs>
        <w:spacing w:line="480" w:lineRule="exact"/>
        <w:ind w:firstLine="960" w:firstLineChars="400"/>
        <w:rPr>
          <w:rFonts w:ascii="Times New Roman" w:hAnsi="Times New Roman" w:eastAsia="宋体" w:cs="Times New Roman"/>
          <w:sz w:val="24"/>
          <w:szCs w:val="24"/>
        </w:rPr>
      </w:pPr>
      <w:r>
        <w:rPr>
          <w:rFonts w:ascii="Times New Roman" w:hAnsi="Times New Roman" w:eastAsia="宋体" w:cs="Times New Roman"/>
          <w:position w:val="-12"/>
          <w:sz w:val="24"/>
          <w:szCs w:val="24"/>
          <w:vertAlign w:val="subscript"/>
        </w:rPr>
        <w:object>
          <v:shape id="_x0000_i1260" o:spt="75" type="#_x0000_t75" style="height:18pt;width:13.8pt;" o:ole="t" filled="f" o:preferrelative="t" stroked="f" coordsize="21600,21600">
            <v:path/>
            <v:fill on="f" focussize="0,0"/>
            <v:stroke on="f" joinstyle="miter"/>
            <v:imagedata r:id="rId666" o:title=""/>
            <o:lock v:ext="edit" aspectratio="t"/>
            <w10:wrap type="none"/>
            <w10:anchorlock/>
          </v:shape>
          <o:OLEObject Type="Embed" ProgID="Equation.DSMT4" ShapeID="_x0000_i1260" DrawAspect="Content" ObjectID="_1468075960" r:id="rId665">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荷载综合分项系数，不小于</w:t>
      </w:r>
      <w:r>
        <w:rPr>
          <w:rFonts w:ascii="Times New Roman" w:hAnsi="Times New Roman" w:eastAsia="宋体" w:cs="Times New Roman"/>
          <w:sz w:val="24"/>
          <w:szCs w:val="24"/>
        </w:rPr>
        <w:t>1.25</w:t>
      </w:r>
      <w:r>
        <w:rPr>
          <w:rFonts w:hint="eastAsia" w:ascii="Times New Roman" w:hAnsi="Times New Roman" w:eastAsia="宋体" w:cs="Times New Roman"/>
          <w:sz w:val="24"/>
          <w:szCs w:val="24"/>
        </w:rPr>
        <w:t>；</w:t>
      </w:r>
    </w:p>
    <w:p>
      <w:pPr>
        <w:widowControl w:val="0"/>
        <w:tabs>
          <w:tab w:val="left" w:pos="0"/>
        </w:tabs>
        <w:spacing w:line="480" w:lineRule="exact"/>
        <w:ind w:firstLine="283" w:firstLineChars="118"/>
        <w:rPr>
          <w:rFonts w:ascii="Times New Roman" w:hAnsi="Times New Roman" w:eastAsia="宋体" w:cs="Times New Roman"/>
          <w:sz w:val="24"/>
          <w:szCs w:val="24"/>
        </w:rPr>
      </w:pP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aki</w:t>
      </w:r>
      <w:r>
        <w:rPr>
          <w:rFonts w:hint="eastAsia" w:ascii="Times New Roman" w:hAnsi="Times New Roman" w:eastAsia="宋体" w:cs="Times New Roman"/>
          <w:i/>
          <w:sz w:val="24"/>
          <w:szCs w:val="24"/>
        </w:rPr>
        <w:t>、</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pki</w:t>
      </w:r>
      <w:r>
        <w:rPr>
          <w:rFonts w:ascii="Times New Roman" w:hAnsi="Times New Roman" w:eastAsia="宋体" w:cs="Times New Roman"/>
          <w:sz w:val="24"/>
          <w:szCs w:val="24"/>
        </w:rPr>
        <w:t>——</w:t>
      </w:r>
      <w:r>
        <w:rPr>
          <w:rFonts w:hint="eastAsia" w:ascii="Times New Roman" w:hAnsi="Times New Roman" w:eastAsia="宋体" w:cs="Times New Roman"/>
          <w:sz w:val="24"/>
          <w:szCs w:val="24"/>
        </w:rPr>
        <w:t>验算截面以上的主动土压力标准值、被动土压力标准值（</w:t>
      </w:r>
      <w:r>
        <w:rPr>
          <w:rFonts w:ascii="Times New Roman" w:hAnsi="Times New Roman" w:eastAsia="宋体" w:cs="Times New Roman"/>
          <w:sz w:val="24"/>
          <w:szCs w:val="24"/>
        </w:rPr>
        <w:t>kN/m</w:t>
      </w:r>
      <w:r>
        <w:rPr>
          <w:rFonts w:hint="eastAsia" w:ascii="Times New Roman" w:hAnsi="Times New Roman" w:eastAsia="宋体" w:cs="Times New Roman"/>
          <w:sz w:val="24"/>
          <w:szCs w:val="24"/>
        </w:rPr>
        <w:t>），</w:t>
      </w:r>
    </w:p>
    <w:p>
      <w:pPr>
        <w:widowControl w:val="0"/>
        <w:tabs>
          <w:tab w:val="left" w:pos="0"/>
        </w:tabs>
        <w:spacing w:line="480" w:lineRule="exact"/>
        <w:ind w:firstLine="1699" w:firstLineChars="708"/>
        <w:rPr>
          <w:rFonts w:ascii="Times New Roman" w:hAnsi="Times New Roman" w:eastAsia="宋体" w:cs="Times New Roman"/>
          <w:sz w:val="24"/>
          <w:szCs w:val="24"/>
        </w:rPr>
      </w:pPr>
      <w:r>
        <w:rPr>
          <w:rFonts w:ascii="Times New Roman" w:hAnsi="Times New Roman" w:eastAsia="宋体" w:cs="Times New Roman"/>
          <w:sz w:val="24"/>
          <w:szCs w:val="24"/>
        </w:rPr>
        <w:t>验算截面在坑顶以上时，取</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pki</w:t>
      </w:r>
      <w:r>
        <w:rPr>
          <w:rFonts w:hint="eastAsia" w:ascii="Times New Roman" w:hAnsi="Times New Roman" w:eastAsia="宋体" w:cs="Times New Roman"/>
          <w:sz w:val="24"/>
          <w:szCs w:val="24"/>
        </w:rPr>
        <w:t>=</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pPr>
        <w:widowControl w:val="0"/>
        <w:tabs>
          <w:tab w:val="left" w:pos="0"/>
        </w:tabs>
        <w:spacing w:line="480" w:lineRule="exact"/>
        <w:ind w:firstLine="840" w:firstLineChars="350"/>
        <w:rPr>
          <w:rFonts w:ascii="Times New Roman" w:hAnsi="Times New Roman" w:eastAsia="宋体" w:cs="Times New Roman"/>
          <w:sz w:val="24"/>
          <w:szCs w:val="24"/>
        </w:rPr>
      </w:pPr>
      <w:r>
        <w:rPr>
          <w:rFonts w:ascii="Times New Roman" w:hAnsi="Times New Roman" w:eastAsia="宋体" w:cs="Times New Roman"/>
          <w:i/>
          <w:sz w:val="24"/>
          <w:szCs w:val="24"/>
        </w:rPr>
        <w:t>G</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w:t>
      </w:r>
      <w:r>
        <w:rPr>
          <w:rFonts w:hint="eastAsia" w:ascii="Times New Roman" w:hAnsi="Times New Roman" w:eastAsia="宋体" w:cs="Times New Roman"/>
          <w:sz w:val="24"/>
          <w:szCs w:val="24"/>
        </w:rPr>
        <w:t>验算截面以上的墙体自重（</w:t>
      </w:r>
      <w:r>
        <w:rPr>
          <w:rFonts w:ascii="Times New Roman" w:hAnsi="Times New Roman" w:eastAsia="宋体" w:cs="Times New Roman"/>
          <w:sz w:val="24"/>
          <w:szCs w:val="24"/>
        </w:rPr>
        <w:t>kN/m</w:t>
      </w:r>
      <w:r>
        <w:rPr>
          <w:rFonts w:hint="eastAsia" w:ascii="Times New Roman" w:hAnsi="Times New Roman" w:eastAsia="宋体" w:cs="Times New Roman"/>
          <w:sz w:val="24"/>
          <w:szCs w:val="24"/>
        </w:rPr>
        <w:t>）；</w:t>
      </w:r>
    </w:p>
    <w:p>
      <w:pPr>
        <w:widowControl w:val="0"/>
        <w:tabs>
          <w:tab w:val="left" w:pos="0"/>
        </w:tabs>
        <w:spacing w:line="480" w:lineRule="exact"/>
        <w:ind w:firstLine="960" w:firstLineChars="400"/>
        <w:rPr>
          <w:rFonts w:ascii="Times New Roman" w:hAnsi="Times New Roman" w:eastAsia="宋体" w:cs="Times New Roman"/>
          <w:sz w:val="24"/>
          <w:szCs w:val="24"/>
        </w:rPr>
      </w:pPr>
      <w:r>
        <w:rPr>
          <w:rFonts w:ascii="Times New Roman" w:hAnsi="Times New Roman" w:eastAsia="宋体" w:cs="Times New Roman"/>
          <w:i/>
          <w:sz w:val="24"/>
          <w:szCs w:val="24"/>
        </w:rPr>
        <w:t>μ</w:t>
      </w:r>
      <w:r>
        <w:rPr>
          <w:rFonts w:ascii="Times New Roman" w:hAnsi="Times New Roman" w:eastAsia="宋体" w:cs="Times New Roman"/>
          <w:sz w:val="24"/>
          <w:szCs w:val="24"/>
        </w:rPr>
        <w:t>——</w:t>
      </w:r>
      <w:r>
        <w:rPr>
          <w:rFonts w:hint="eastAsia" w:ascii="Times New Roman" w:hAnsi="Times New Roman" w:eastAsia="宋体" w:cs="Times New Roman"/>
          <w:sz w:val="24"/>
          <w:szCs w:val="24"/>
        </w:rPr>
        <w:t>墙体材料的抗剪断系数，取</w:t>
      </w:r>
      <w:r>
        <w:rPr>
          <w:rFonts w:ascii="Times New Roman" w:hAnsi="Times New Roman" w:eastAsia="宋体" w:cs="Times New Roman"/>
          <w:sz w:val="24"/>
          <w:szCs w:val="24"/>
        </w:rPr>
        <w:t>0.4</w:t>
      </w:r>
      <w:r>
        <w:rPr>
          <w:rFonts w:hint="eastAsia" w:ascii="Times New Roman" w:hAnsi="Times New Roman" w:eastAsia="宋体" w:cs="Times New Roman"/>
          <w:sz w:val="24"/>
          <w:szCs w:val="24"/>
        </w:rPr>
        <w:t>～</w:t>
      </w:r>
      <w:r>
        <w:rPr>
          <w:rFonts w:ascii="Times New Roman" w:hAnsi="Times New Roman" w:eastAsia="宋体" w:cs="Times New Roman"/>
          <w:sz w:val="24"/>
          <w:szCs w:val="24"/>
        </w:rPr>
        <w:t>0.5</w:t>
      </w:r>
      <w:r>
        <w:rPr>
          <w:rFonts w:hint="eastAsia" w:ascii="Times New Roman" w:hAnsi="Times New Roman" w:eastAsia="宋体" w:cs="Times New Roman"/>
          <w:sz w:val="24"/>
          <w:szCs w:val="24"/>
        </w:rPr>
        <w:t>。</w:t>
      </w:r>
    </w:p>
    <w:p>
      <w:pPr>
        <w:widowControl w:val="0"/>
        <w:tabs>
          <w:tab w:val="left" w:pos="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7</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重力式水泥土墙的正截面应力验算时，计算截面应包括以下部位：</w:t>
      </w:r>
    </w:p>
    <w:p>
      <w:pPr>
        <w:widowControl w:val="0"/>
        <w:tabs>
          <w:tab w:val="left" w:pos="0"/>
        </w:tabs>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 xml:space="preserve"> 基坑面以下主动、被动土压力强度相等处；</w:t>
      </w:r>
    </w:p>
    <w:p>
      <w:pPr>
        <w:widowControl w:val="0"/>
        <w:tabs>
          <w:tab w:val="left" w:pos="0"/>
        </w:tabs>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 xml:space="preserve"> 基坑底面处；</w:t>
      </w:r>
    </w:p>
    <w:p>
      <w:pPr>
        <w:widowControl w:val="0"/>
        <w:tabs>
          <w:tab w:val="left" w:pos="0"/>
        </w:tabs>
        <w:spacing w:line="480" w:lineRule="exact"/>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 xml:space="preserve"> 水泥土墙的截面突变处。</w:t>
      </w:r>
    </w:p>
    <w:p>
      <w:pPr>
        <w:keepNext/>
        <w:keepLines/>
        <w:widowControl/>
        <w:spacing w:line="416" w:lineRule="auto"/>
        <w:jc w:val="center"/>
        <w:outlineLvl w:val="1"/>
        <w:rPr>
          <w:rFonts w:ascii="Cambria" w:hAnsi="Cambria" w:eastAsia="宋体" w:cs="Times New Roman"/>
          <w:b/>
          <w:bCs/>
          <w:sz w:val="32"/>
          <w:szCs w:val="32"/>
        </w:rPr>
      </w:pPr>
      <w:bookmarkStart w:id="693" w:name="_Toc28813"/>
      <w:bookmarkStart w:id="694" w:name="_Toc22026"/>
      <w:r>
        <w:rPr>
          <w:rFonts w:ascii="Times New Roman" w:hAnsi="Times New Roman" w:eastAsia="宋体" w:cs="Times New Roman"/>
          <w:b/>
          <w:bCs/>
          <w:sz w:val="32"/>
          <w:szCs w:val="32"/>
        </w:rPr>
        <w:t xml:space="preserve">10.3 </w:t>
      </w:r>
      <w:r>
        <w:rPr>
          <w:rFonts w:hint="eastAsia" w:ascii="Cambria" w:hAnsi="Cambria" w:eastAsia="宋体" w:cs="Times New Roman"/>
          <w:b/>
          <w:bCs/>
          <w:sz w:val="32"/>
          <w:szCs w:val="32"/>
        </w:rPr>
        <w:t>构造</w:t>
      </w:r>
      <w:bookmarkEnd w:id="693"/>
      <w:bookmarkEnd w:id="694"/>
    </w:p>
    <w:p>
      <w:pPr>
        <w:widowControl w:val="0"/>
        <w:spacing w:line="480" w:lineRule="exact"/>
        <w:rPr>
          <w:rFonts w:ascii="Times New Roman" w:hAnsi="Times New Roman" w:eastAsia="宋体" w:cs="Times New Roman"/>
          <w:b/>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重力式水泥土墙宜采用水泥土搅拌桩相互搭接成格栅状的结构形式，也可采用水泥土搅拌桩相互搭接成实体的结构形式。搅拌桩的施工工艺宜采用喷浆搅拌法。</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sz w:val="24"/>
          <w:szCs w:val="24"/>
        </w:rPr>
        <w:t>重力式水泥土墙应通过室内配比试验确定水泥品种及掺量、外加剂品种及掺量、水泥土设计强度等参数。</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重力式水泥土墙的嵌固深度，应通过计算确定，同时要满足对淤泥质土，不宜小于</w:t>
      </w:r>
      <w:r>
        <w:rPr>
          <w:rFonts w:ascii="Times New Roman" w:hAnsi="Times New Roman" w:eastAsia="宋体" w:cs="Times New Roman"/>
          <w:sz w:val="24"/>
          <w:szCs w:val="24"/>
        </w:rPr>
        <w:t>1.2</w:t>
      </w:r>
      <w:r>
        <w:rPr>
          <w:rFonts w:ascii="Times New Roman" w:hAnsi="Times New Roman" w:eastAsia="宋体" w:cs="Times New Roman"/>
          <w:i/>
          <w:sz w:val="24"/>
          <w:szCs w:val="24"/>
        </w:rPr>
        <w:t>h</w:t>
      </w:r>
      <w:r>
        <w:rPr>
          <w:rFonts w:hint="eastAsia" w:ascii="Times New Roman" w:hAnsi="Times New Roman" w:eastAsia="宋体" w:cs="Times New Roman"/>
          <w:sz w:val="24"/>
          <w:szCs w:val="24"/>
        </w:rPr>
        <w:t>，对淤泥，不宜小于</w:t>
      </w:r>
      <w:r>
        <w:rPr>
          <w:rFonts w:ascii="Times New Roman" w:hAnsi="Times New Roman" w:eastAsia="宋体" w:cs="Times New Roman"/>
          <w:sz w:val="24"/>
          <w:szCs w:val="24"/>
        </w:rPr>
        <w:t>1.3</w:t>
      </w:r>
      <w:r>
        <w:rPr>
          <w:rFonts w:ascii="Times New Roman" w:hAnsi="Times New Roman" w:eastAsia="宋体" w:cs="Times New Roman"/>
          <w:i/>
          <w:sz w:val="24"/>
          <w:szCs w:val="24"/>
        </w:rPr>
        <w:t>h</w:t>
      </w:r>
      <w:r>
        <w:rPr>
          <w:rFonts w:hint="eastAsia" w:ascii="Times New Roman" w:hAnsi="Times New Roman" w:eastAsia="宋体" w:cs="Times New Roman"/>
          <w:sz w:val="24"/>
          <w:szCs w:val="24"/>
        </w:rPr>
        <w:t>；重力式水泥土墙的宽度，对淤泥质土，不宜小于</w:t>
      </w:r>
      <w:r>
        <w:rPr>
          <w:rFonts w:ascii="Times New Roman" w:hAnsi="Times New Roman" w:eastAsia="宋体" w:cs="Times New Roman"/>
          <w:sz w:val="24"/>
          <w:szCs w:val="24"/>
        </w:rPr>
        <w:t>0.7</w:t>
      </w:r>
      <w:r>
        <w:rPr>
          <w:rFonts w:ascii="Times New Roman" w:hAnsi="Times New Roman" w:eastAsia="宋体" w:cs="Times New Roman"/>
          <w:i/>
          <w:sz w:val="24"/>
          <w:szCs w:val="24"/>
        </w:rPr>
        <w:t>h</w:t>
      </w:r>
      <w:r>
        <w:rPr>
          <w:rFonts w:hint="eastAsia" w:ascii="Times New Roman" w:hAnsi="Times New Roman" w:eastAsia="宋体" w:cs="Times New Roman"/>
          <w:sz w:val="24"/>
          <w:szCs w:val="24"/>
        </w:rPr>
        <w:t>，对淤泥，不宜小于</w:t>
      </w:r>
      <w:r>
        <w:rPr>
          <w:rFonts w:ascii="Times New Roman" w:hAnsi="Times New Roman" w:eastAsia="宋体" w:cs="Times New Roman"/>
          <w:sz w:val="24"/>
          <w:szCs w:val="24"/>
        </w:rPr>
        <w:t>0.8</w:t>
      </w:r>
      <w:r>
        <w:rPr>
          <w:rFonts w:ascii="Times New Roman" w:hAnsi="Times New Roman" w:eastAsia="宋体" w:cs="Times New Roman"/>
          <w:i/>
          <w:sz w:val="24"/>
          <w:szCs w:val="24"/>
        </w:rPr>
        <w:t>h</w:t>
      </w:r>
      <w:r>
        <w:rPr>
          <w:rFonts w:hint="eastAsia" w:ascii="Times New Roman" w:hAnsi="Times New Roman" w:eastAsia="宋体" w:cs="Times New Roman"/>
          <w:sz w:val="24"/>
          <w:szCs w:val="24"/>
        </w:rPr>
        <w:t>。</w:t>
      </w:r>
    </w:p>
    <w:p>
      <w:pPr>
        <w:widowControl w:val="0"/>
        <w:spacing w:line="480" w:lineRule="exact"/>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注：</w:t>
      </w:r>
      <w:r>
        <w:rPr>
          <w:rFonts w:ascii="Times New Roman" w:hAnsi="Times New Roman" w:eastAsia="宋体" w:cs="Times New Roman"/>
          <w:i/>
          <w:sz w:val="21"/>
          <w:szCs w:val="21"/>
        </w:rPr>
        <w:t>h</w:t>
      </w:r>
      <w:r>
        <w:rPr>
          <w:rFonts w:hint="eastAsia" w:ascii="Times New Roman" w:hAnsi="Times New Roman" w:eastAsia="宋体" w:cs="Times New Roman"/>
          <w:sz w:val="21"/>
          <w:szCs w:val="21"/>
        </w:rPr>
        <w:t>为</w:t>
      </w:r>
      <w:r>
        <w:rPr>
          <w:rFonts w:ascii="Times New Roman" w:hAnsi="Times New Roman" w:eastAsia="宋体" w:cs="Times New Roman"/>
          <w:sz w:val="21"/>
          <w:szCs w:val="21"/>
        </w:rPr>
        <w:t>基坑深度。</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4</w:t>
      </w:r>
      <w:r>
        <w:rPr>
          <w:rFonts w:hint="eastAsia" w:ascii="Times New Roman" w:hAnsi="Times New Roman" w:eastAsia="宋体" w:cs="Times New Roman"/>
          <w:sz w:val="24"/>
          <w:szCs w:val="24"/>
        </w:rPr>
        <w:t>重力式水泥土墙采用格栅形式时，每个格栅内的土体面积应符合下式要求：</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ind w:right="105"/>
              <w:jc w:val="right"/>
              <w:rPr>
                <w:rFonts w:ascii="Times New Roman" w:hAnsi="Times New Roman" w:eastAsia="宋体" w:cs="Times New Roman"/>
                <w:position w:val="-30"/>
                <w:sz w:val="24"/>
                <w:szCs w:val="21"/>
              </w:rPr>
            </w:pPr>
            <w:r>
              <w:rPr>
                <w:rFonts w:ascii="Times New Roman" w:hAnsi="Times New Roman" w:eastAsia="宋体" w:cs="Times New Roman"/>
                <w:position w:val="-30"/>
                <w:sz w:val="24"/>
                <w:szCs w:val="21"/>
              </w:rPr>
              <w:object>
                <v:shape id="_x0000_i1261" o:spt="75" type="#_x0000_t75" style="height:34.2pt;width:51pt;" o:ole="t" filled="f" o:preferrelative="t" stroked="f" coordsize="21600,21600">
                  <v:path/>
                  <v:fill on="f" focussize="0,0"/>
                  <v:stroke on="f" joinstyle="miter"/>
                  <v:imagedata r:id="rId668" o:title=""/>
                  <o:lock v:ext="edit" aspectratio="t"/>
                  <w10:wrap type="none"/>
                  <w10:anchorlock/>
                </v:shape>
                <o:OLEObject Type="Embed" ProgID="Equation.DSMT4" ShapeID="_x0000_i1261" DrawAspect="Content" ObjectID="_1468075961" r:id="rId667">
                  <o:LockedField>false</o:LockedField>
                </o:OLEObject>
              </w:object>
            </w:r>
          </w:p>
        </w:tc>
        <w:tc>
          <w:tcPr>
            <w:tcW w:w="4927" w:type="dxa"/>
          </w:tcPr>
          <w:p>
            <w:pPr>
              <w:widowControl w:val="0"/>
              <w:spacing w:line="720" w:lineRule="auto"/>
              <w:ind w:right="105"/>
              <w:jc w:val="right"/>
              <w:rPr>
                <w:rFonts w:ascii="Times New Roman" w:hAnsi="Times New Roman" w:eastAsia="宋体" w:cs="Times New Roman"/>
                <w:position w:val="-30"/>
                <w:sz w:val="24"/>
                <w:szCs w:val="21"/>
              </w:rPr>
            </w:pPr>
            <w:r>
              <w:rPr>
                <w:rFonts w:hint="eastAsia" w:ascii="Times New Roman" w:hAnsi="Times New Roman" w:eastAsia="宋体" w:cs="Times New Roman"/>
                <w:sz w:val="24"/>
                <w:szCs w:val="21"/>
              </w:rPr>
              <w:t>（</w:t>
            </w:r>
            <w:r>
              <w:rPr>
                <w:rFonts w:ascii="Times New Roman" w:hAnsi="Times New Roman" w:eastAsia="宋体" w:cs="Times New Roman"/>
                <w:sz w:val="24"/>
                <w:szCs w:val="24"/>
              </w:rPr>
              <w:t>10.3.4</w:t>
            </w:r>
            <w:r>
              <w:rPr>
                <w:rFonts w:hint="eastAsia" w:ascii="Times New Roman" w:hAnsi="Times New Roman" w:eastAsia="宋体" w:cs="Times New Roman"/>
                <w:sz w:val="24"/>
                <w:szCs w:val="24"/>
              </w:rPr>
              <w:t>）</w:t>
            </w:r>
          </w:p>
        </w:tc>
      </w:tr>
    </w:tbl>
    <w:p>
      <w:pPr>
        <w:widowControl w:val="0"/>
        <w:spacing w:line="48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式中：</w:t>
      </w: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A</w:t>
      </w:r>
      <w:r>
        <w:rPr>
          <w:rFonts w:ascii="Times New Roman" w:hAnsi="Times New Roman" w:eastAsia="宋体" w:cs="Times New Roman"/>
          <w:sz w:val="24"/>
          <w:szCs w:val="24"/>
        </w:rPr>
        <w:t>——</w:t>
      </w:r>
      <w:r>
        <w:rPr>
          <w:rFonts w:hint="eastAsia" w:ascii="Times New Roman" w:hAnsi="Times New Roman" w:eastAsia="宋体" w:cs="Times New Roman"/>
          <w:sz w:val="24"/>
          <w:szCs w:val="24"/>
        </w:rPr>
        <w:t>格栅内土体的截面面积（</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δ</w:t>
      </w:r>
      <w:r>
        <w:rPr>
          <w:rFonts w:ascii="Times New Roman" w:hAnsi="Times New Roman" w:eastAsia="宋体" w:cs="Times New Roman"/>
          <w:sz w:val="24"/>
          <w:szCs w:val="24"/>
        </w:rPr>
        <w:t>——</w:t>
      </w:r>
      <w:r>
        <w:rPr>
          <w:rFonts w:hint="eastAsia" w:ascii="Times New Roman" w:hAnsi="Times New Roman" w:eastAsia="宋体" w:cs="Times New Roman"/>
          <w:sz w:val="24"/>
          <w:szCs w:val="24"/>
        </w:rPr>
        <w:t>计算系数；对粘性土，取</w:t>
      </w:r>
      <m:oMath>
        <m:r>
          <m:rPr/>
          <w:rPr>
            <w:rFonts w:ascii="Cambria Math" w:hAnsi="Cambria Math" w:eastAsia="宋体" w:cs="Times New Roman"/>
            <w:sz w:val="24"/>
            <w:szCs w:val="24"/>
          </w:rPr>
          <m:t>δ</m:t>
        </m:r>
      </m:oMath>
      <w:r>
        <w:rPr>
          <w:rFonts w:hint="eastAsia" w:ascii="Times New Roman" w:hAnsi="Times New Roman" w:eastAsia="宋体" w:cs="Times New Roman"/>
          <w:sz w:val="24"/>
          <w:szCs w:val="24"/>
        </w:rPr>
        <w:t>＝</w:t>
      </w:r>
      <w:r>
        <w:rPr>
          <w:rFonts w:ascii="Times New Roman" w:hAnsi="Times New Roman" w:eastAsia="宋体" w:cs="Times New Roman"/>
          <w:sz w:val="24"/>
          <w:szCs w:val="24"/>
        </w:rPr>
        <w:t>0.5</w:t>
      </w:r>
      <w:r>
        <w:rPr>
          <w:rFonts w:hint="eastAsia" w:ascii="Times New Roman" w:hAnsi="Times New Roman" w:eastAsia="宋体" w:cs="Times New Roman"/>
          <w:sz w:val="24"/>
          <w:szCs w:val="24"/>
        </w:rPr>
        <w:t>；对砂土、粉土，取</w:t>
      </w:r>
      <m:oMath>
        <m:r>
          <m:rPr/>
          <w:rPr>
            <w:rFonts w:ascii="Cambria Math" w:hAnsi="Cambria Math" w:eastAsia="宋体" w:cs="Times New Roman"/>
            <w:sz w:val="24"/>
            <w:szCs w:val="24"/>
          </w:rPr>
          <m:t>δ</m:t>
        </m:r>
      </m:oMath>
      <w:r>
        <w:rPr>
          <w:rFonts w:hint="eastAsia" w:ascii="Times New Roman" w:hAnsi="Times New Roman" w:eastAsia="宋体" w:cs="Times New Roman"/>
          <w:sz w:val="24"/>
          <w:szCs w:val="24"/>
        </w:rPr>
        <w:t>＝</w:t>
      </w:r>
      <w:r>
        <w:rPr>
          <w:rFonts w:ascii="Times New Roman" w:hAnsi="Times New Roman" w:eastAsia="宋体" w:cs="Times New Roman"/>
          <w:sz w:val="24"/>
          <w:szCs w:val="24"/>
        </w:rPr>
        <w:t>0.7</w:t>
      </w:r>
      <w:r>
        <w:rPr>
          <w:rFonts w:hint="eastAsia" w:ascii="Times New Roman" w:hAnsi="Times New Roman" w:eastAsia="宋体" w:cs="Times New Roman"/>
          <w:sz w:val="24"/>
          <w:szCs w:val="24"/>
        </w:rPr>
        <w:t>；</w:t>
      </w:r>
    </w:p>
    <w:p>
      <w:pPr>
        <w:widowControl w:val="0"/>
        <w:spacing w:line="480" w:lineRule="exact"/>
        <w:ind w:left="1644" w:hanging="1644" w:hangingChars="685"/>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c</w:t>
      </w:r>
      <w:r>
        <w:rPr>
          <w:rFonts w:ascii="Times New Roman" w:hAnsi="Times New Roman" w:eastAsia="宋体" w:cs="Times New Roman"/>
          <w:sz w:val="24"/>
          <w:szCs w:val="24"/>
        </w:rPr>
        <w:t>——</w:t>
      </w:r>
      <w:r>
        <w:rPr>
          <w:rFonts w:hint="eastAsia" w:ascii="Times New Roman" w:hAnsi="Times New Roman" w:eastAsia="宋体" w:cs="Times New Roman"/>
          <w:sz w:val="24"/>
          <w:szCs w:val="24"/>
        </w:rPr>
        <w:t>格栅内土的粘聚力（</w:t>
      </w:r>
      <w:r>
        <w:rPr>
          <w:rFonts w:ascii="Times New Roman" w:hAnsi="Times New Roman" w:eastAsia="宋体" w:cs="Times New Roman"/>
          <w:sz w:val="24"/>
          <w:szCs w:val="24"/>
        </w:rPr>
        <w:t>kPa</w:t>
      </w:r>
      <w:r>
        <w:rPr>
          <w:rFonts w:hint="eastAsia" w:ascii="Times New Roman" w:hAnsi="Times New Roman" w:eastAsia="宋体" w:cs="Times New Roman"/>
          <w:sz w:val="24"/>
          <w:szCs w:val="24"/>
        </w:rPr>
        <w:t>），按本</w:t>
      </w:r>
      <w:r>
        <w:rPr>
          <w:rFonts w:hint="eastAsia" w:ascii="Times New Roman" w:hAnsi="Times New Roman" w:cs="Times New Roman"/>
          <w:sz w:val="24"/>
          <w:szCs w:val="24"/>
          <w:lang w:eastAsia="zh-CN"/>
        </w:rPr>
        <w:t>标准</w:t>
      </w:r>
      <w:r>
        <w:rPr>
          <w:rFonts w:hint="eastAsia" w:ascii="Times New Roman" w:hAnsi="Times New Roman" w:eastAsia="宋体" w:cs="Times New Roman"/>
          <w:sz w:val="24"/>
          <w:szCs w:val="24"/>
        </w:rPr>
        <w:t>第5</w:t>
      </w:r>
      <w:r>
        <w:rPr>
          <w:rFonts w:ascii="Times New Roman" w:hAnsi="Times New Roman" w:eastAsia="宋体" w:cs="Times New Roman"/>
          <w:sz w:val="24"/>
          <w:szCs w:val="24"/>
        </w:rPr>
        <w:t>.</w:t>
      </w:r>
      <w:r>
        <w:rPr>
          <w:rFonts w:hint="eastAsia" w:ascii="Times New Roman" w:hAnsi="Times New Roman" w:eastAsia="宋体" w:cs="Times New Roman"/>
          <w:sz w:val="24"/>
          <w:szCs w:val="24"/>
        </w:rPr>
        <w:t>3节的规定确定；</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u</w:t>
      </w:r>
      <w:r>
        <w:rPr>
          <w:rFonts w:ascii="Times New Roman" w:hAnsi="Times New Roman" w:eastAsia="宋体" w:cs="Times New Roman"/>
          <w:sz w:val="24"/>
          <w:szCs w:val="24"/>
        </w:rPr>
        <w:t>——</w:t>
      </w:r>
      <w:r>
        <w:rPr>
          <w:rFonts w:hint="eastAsia" w:ascii="Times New Roman" w:hAnsi="Times New Roman" w:eastAsia="宋体" w:cs="Times New Roman"/>
          <w:sz w:val="24"/>
          <w:szCs w:val="24"/>
        </w:rPr>
        <w:t>计算周长（m），按图</w:t>
      </w:r>
      <w:r>
        <w:rPr>
          <w:rFonts w:ascii="Times New Roman" w:hAnsi="Times New Roman" w:eastAsia="宋体" w:cs="Times New Roman"/>
          <w:sz w:val="24"/>
          <w:szCs w:val="24"/>
        </w:rPr>
        <w:t>10.3.4</w:t>
      </w:r>
      <w:r>
        <w:rPr>
          <w:rFonts w:hint="eastAsia" w:ascii="Times New Roman" w:hAnsi="Times New Roman" w:eastAsia="宋体" w:cs="Times New Roman"/>
          <w:sz w:val="24"/>
          <w:szCs w:val="24"/>
        </w:rPr>
        <w:t>计算；</w:t>
      </w:r>
    </w:p>
    <w:p>
      <w:pPr>
        <w:widowControl w:val="0"/>
        <w:spacing w:line="480" w:lineRule="exact"/>
        <w:ind w:left="1680" w:hanging="1680" w:hangingChars="700"/>
        <w:jc w:val="left"/>
        <w:rPr>
          <w:rFonts w:ascii="Times New Roman" w:hAnsi="Times New Roman" w:eastAsia="宋体" w:cs="Times New Roman"/>
          <w:sz w:val="21"/>
          <w:szCs w:val="21"/>
        </w:rPr>
      </w:pPr>
      <w:r>
        <w:rPr>
          <w:rFonts w:ascii="Times New Roman" w:hAnsi="Times New Roman" w:eastAsia="宋体" w:cs="Times New Roman"/>
          <w:sz w:val="24"/>
          <w:szCs w:val="24"/>
        </w:rPr>
        <w:t xml:space="preserve">      </w:t>
      </w:r>
      <w:r>
        <w:rPr>
          <w:rFonts w:ascii="Times New Roman" w:hAnsi="Times New Roman" w:eastAsia="宋体" w:cs="Times New Roman"/>
          <w:position w:val="-12"/>
          <w:sz w:val="24"/>
          <w:szCs w:val="24"/>
        </w:rPr>
        <w:object>
          <v:shape id="_x0000_i1262" o:spt="75" type="#_x0000_t75" style="height:18pt;width:15pt;" o:ole="t" filled="f" o:preferrelative="t" stroked="f" coordsize="21600,21600">
            <v:path/>
            <v:fill on="f" focussize="0,0"/>
            <v:stroke on="f" joinstyle="miter"/>
            <v:imagedata r:id="rId670" o:title=""/>
            <o:lock v:ext="edit" aspectratio="t"/>
            <w10:wrap type="none"/>
            <w10:anchorlock/>
          </v:shape>
          <o:OLEObject Type="Embed" ProgID="Equation.DSMT4" ShapeID="_x0000_i1262" DrawAspect="Content" ObjectID="_1468075962" r:id="rId669">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sz w:val="24"/>
          <w:szCs w:val="24"/>
        </w:rPr>
        <w:t>格栅内土的天然重度（</w:t>
      </w:r>
      <w:r>
        <w:rPr>
          <w:rFonts w:ascii="Times New Roman" w:hAnsi="Times New Roman" w:eastAsia="宋体" w:cs="Times New Roman"/>
          <w:sz w:val="24"/>
          <w:szCs w:val="24"/>
        </w:rPr>
        <w:t>kN/m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）；对成层土，取水泥土墙深度范围内各层土按厚度加权的平均天然重度。</w:t>
      </w:r>
    </w:p>
    <w:p>
      <w:pPr>
        <w:widowControl w:val="0"/>
        <w:jc w:val="center"/>
        <w:rPr>
          <w:rFonts w:ascii="Times New Roman" w:hAnsi="Times New Roman" w:eastAsia="宋体" w:cs="Times New Roman"/>
          <w:sz w:val="21"/>
          <w:szCs w:val="21"/>
        </w:rPr>
      </w:pPr>
      <w:r>
        <w:rPr>
          <w:rFonts w:ascii="Calibri" w:hAnsi="Calibri" w:eastAsia="宋体" w:cs="Times New Roman"/>
          <w:sz w:val="24"/>
        </w:rPr>
        <w:drawing>
          <wp:inline distT="0" distB="0" distL="0" distR="0">
            <wp:extent cx="3352800" cy="2552065"/>
            <wp:effectExtent l="0" t="0" r="0" b="8255"/>
            <wp:docPr id="238" name="图片 238" descr="C:\Users\Administrator\AppData\Roaming\feiq\RichOle\4032130541.b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8" name="图片 238" descr="C:\Users\Administrator\AppData\Roaming\feiq\RichOle\4032130541.bmp"/>
                    <pic:cNvPicPr>
                      <a:picLocks noChangeAspect="true" noChangeArrowheads="true"/>
                    </pic:cNvPicPr>
                  </pic:nvPicPr>
                  <pic:blipFill>
                    <a:blip r:embed="rId671">
                      <a:extLst>
                        <a:ext uri="{28A0092B-C50C-407E-A947-70E740481C1C}">
                          <a14:useLocalDpi xmlns:a14="http://schemas.microsoft.com/office/drawing/2010/main" val="false"/>
                        </a:ext>
                      </a:extLst>
                    </a:blip>
                    <a:srcRect/>
                    <a:stretch>
                      <a:fillRect/>
                    </a:stretch>
                  </pic:blipFill>
                  <pic:spPr>
                    <a:xfrm>
                      <a:off x="0" y="0"/>
                      <a:ext cx="3386645" cy="2577852"/>
                    </a:xfrm>
                    <a:prstGeom prst="rect">
                      <a:avLst/>
                    </a:prstGeom>
                    <a:noFill/>
                    <a:ln>
                      <a:noFill/>
                    </a:ln>
                  </pic:spPr>
                </pic:pic>
              </a:graphicData>
            </a:graphic>
          </wp:inline>
        </w:drawing>
      </w:r>
    </w:p>
    <w:p>
      <w:pPr>
        <w:widowControl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图</w:t>
      </w:r>
      <w:r>
        <w:rPr>
          <w:rFonts w:ascii="Times New Roman" w:hAnsi="Times New Roman" w:eastAsia="宋体" w:cs="Times New Roman"/>
          <w:sz w:val="21"/>
          <w:szCs w:val="21"/>
        </w:rPr>
        <w:t xml:space="preserve">10.3.4  </w:t>
      </w:r>
      <w:r>
        <w:rPr>
          <w:rFonts w:hint="eastAsia" w:ascii="Times New Roman" w:hAnsi="Times New Roman" w:eastAsia="宋体" w:cs="Times New Roman"/>
          <w:sz w:val="21"/>
          <w:szCs w:val="21"/>
        </w:rPr>
        <w:t>格栅式水泥土墙</w:t>
      </w:r>
    </w:p>
    <w:p>
      <w:pPr>
        <w:widowControl w:val="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－水泥土桩；</w:t>
      </w:r>
      <w:r>
        <w:rPr>
          <w:rFonts w:ascii="Times New Roman" w:hAnsi="Times New Roman" w:eastAsia="宋体" w:cs="Times New Roman"/>
          <w:sz w:val="21"/>
          <w:szCs w:val="21"/>
        </w:rPr>
        <w:t>2</w:t>
      </w:r>
      <w:r>
        <w:rPr>
          <w:rFonts w:hint="eastAsia" w:ascii="Times New Roman" w:hAnsi="Times New Roman" w:eastAsia="宋体" w:cs="Times New Roman"/>
          <w:sz w:val="21"/>
          <w:szCs w:val="21"/>
        </w:rPr>
        <w:t>－水泥土桩中心线；</w:t>
      </w:r>
      <w:r>
        <w:rPr>
          <w:rFonts w:ascii="Times New Roman" w:hAnsi="Times New Roman" w:eastAsia="宋体" w:cs="Times New Roman"/>
          <w:sz w:val="21"/>
          <w:szCs w:val="21"/>
        </w:rPr>
        <w:t>3</w:t>
      </w:r>
      <w:r>
        <w:rPr>
          <w:rFonts w:hint="eastAsia" w:ascii="Times New Roman" w:hAnsi="Times New Roman" w:eastAsia="宋体" w:cs="Times New Roman"/>
          <w:sz w:val="21"/>
          <w:szCs w:val="21"/>
        </w:rPr>
        <w:t>－计算周长</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水泥土格栅的面积置换率，对淤泥质土，不宜小于</w:t>
      </w:r>
      <w:r>
        <w:rPr>
          <w:rFonts w:ascii="Times New Roman" w:hAnsi="Times New Roman" w:eastAsia="宋体" w:cs="Times New Roman"/>
          <w:sz w:val="24"/>
          <w:szCs w:val="24"/>
        </w:rPr>
        <w:t>0.7</w:t>
      </w:r>
      <w:r>
        <w:rPr>
          <w:rFonts w:hint="eastAsia" w:ascii="Times New Roman" w:hAnsi="Times New Roman" w:eastAsia="宋体" w:cs="Times New Roman"/>
          <w:sz w:val="24"/>
          <w:szCs w:val="24"/>
        </w:rPr>
        <w:t>；对淤泥，不宜小于</w:t>
      </w:r>
      <w:r>
        <w:rPr>
          <w:rFonts w:ascii="Times New Roman" w:hAnsi="Times New Roman" w:eastAsia="宋体" w:cs="Times New Roman"/>
          <w:sz w:val="24"/>
          <w:szCs w:val="24"/>
        </w:rPr>
        <w:t>0.8</w:t>
      </w:r>
      <w:r>
        <w:rPr>
          <w:rFonts w:hint="eastAsia" w:ascii="Times New Roman" w:hAnsi="Times New Roman" w:eastAsia="宋体" w:cs="Times New Roman"/>
          <w:sz w:val="24"/>
          <w:szCs w:val="24"/>
        </w:rPr>
        <w:t>；对一般粘性土、砂土，不宜小于</w:t>
      </w:r>
      <w:r>
        <w:rPr>
          <w:rFonts w:ascii="Times New Roman" w:hAnsi="Times New Roman" w:eastAsia="宋体" w:cs="Times New Roman"/>
          <w:sz w:val="24"/>
          <w:szCs w:val="24"/>
        </w:rPr>
        <w:t>0.6</w:t>
      </w:r>
      <w:r>
        <w:rPr>
          <w:rFonts w:hint="eastAsia" w:ascii="Times New Roman" w:hAnsi="Times New Roman" w:eastAsia="宋体" w:cs="Times New Roman"/>
          <w:sz w:val="24"/>
          <w:szCs w:val="24"/>
        </w:rPr>
        <w:t>。格栅内侧的长宽比不宜大于</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5</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水泥土桩的搭接宽度不宜小于</w:t>
      </w:r>
      <w:r>
        <w:rPr>
          <w:rFonts w:ascii="Times New Roman" w:hAnsi="Times New Roman" w:eastAsia="宋体" w:cs="Times New Roman"/>
          <w:sz w:val="24"/>
          <w:szCs w:val="24"/>
        </w:rPr>
        <w:t>150mm</w:t>
      </w:r>
      <w:r>
        <w:rPr>
          <w:rFonts w:hint="eastAsia" w:ascii="Times New Roman" w:hAnsi="Times New Roman" w:eastAsia="宋体" w:cs="Times New Roman"/>
          <w:sz w:val="24"/>
          <w:szCs w:val="24"/>
        </w:rPr>
        <w:t>。</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6</w:t>
      </w:r>
      <w:r>
        <w:rPr>
          <w:rFonts w:hint="eastAsia" w:ascii="Times New Roman" w:hAnsi="Times New Roman" w:eastAsia="宋体" w:cs="Times New Roman"/>
          <w:sz w:val="24"/>
          <w:szCs w:val="24"/>
        </w:rPr>
        <w:t xml:space="preserve"> 水泥土墙根据土压力分布可采用变截面形式。</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7</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水泥土墙体</w:t>
      </w:r>
      <w:r>
        <w:rPr>
          <w:rFonts w:ascii="Times New Roman" w:hAnsi="Times New Roman" w:eastAsia="宋体" w:cs="Times New Roman"/>
          <w:sz w:val="24"/>
          <w:szCs w:val="24"/>
        </w:rPr>
        <w:t>28d</w:t>
      </w:r>
      <w:r>
        <w:rPr>
          <w:rFonts w:hint="eastAsia" w:ascii="Times New Roman" w:hAnsi="Times New Roman" w:eastAsia="宋体" w:cs="Times New Roman"/>
          <w:sz w:val="24"/>
          <w:szCs w:val="24"/>
        </w:rPr>
        <w:t>无侧限抗压强度不宜小于1.2</w:t>
      </w:r>
      <w:r>
        <w:rPr>
          <w:rFonts w:ascii="Times New Roman" w:hAnsi="Times New Roman" w:eastAsia="宋体" w:cs="Times New Roman"/>
          <w:sz w:val="24"/>
          <w:szCs w:val="24"/>
        </w:rPr>
        <w:t>MPa</w:t>
      </w:r>
      <w:r>
        <w:rPr>
          <w:rFonts w:hint="eastAsia" w:ascii="Times New Roman" w:hAnsi="Times New Roman" w:eastAsia="宋体" w:cs="Times New Roman"/>
          <w:sz w:val="24"/>
          <w:szCs w:val="24"/>
        </w:rPr>
        <w:t>。当需要增强墙身的抗拉性能时可在水泥土桩内插入杆筋。杆筋可采用钢筋、钢管，杆筋的插入深度宜大于基坑深度，杆筋应锚入面板内。</w:t>
      </w:r>
    </w:p>
    <w:p>
      <w:pPr>
        <w:widowControl w:val="0"/>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8</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水泥土墙顶面宜设置混凝土连接面板，面板厚度不宜小于</w:t>
      </w:r>
      <w:r>
        <w:rPr>
          <w:rFonts w:ascii="Times New Roman" w:hAnsi="Times New Roman" w:eastAsia="宋体" w:cs="Times New Roman"/>
          <w:sz w:val="24"/>
          <w:szCs w:val="24"/>
        </w:rPr>
        <w:t>150mm</w:t>
      </w:r>
      <w:r>
        <w:rPr>
          <w:rFonts w:hint="eastAsia" w:ascii="Times New Roman" w:hAnsi="Times New Roman" w:eastAsia="宋体" w:cs="Times New Roman"/>
          <w:sz w:val="24"/>
          <w:szCs w:val="24"/>
        </w:rPr>
        <w:t>，混凝土强度等级不宜低于</w:t>
      </w:r>
      <w:r>
        <w:rPr>
          <w:rFonts w:ascii="Times New Roman" w:hAnsi="Times New Roman" w:eastAsia="宋体" w:cs="Times New Roman"/>
          <w:sz w:val="24"/>
          <w:szCs w:val="24"/>
        </w:rPr>
        <w:t>C20</w:t>
      </w:r>
      <w:r>
        <w:rPr>
          <w:rFonts w:hint="eastAsia" w:ascii="Times New Roman" w:hAnsi="Times New Roman" w:eastAsia="宋体" w:cs="Times New Roman"/>
          <w:sz w:val="24"/>
          <w:szCs w:val="24"/>
        </w:rPr>
        <w:t>。</w:t>
      </w:r>
    </w:p>
    <w:p>
      <w:pPr>
        <w:widowControl w:val="0"/>
        <w:spacing w:line="480" w:lineRule="exact"/>
        <w:rPr>
          <w:rFonts w:ascii="Times New Roman" w:hAnsi="Times New Roman" w:eastAsia="宋体" w:cs="Times New Roman"/>
          <w:sz w:val="24"/>
          <w:szCs w:val="24"/>
        </w:rPr>
      </w:pPr>
    </w:p>
    <w:p>
      <w:pPr>
        <w:keepNext/>
        <w:keepLines/>
        <w:widowControl/>
        <w:spacing w:line="416" w:lineRule="auto"/>
        <w:jc w:val="center"/>
        <w:outlineLvl w:val="1"/>
        <w:rPr>
          <w:rFonts w:ascii="Cambria" w:hAnsi="Cambria" w:eastAsia="宋体" w:cs="Times New Roman"/>
          <w:b/>
          <w:bCs/>
          <w:sz w:val="32"/>
          <w:szCs w:val="32"/>
        </w:rPr>
      </w:pPr>
      <w:bookmarkStart w:id="695" w:name="_Toc391"/>
      <w:bookmarkStart w:id="696" w:name="_Toc24309"/>
      <w:r>
        <w:rPr>
          <w:rFonts w:ascii="Times New Roman" w:hAnsi="Times New Roman" w:eastAsia="宋体" w:cs="Times New Roman"/>
          <w:b/>
          <w:bCs/>
          <w:sz w:val="32"/>
          <w:szCs w:val="32"/>
        </w:rPr>
        <w:t>10.4</w:t>
      </w:r>
      <w:r>
        <w:rPr>
          <w:rFonts w:hint="eastAsia" w:ascii="Cambria" w:hAnsi="Cambria" w:eastAsia="宋体" w:cs="Times New Roman"/>
          <w:b/>
          <w:bCs/>
          <w:sz w:val="32"/>
          <w:szCs w:val="32"/>
        </w:rPr>
        <w:t xml:space="preserve"> 施工与检测</w:t>
      </w:r>
      <w:bookmarkEnd w:id="695"/>
      <w:bookmarkEnd w:id="696"/>
    </w:p>
    <w:p>
      <w:pPr>
        <w:widowControl w:val="0"/>
        <w:tabs>
          <w:tab w:val="left" w:pos="672"/>
          <w:tab w:val="left" w:pos="1036"/>
          <w:tab w:val="left" w:pos="1620"/>
          <w:tab w:val="left" w:pos="2160"/>
          <w:tab w:val="left" w:pos="702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10.4</w:t>
      </w:r>
      <w:r>
        <w:rPr>
          <w:rFonts w:hint="eastAsia" w:ascii="Times New Roman" w:hAnsi="Times New Roman" w:eastAsia="宋体" w:cs="Times New Roman"/>
          <w:b/>
          <w:sz w:val="24"/>
        </w:rPr>
        <w:t>.1</w:t>
      </w:r>
      <w:r>
        <w:rPr>
          <w:rFonts w:ascii="Times New Roman" w:hAnsi="Times New Roman" w:eastAsia="宋体" w:cs="Times New Roman"/>
          <w:bCs/>
          <w:sz w:val="24"/>
          <w:szCs w:val="24"/>
        </w:rPr>
        <w:t xml:space="preserve"> </w:t>
      </w:r>
      <w:r>
        <w:rPr>
          <w:rFonts w:hint="eastAsia" w:ascii="Times New Roman" w:hAnsi="Times New Roman" w:eastAsia="宋体" w:cs="Times New Roman"/>
          <w:sz w:val="24"/>
          <w:szCs w:val="24"/>
        </w:rPr>
        <w:t>水泥土桩的施工应符合现行行业标准《建筑地基处理技术规范》</w:t>
      </w:r>
      <w:r>
        <w:rPr>
          <w:rFonts w:ascii="Times New Roman" w:hAnsi="Times New Roman" w:eastAsia="宋体" w:cs="Times New Roman"/>
          <w:sz w:val="24"/>
          <w:szCs w:val="24"/>
        </w:rPr>
        <w:t>JGJ79</w:t>
      </w:r>
      <w:r>
        <w:rPr>
          <w:rFonts w:hint="eastAsia" w:ascii="Times New Roman" w:hAnsi="Times New Roman" w:eastAsia="宋体" w:cs="Times New Roman"/>
          <w:sz w:val="24"/>
          <w:szCs w:val="24"/>
        </w:rPr>
        <w:t>的规定。</w:t>
      </w:r>
    </w:p>
    <w:p>
      <w:pPr>
        <w:widowControl w:val="0"/>
        <w:tabs>
          <w:tab w:val="left" w:pos="672"/>
          <w:tab w:val="left" w:pos="1036"/>
          <w:tab w:val="left" w:pos="2160"/>
          <w:tab w:val="left" w:pos="7020"/>
        </w:tabs>
        <w:spacing w:line="480" w:lineRule="exact"/>
        <w:rPr>
          <w:rFonts w:ascii="Times New Roman" w:hAnsi="Times New Roman" w:eastAsia="宋体" w:cs="Times New Roman"/>
          <w:sz w:val="24"/>
          <w:szCs w:val="24"/>
        </w:rPr>
      </w:pPr>
      <w:r>
        <w:rPr>
          <w:rFonts w:ascii="Times New Roman" w:hAnsi="Times New Roman" w:eastAsia="宋体" w:cs="Times New Roman"/>
          <w:b/>
          <w:sz w:val="24"/>
        </w:rPr>
        <w:t>10.4</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 xml:space="preserve"> </w:t>
      </w:r>
      <w:r>
        <w:rPr>
          <w:rFonts w:hint="eastAsia" w:ascii="Times New Roman" w:hAnsi="Times New Roman" w:eastAsia="宋体" w:cs="Times New Roman"/>
          <w:sz w:val="24"/>
          <w:szCs w:val="24"/>
        </w:rPr>
        <w:t>水泥土墙施工，应在前桩水泥土未凝固前（一般不超过</w:t>
      </w:r>
      <w:r>
        <w:rPr>
          <w:rFonts w:ascii="Times New Roman" w:hAnsi="Times New Roman" w:eastAsia="宋体" w:cs="Times New Roman"/>
          <w:sz w:val="24"/>
          <w:szCs w:val="24"/>
        </w:rPr>
        <w:t>12h</w:t>
      </w:r>
      <w:r>
        <w:rPr>
          <w:rFonts w:hint="eastAsia" w:ascii="Times New Roman" w:hAnsi="Times New Roman" w:eastAsia="宋体" w:cs="Times New Roman"/>
          <w:sz w:val="24"/>
          <w:szCs w:val="24"/>
        </w:rPr>
        <w:t>）进行后续桩的施工，以保证墙体连续性，对施工间隔时间较长的搭接缝应采取加桩加强措施。</w:t>
      </w:r>
    </w:p>
    <w:p>
      <w:pPr>
        <w:widowControl w:val="0"/>
        <w:tabs>
          <w:tab w:val="left" w:pos="672"/>
          <w:tab w:val="left" w:pos="1036"/>
          <w:tab w:val="left" w:pos="1620"/>
          <w:tab w:val="left" w:pos="2160"/>
          <w:tab w:val="left" w:pos="7020"/>
        </w:tabs>
        <w:spacing w:line="480" w:lineRule="exact"/>
        <w:rPr>
          <w:rFonts w:ascii="Times New Roman" w:hAnsi="Times New Roman" w:eastAsia="宋体" w:cs="Times New Roman"/>
          <w:bCs/>
          <w:sz w:val="24"/>
        </w:rPr>
      </w:pPr>
      <w:r>
        <w:rPr>
          <w:rFonts w:ascii="Times New Roman" w:hAnsi="Times New Roman" w:eastAsia="宋体" w:cs="Times New Roman"/>
          <w:b/>
          <w:sz w:val="24"/>
        </w:rPr>
        <w:t>10.4</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重力式水泥土墙的质量检测应符合下列规定：</w:t>
      </w:r>
    </w:p>
    <w:p>
      <w:pPr>
        <w:widowControl w:val="0"/>
        <w:tabs>
          <w:tab w:val="left" w:pos="720"/>
          <w:tab w:val="left" w:pos="1008"/>
          <w:tab w:val="left" w:pos="2520"/>
          <w:tab w:val="left" w:pos="7020"/>
        </w:tabs>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1 </w:t>
      </w:r>
      <w:r>
        <w:rPr>
          <w:rFonts w:hint="eastAsia" w:ascii="Times New Roman" w:hAnsi="Times New Roman" w:eastAsia="宋体" w:cs="Times New Roman"/>
          <w:sz w:val="24"/>
          <w:szCs w:val="24"/>
        </w:rPr>
        <w:t>应采用开挖法检测水泥土固结体的直径、搭接宽度、位置偏差、垂直度；</w:t>
      </w:r>
    </w:p>
    <w:p>
      <w:pPr>
        <w:widowControl w:val="0"/>
        <w:tabs>
          <w:tab w:val="left" w:pos="672"/>
          <w:tab w:val="left" w:pos="1036"/>
          <w:tab w:val="left" w:pos="1620"/>
          <w:tab w:val="left" w:pos="2160"/>
          <w:tab w:val="left" w:pos="7020"/>
        </w:tabs>
        <w:spacing w:line="48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应采用钻芯法检测水泥土的单轴抗压强度及完整性、水泥土墙的深度。进行单轴抗压强度试验的芯样直径不应小于</w:t>
      </w:r>
      <w:r>
        <w:rPr>
          <w:rFonts w:ascii="Times New Roman" w:hAnsi="Times New Roman" w:eastAsia="宋体" w:cs="Times New Roman"/>
          <w:sz w:val="24"/>
          <w:szCs w:val="24"/>
        </w:rPr>
        <w:t>80mm</w:t>
      </w:r>
      <w:r>
        <w:rPr>
          <w:rFonts w:hint="eastAsia" w:ascii="Times New Roman" w:hAnsi="Times New Roman" w:eastAsia="宋体" w:cs="Times New Roman"/>
          <w:sz w:val="24"/>
          <w:szCs w:val="24"/>
        </w:rPr>
        <w:t>。检测桩数不宜少于总桩数的</w:t>
      </w:r>
      <w:r>
        <w:rPr>
          <w:rFonts w:ascii="Times New Roman" w:hAnsi="Times New Roman" w:eastAsia="宋体" w:cs="Times New Roman"/>
          <w:sz w:val="24"/>
          <w:szCs w:val="24"/>
        </w:rPr>
        <w:t>1</w:t>
      </w:r>
      <w:r>
        <w:rPr>
          <w:rFonts w:hint="eastAsia" w:ascii="Times New Roman" w:hAnsi="Times New Roman" w:eastAsia="宋体" w:cs="Times New Roman"/>
          <w:sz w:val="24"/>
          <w:szCs w:val="24"/>
        </w:rPr>
        <w:t>％，且不应少于</w:t>
      </w:r>
      <w:r>
        <w:rPr>
          <w:rFonts w:ascii="Times New Roman" w:hAnsi="Times New Roman" w:eastAsia="宋体" w:cs="Times New Roman"/>
          <w:sz w:val="24"/>
          <w:szCs w:val="24"/>
        </w:rPr>
        <w:t>6</w:t>
      </w:r>
      <w:r>
        <w:rPr>
          <w:rFonts w:hint="eastAsia" w:ascii="Times New Roman" w:hAnsi="Times New Roman" w:eastAsia="宋体" w:cs="Times New Roman"/>
          <w:sz w:val="24"/>
          <w:szCs w:val="24"/>
        </w:rPr>
        <w:t>根。</w:t>
      </w:r>
    </w:p>
    <w:p>
      <w:pPr>
        <w:widowControl w:val="0"/>
        <w:tabs>
          <w:tab w:val="left" w:pos="672"/>
          <w:tab w:val="left" w:pos="1036"/>
          <w:tab w:val="left" w:pos="1620"/>
          <w:tab w:val="left" w:pos="2160"/>
          <w:tab w:val="left" w:pos="7020"/>
        </w:tabs>
        <w:spacing w:line="480" w:lineRule="exact"/>
        <w:ind w:firstLine="480" w:firstLineChars="200"/>
        <w:rPr>
          <w:rFonts w:ascii="Times New Roman" w:hAnsi="Times New Roman" w:eastAsia="宋体" w:cs="Times New Roman"/>
          <w:bCs/>
          <w:sz w:val="24"/>
          <w:szCs w:val="24"/>
        </w:rPr>
      </w:pPr>
    </w:p>
    <w:p>
      <w:pPr>
        <w:rPr>
          <w:rFonts w:ascii="Times New Roman" w:hAnsi="Times New Roman"/>
          <w:color w:val="FF0000"/>
          <w:szCs w:val="24"/>
        </w:rPr>
      </w:pPr>
      <w:r>
        <w:rPr>
          <w:rFonts w:ascii="Times New Roman" w:hAnsi="Times New Roman"/>
          <w:color w:val="FF0000"/>
          <w:szCs w:val="24"/>
        </w:rPr>
        <w:br w:type="page"/>
      </w:r>
    </w:p>
    <w:p>
      <w:pPr>
        <w:pStyle w:val="2"/>
        <w:bidi w:val="0"/>
        <w:rPr>
          <w:rFonts w:hint="eastAsia" w:ascii="Times New Roman" w:hAnsi="Times New Roman" w:eastAsia="黑体"/>
          <w:lang w:eastAsia="zh-CN"/>
        </w:rPr>
      </w:pPr>
      <w:bookmarkStart w:id="697" w:name="_Toc26723"/>
      <w:bookmarkStart w:id="698" w:name="_Toc1830"/>
      <w:r>
        <w:rPr>
          <w:rFonts w:hint="eastAsia" w:ascii="Times New Roman" w:hAnsi="Times New Roman"/>
          <w:lang w:val="en-US" w:eastAsia="zh-CN"/>
        </w:rPr>
        <w:t>11</w:t>
      </w:r>
      <w:r>
        <w:rPr>
          <w:rFonts w:ascii="Times New Roman" w:hAnsi="Times New Roman"/>
        </w:rPr>
        <w:t xml:space="preserve">  </w:t>
      </w:r>
      <w:r>
        <w:rPr>
          <w:rFonts w:hint="eastAsia" w:ascii="Times New Roman" w:hAnsi="Times New Roman" w:cs="宋体"/>
          <w:lang w:val="en-US" w:eastAsia="zh-CN"/>
        </w:rPr>
        <w:t>坡率法</w:t>
      </w:r>
      <w:bookmarkEnd w:id="697"/>
      <w:bookmarkEnd w:id="698"/>
    </w:p>
    <w:p>
      <w:pPr>
        <w:pStyle w:val="3"/>
        <w:bidi w:val="0"/>
      </w:pPr>
      <w:bookmarkStart w:id="699" w:name="_Toc32392"/>
      <w:bookmarkStart w:id="700" w:name="_Toc846"/>
      <w:r>
        <w:rPr>
          <w:rFonts w:hint="eastAsia"/>
          <w:lang w:val="en-US" w:eastAsia="zh-CN"/>
        </w:rPr>
        <w:t>11</w:t>
      </w:r>
      <w:r>
        <w:t>.1  一般规定</w:t>
      </w:r>
      <w:bookmarkEnd w:id="699"/>
      <w:bookmarkEnd w:id="700"/>
    </w:p>
    <w:p>
      <w:pPr>
        <w:widowControl w:val="0"/>
        <w:spacing w:line="480" w:lineRule="exact"/>
        <w:rPr>
          <w:rFonts w:ascii="Times New Roman" w:hAnsi="Times New Roman"/>
          <w:bCs/>
          <w:color w:val="000000" w:themeColor="text1"/>
          <w14:textFill>
            <w14:solidFill>
              <w14:schemeClr w14:val="tx1"/>
            </w14:solidFill>
          </w14:textFill>
        </w:rPr>
      </w:pPr>
      <w:bookmarkStart w:id="701" w:name="_Toc367261490"/>
      <w:bookmarkStart w:id="702" w:name="_Toc364930780"/>
      <w:bookmarkStart w:id="703" w:name="_Toc364431777"/>
      <w:bookmarkStart w:id="704" w:name="_Toc363566484"/>
      <w:bookmarkStart w:id="705" w:name="_Toc363199065"/>
      <w:bookmarkStart w:id="706" w:name="_Toc363134022"/>
      <w:bookmarkStart w:id="707" w:name="_Toc363547187"/>
      <w:bookmarkStart w:id="708" w:name="_Toc363548497"/>
      <w:bookmarkStart w:id="709" w:name="_Toc364772963"/>
      <w:bookmarkStart w:id="710" w:name="_Toc363803546"/>
      <w:bookmarkStart w:id="711" w:name="_Toc364680578"/>
      <w:r>
        <w:rPr>
          <w:rFonts w:hint="eastAsia" w:ascii="Times New Roman" w:hAnsi="Times New Roman"/>
          <w:b/>
          <w:color w:val="000000" w:themeColor="text1"/>
          <w:szCs w:val="24"/>
          <w:lang w:val="en-US" w:eastAsia="zh-CN"/>
          <w14:textFill>
            <w14:solidFill>
              <w14:schemeClr w14:val="tx1"/>
            </w14:solidFill>
          </w14:textFill>
        </w:rPr>
        <w:t>11</w:t>
      </w:r>
      <w:r>
        <w:rPr>
          <w:rFonts w:hint="eastAsia" w:ascii="Times New Roman" w:hAnsi="Times New Roman"/>
          <w:b/>
          <w:color w:val="000000" w:themeColor="text1"/>
          <w:szCs w:val="24"/>
          <w14:textFill>
            <w14:solidFill>
              <w14:schemeClr w14:val="tx1"/>
            </w14:solidFill>
          </w14:textFill>
        </w:rPr>
        <w:t>.</w:t>
      </w:r>
      <w:r>
        <w:rPr>
          <w:rFonts w:hint="eastAsia" w:ascii="Times New Roman" w:hAnsi="Times New Roman"/>
          <w:b/>
          <w:color w:val="000000" w:themeColor="text1"/>
          <w:szCs w:val="24"/>
          <w:lang w:val="en-US" w:eastAsia="zh-CN"/>
          <w14:textFill>
            <w14:solidFill>
              <w14:schemeClr w14:val="tx1"/>
            </w14:solidFill>
          </w14:textFill>
        </w:rPr>
        <w:t>1</w:t>
      </w:r>
      <w:r>
        <w:rPr>
          <w:rFonts w:hint="eastAsia" w:ascii="Times New Roman" w:hAnsi="Times New Roman"/>
          <w:b/>
          <w:color w:val="000000" w:themeColor="text1"/>
          <w:szCs w:val="24"/>
          <w14:textFill>
            <w14:solidFill>
              <w14:schemeClr w14:val="tx1"/>
            </w14:solidFill>
          </w14:textFill>
        </w:rPr>
        <w:t>.1</w:t>
      </w:r>
      <w:r>
        <w:rPr>
          <w:rFonts w:hint="eastAsia" w:ascii="Times New Roman" w:hAnsi="Times New Roman"/>
          <w:bCs/>
          <w:color w:val="000000" w:themeColor="text1"/>
          <w14:textFill>
            <w14:solidFill>
              <w14:schemeClr w14:val="tx1"/>
            </w14:solidFill>
          </w14:textFill>
        </w:rPr>
        <w:t xml:space="preserve"> 坡率法是通过调整、控制基坑边坡放坡率和采取构造措施保证基坑边坡稳定的方法。当场地地下水位较低、基坑外具备足够的放坡场地、放坡开挖又不会对相邻的建（构）筑物、管线产生不利影响时，可采用全深度或局部的放坡开挖方法。</w:t>
      </w:r>
    </w:p>
    <w:p>
      <w:pPr>
        <w:widowControl w:val="0"/>
        <w:spacing w:line="480" w:lineRule="exact"/>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w:t>
      </w:r>
      <w:r>
        <w:rPr>
          <w:rFonts w:hint="eastAsia" w:ascii="Times New Roman" w:hAnsi="Times New Roman"/>
          <w:b/>
          <w:color w:val="000000" w:themeColor="text1"/>
          <w:szCs w:val="24"/>
          <w14:textFill>
            <w14:solidFill>
              <w14:schemeClr w14:val="tx1"/>
            </w14:solidFill>
          </w14:textFill>
        </w:rPr>
        <w:t>.</w:t>
      </w:r>
      <w:r>
        <w:rPr>
          <w:rFonts w:hint="eastAsia" w:ascii="Times New Roman" w:hAnsi="Times New Roman"/>
          <w:b/>
          <w:color w:val="000000" w:themeColor="text1"/>
          <w:szCs w:val="24"/>
          <w:lang w:val="en-US" w:eastAsia="zh-CN"/>
          <w14:textFill>
            <w14:solidFill>
              <w14:schemeClr w14:val="tx1"/>
            </w14:solidFill>
          </w14:textFill>
        </w:rPr>
        <w:t>1</w:t>
      </w:r>
      <w:r>
        <w:rPr>
          <w:rFonts w:hint="eastAsia" w:ascii="Times New Roman" w:hAnsi="Times New Roman"/>
          <w:b/>
          <w:color w:val="000000" w:themeColor="text1"/>
          <w:szCs w:val="24"/>
          <w14:textFill>
            <w14:solidFill>
              <w14:schemeClr w14:val="tx1"/>
            </w14:solidFill>
          </w14:textFill>
        </w:rPr>
        <w:t xml:space="preserve">.2 </w:t>
      </w:r>
      <w:r>
        <w:rPr>
          <w:rFonts w:hint="eastAsia" w:ascii="Times New Roman" w:hAnsi="Times New Roman"/>
          <w:bCs/>
          <w:color w:val="000000" w:themeColor="text1"/>
          <w14:textFill>
            <w14:solidFill>
              <w14:schemeClr w14:val="tx1"/>
            </w14:solidFill>
          </w14:textFill>
        </w:rPr>
        <w:t>当基坑深度小于5m时，可采用单阶放坡，不设过渡平台；当基坑深度大于5m时，宜采用分阶放坡开挖。各级过渡平台的宽度，对土质边坡宜为1.0m～1.5m，对岩石边坡不宜小于0.5m。</w:t>
      </w:r>
    </w:p>
    <w:p>
      <w:pPr>
        <w:widowControl w:val="0"/>
        <w:spacing w:line="480" w:lineRule="exact"/>
        <w:rPr>
          <w:rFonts w:ascii="Times New Roman" w:hAnsi="Times New Roman"/>
          <w:bCs/>
          <w:color w:val="000000" w:themeColor="text1"/>
          <w:spacing w:val="-22"/>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w:t>
      </w:r>
      <w:r>
        <w:rPr>
          <w:rFonts w:hint="eastAsia" w:ascii="Times New Roman" w:hAnsi="Times New Roman"/>
          <w:b/>
          <w:color w:val="000000" w:themeColor="text1"/>
          <w:szCs w:val="24"/>
          <w14:textFill>
            <w14:solidFill>
              <w14:schemeClr w14:val="tx1"/>
            </w14:solidFill>
          </w14:textFill>
        </w:rPr>
        <w:t>.</w:t>
      </w:r>
      <w:r>
        <w:rPr>
          <w:rFonts w:hint="eastAsia" w:ascii="Times New Roman" w:hAnsi="Times New Roman"/>
          <w:b/>
          <w:color w:val="000000" w:themeColor="text1"/>
          <w:szCs w:val="24"/>
          <w:lang w:val="en-US" w:eastAsia="zh-CN"/>
          <w14:textFill>
            <w14:solidFill>
              <w14:schemeClr w14:val="tx1"/>
            </w14:solidFill>
          </w14:textFill>
        </w:rPr>
        <w:t>1</w:t>
      </w:r>
      <w:r>
        <w:rPr>
          <w:rFonts w:hint="eastAsia" w:ascii="Times New Roman" w:hAnsi="Times New Roman"/>
          <w:b/>
          <w:color w:val="000000" w:themeColor="text1"/>
          <w:szCs w:val="24"/>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 xml:space="preserve"> 当不具备全深度放坡或分阶放坡开挖条件时，上部可采用放坡，下部可采用其它支护方式。</w:t>
      </w:r>
    </w:p>
    <w:p>
      <w:pPr>
        <w:widowControl w:val="0"/>
        <w:spacing w:line="480" w:lineRule="exact"/>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w:t>
      </w:r>
      <w:r>
        <w:rPr>
          <w:rFonts w:hint="eastAsia" w:ascii="Times New Roman" w:hAnsi="Times New Roman"/>
          <w:b/>
          <w:color w:val="000000" w:themeColor="text1"/>
          <w:szCs w:val="24"/>
          <w14:textFill>
            <w14:solidFill>
              <w14:schemeClr w14:val="tx1"/>
            </w14:solidFill>
          </w14:textFill>
        </w:rPr>
        <w:t>.</w:t>
      </w:r>
      <w:r>
        <w:rPr>
          <w:rFonts w:hint="eastAsia" w:ascii="Times New Roman" w:hAnsi="Times New Roman"/>
          <w:b/>
          <w:color w:val="000000" w:themeColor="text1"/>
          <w:szCs w:val="24"/>
          <w:lang w:val="en-US" w:eastAsia="zh-CN"/>
          <w14:textFill>
            <w14:solidFill>
              <w14:schemeClr w14:val="tx1"/>
            </w14:solidFill>
          </w14:textFill>
        </w:rPr>
        <w:t>1</w:t>
      </w:r>
      <w:r>
        <w:rPr>
          <w:rFonts w:hint="eastAsia" w:ascii="Times New Roman" w:hAnsi="Times New Roman"/>
          <w:b/>
          <w:color w:val="000000" w:themeColor="text1"/>
          <w:szCs w:val="24"/>
          <w14:textFill>
            <w14:solidFill>
              <w14:schemeClr w14:val="tx1"/>
            </w14:solidFill>
          </w14:textFill>
        </w:rPr>
        <w:t>.4</w:t>
      </w:r>
      <w:r>
        <w:rPr>
          <w:rFonts w:hint="eastAsia" w:ascii="Times New Roman" w:hAnsi="Times New Roman"/>
          <w:bCs/>
          <w:color w:val="000000" w:themeColor="text1"/>
          <w14:textFill>
            <w14:solidFill>
              <w14:schemeClr w14:val="tx1"/>
            </w14:solidFill>
          </w14:textFill>
        </w:rPr>
        <w:t xml:space="preserve"> 遇到下列情况之一时，边坡的坡高和坡度应通过稳定性分析计算确定：</w:t>
      </w:r>
    </w:p>
    <w:p>
      <w:pPr>
        <w:widowControl w:val="0"/>
        <w:spacing w:line="480" w:lineRule="exact"/>
        <w:ind w:firstLine="48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1 坡顶边缘附近有较大荷载；</w:t>
      </w:r>
    </w:p>
    <w:p>
      <w:pPr>
        <w:widowControl w:val="0"/>
        <w:spacing w:line="480" w:lineRule="exact"/>
        <w:ind w:firstLine="48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2 边坡的坡高和坡率超过了本</w:t>
      </w:r>
      <w:r>
        <w:rPr>
          <w:rFonts w:hint="eastAsia" w:ascii="Times New Roman" w:hAnsi="Times New Roman"/>
          <w:bCs/>
          <w:color w:val="000000" w:themeColor="text1"/>
          <w:lang w:eastAsia="zh-CN"/>
          <w14:textFill>
            <w14:solidFill>
              <w14:schemeClr w14:val="tx1"/>
            </w14:solidFill>
          </w14:textFill>
        </w:rPr>
        <w:t>标准</w:t>
      </w:r>
      <w:r>
        <w:rPr>
          <w:rFonts w:hint="eastAsia" w:ascii="Times New Roman" w:hAnsi="Times New Roman"/>
          <w:bCs/>
          <w:color w:val="000000" w:themeColor="text1"/>
          <w14:textFill>
            <w14:solidFill>
              <w14:schemeClr w14:val="tx1"/>
            </w14:solidFill>
          </w14:textFill>
        </w:rPr>
        <w:t>表</w:t>
      </w:r>
      <w:r>
        <w:rPr>
          <w:rFonts w:hint="eastAsia" w:ascii="Times New Roman" w:hAnsi="Times New Roman"/>
          <w:bCs/>
          <w:color w:val="000000" w:themeColor="text1"/>
          <w:lang w:val="en-US" w:eastAsia="zh-CN"/>
          <w14:textFill>
            <w14:solidFill>
              <w14:schemeClr w14:val="tx1"/>
            </w14:solidFill>
          </w14:textFill>
        </w:rPr>
        <w:t>11.2.1</w:t>
      </w:r>
      <w:r>
        <w:rPr>
          <w:rFonts w:hint="eastAsia" w:ascii="Times New Roman" w:hAnsi="Times New Roman"/>
          <w:bCs/>
          <w:color w:val="000000" w:themeColor="text1"/>
          <w14:textFill>
            <w14:solidFill>
              <w14:schemeClr w14:val="tx1"/>
            </w14:solidFill>
          </w14:textFill>
        </w:rPr>
        <w:t>中的允许值；</w:t>
      </w:r>
    </w:p>
    <w:p>
      <w:pPr>
        <w:widowControl w:val="0"/>
        <w:spacing w:line="480" w:lineRule="exact"/>
        <w:ind w:firstLine="48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3 有外倾软弱结构面的边坡。</w:t>
      </w:r>
    </w:p>
    <w:p>
      <w:pPr>
        <w:pStyle w:val="3"/>
        <w:bidi w:val="0"/>
        <w:rPr>
          <w:rFonts w:hint="eastAsia"/>
          <w:lang w:val="en-US" w:eastAsia="zh-CN"/>
        </w:rPr>
      </w:pPr>
      <w:bookmarkStart w:id="712" w:name="_Toc980"/>
      <w:bookmarkStart w:id="713" w:name="_Toc2011"/>
      <w:r>
        <w:rPr>
          <w:rFonts w:hint="eastAsia"/>
          <w:lang w:val="en-US" w:eastAsia="zh-CN"/>
        </w:rPr>
        <w:t>11.2  设 计</w:t>
      </w:r>
      <w:bookmarkEnd w:id="712"/>
      <w:bookmarkEnd w:id="713"/>
    </w:p>
    <w:p>
      <w:pPr>
        <w:widowControl w:val="0"/>
        <w:spacing w:line="480" w:lineRule="exact"/>
        <w:jc w:val="left"/>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11.2</w:t>
      </w:r>
      <w:r>
        <w:rPr>
          <w:rFonts w:hint="eastAsia" w:ascii="Times New Roman" w:hAnsi="Times New Roman"/>
          <w:b/>
          <w:color w:val="000000" w:themeColor="text1"/>
          <w:szCs w:val="24"/>
          <w14:textFill>
            <w14:solidFill>
              <w14:schemeClr w14:val="tx1"/>
            </w14:solidFill>
          </w14:textFill>
        </w:rPr>
        <w:t>.</w:t>
      </w:r>
      <w:r>
        <w:rPr>
          <w:rFonts w:hint="eastAsia" w:ascii="Times New Roman" w:hAnsi="Times New Roman"/>
          <w:b/>
          <w:color w:val="000000" w:themeColor="text1"/>
          <w:szCs w:val="24"/>
          <w:lang w:val="en-US" w:eastAsia="zh-CN"/>
          <w14:textFill>
            <w14:solidFill>
              <w14:schemeClr w14:val="tx1"/>
            </w14:solidFill>
          </w14:textFill>
        </w:rPr>
        <w:t>1</w:t>
      </w:r>
      <w:r>
        <w:rPr>
          <w:rFonts w:hint="eastAsia" w:ascii="Times New Roman" w:hAnsi="Times New Roman"/>
          <w:bCs/>
          <w:color w:val="000000" w:themeColor="text1"/>
          <w14:textFill>
            <w14:solidFill>
              <w14:schemeClr w14:val="tx1"/>
            </w14:solidFill>
          </w14:textFill>
        </w:rPr>
        <w:t xml:space="preserve"> 单阶放坡的坡率应根据经验，按工程类比的原则确定。当无经验，且土质均匀、无不良地质现象时，可按表</w:t>
      </w:r>
      <w:r>
        <w:rPr>
          <w:rFonts w:hint="eastAsia" w:ascii="Times New Roman" w:hAnsi="Times New Roman"/>
          <w:bCs/>
          <w:color w:val="000000" w:themeColor="text1"/>
          <w:lang w:val="en-US" w:eastAsia="zh-CN"/>
          <w14:textFill>
            <w14:solidFill>
              <w14:schemeClr w14:val="tx1"/>
            </w14:solidFill>
          </w14:textFill>
        </w:rPr>
        <w:t>11.2.1</w:t>
      </w:r>
      <w:r>
        <w:rPr>
          <w:rFonts w:hint="eastAsia" w:ascii="Times New Roman" w:hAnsi="Times New Roman"/>
          <w:bCs/>
          <w:color w:val="000000" w:themeColor="text1"/>
          <w14:textFill>
            <w14:solidFill>
              <w14:schemeClr w14:val="tx1"/>
            </w14:solidFill>
          </w14:textFill>
        </w:rPr>
        <w:t>确定。</w:t>
      </w:r>
    </w:p>
    <w:p>
      <w:pPr>
        <w:widowControl w:val="0"/>
        <w:spacing w:line="480" w:lineRule="exact"/>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表</w:t>
      </w:r>
      <w:r>
        <w:rPr>
          <w:rFonts w:hint="eastAsia" w:ascii="Times New Roman" w:hAnsi="Times New Roman"/>
          <w:b/>
          <w:bCs/>
          <w:color w:val="000000" w:themeColor="text1"/>
          <w:sz w:val="21"/>
          <w:szCs w:val="21"/>
          <w:lang w:val="en-US" w:eastAsia="zh-CN"/>
          <w14:textFill>
            <w14:solidFill>
              <w14:schemeClr w14:val="tx1"/>
            </w14:solidFill>
          </w14:textFill>
        </w:rPr>
        <w:t>11.2.1</w:t>
      </w:r>
      <w:r>
        <w:rPr>
          <w:rFonts w:hint="eastAsia" w:ascii="Times New Roman" w:hAnsi="Times New Roman"/>
          <w:b/>
          <w:bCs/>
          <w:color w:val="000000" w:themeColor="text1"/>
          <w:sz w:val="21"/>
          <w:szCs w:val="21"/>
          <w14:textFill>
            <w14:solidFill>
              <w14:schemeClr w14:val="tx1"/>
            </w14:solidFill>
          </w14:textFill>
        </w:rPr>
        <w:t xml:space="preserve">    边坡坡率允许值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00"/>
        <w:gridCol w:w="174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岩土类别</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岩土性状</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坑深在5m之内</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坑深5m～10m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杂填土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中密-密实</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1：0.75～1：1.00</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黄土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黄土状土（Q</w:t>
            </w:r>
            <w:r>
              <w:rPr>
                <w:rFonts w:hint="eastAsia" w:ascii="Times New Roman" w:hAnsi="Times New Roman"/>
                <w:bCs/>
                <w:color w:val="000000" w:themeColor="text1"/>
                <w:sz w:val="21"/>
                <w:szCs w:val="21"/>
                <w:vertAlign w:val="subscript"/>
                <w14:textFill>
                  <w14:solidFill>
                    <w14:schemeClr w14:val="tx1"/>
                  </w14:solidFill>
                </w14:textFill>
              </w:rPr>
              <w:t>4</w:t>
            </w:r>
            <w:r>
              <w:rPr>
                <w:rFonts w:hint="eastAsia" w:ascii="Times New Roman" w:hAnsi="Times New Roman"/>
                <w:bCs/>
                <w:color w:val="000000" w:themeColor="text1"/>
                <w:sz w:val="21"/>
                <w:szCs w:val="21"/>
                <w14:textFill>
                  <w14:solidFill>
                    <w14:schemeClr w14:val="tx1"/>
                  </w14:solidFill>
                </w14:textFill>
              </w:rPr>
              <w:t>）</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马兰黄土（Q</w:t>
            </w:r>
            <w:r>
              <w:rPr>
                <w:rFonts w:hint="eastAsia" w:ascii="Times New Roman" w:hAnsi="Times New Roman"/>
                <w:bCs/>
                <w:color w:val="000000" w:themeColor="text1"/>
                <w:sz w:val="21"/>
                <w:szCs w:val="21"/>
                <w:vertAlign w:val="subscript"/>
                <w14:textFill>
                  <w14:solidFill>
                    <w14:schemeClr w14:val="tx1"/>
                  </w14:solidFill>
                </w14:textFill>
              </w:rPr>
              <w:t>3</w:t>
            </w:r>
            <w:r>
              <w:rPr>
                <w:rFonts w:hint="eastAsia" w:ascii="Times New Roman" w:hAnsi="Times New Roman"/>
                <w:bCs/>
                <w:color w:val="000000" w:themeColor="text1"/>
                <w:sz w:val="21"/>
                <w:szCs w:val="21"/>
                <w14:textFill>
                  <w14:solidFill>
                    <w14:schemeClr w14:val="tx1"/>
                  </w14:solidFill>
                </w14:textFill>
              </w:rPr>
              <w:t>）</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离石黄土（Q</w:t>
            </w:r>
            <w:r>
              <w:rPr>
                <w:rFonts w:hint="eastAsia" w:ascii="Times New Roman" w:hAnsi="Times New Roman"/>
                <w:bCs/>
                <w:color w:val="000000" w:themeColor="text1"/>
                <w:sz w:val="21"/>
                <w:szCs w:val="21"/>
                <w:vertAlign w:val="subscript"/>
                <w14:textFill>
                  <w14:solidFill>
                    <w14:schemeClr w14:val="tx1"/>
                  </w14:solidFill>
                </w14:textFill>
              </w:rPr>
              <w:t>2</w:t>
            </w:r>
            <w:r>
              <w:rPr>
                <w:rFonts w:hint="eastAsia" w:ascii="Times New Roman" w:hAnsi="Times New Roman"/>
                <w:bCs/>
                <w:color w:val="000000" w:themeColor="text1"/>
                <w:sz w:val="21"/>
                <w:szCs w:val="21"/>
                <w14:textFill>
                  <w14:solidFill>
                    <w14:schemeClr w14:val="tx1"/>
                  </w14:solidFill>
                </w14:textFill>
              </w:rPr>
              <w:t>）</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午城黄土（Q</w:t>
            </w:r>
            <w:r>
              <w:rPr>
                <w:rFonts w:hint="eastAsia" w:ascii="Times New Roman" w:hAnsi="Times New Roman"/>
                <w:bCs/>
                <w:color w:val="000000" w:themeColor="text1"/>
                <w:sz w:val="21"/>
                <w:szCs w:val="21"/>
                <w:vertAlign w:val="subscript"/>
                <w14:textFill>
                  <w14:solidFill>
                    <w14:schemeClr w14:val="tx1"/>
                  </w14:solidFill>
                </w14:textFill>
              </w:rPr>
              <w:t>1</w:t>
            </w:r>
            <w:r>
              <w:rPr>
                <w:rFonts w:hint="eastAsia" w:ascii="Times New Roman" w:hAnsi="Times New Roman"/>
                <w:bCs/>
                <w:color w:val="000000" w:themeColor="text1"/>
                <w:sz w:val="21"/>
                <w:szCs w:val="21"/>
                <w14:textFill>
                  <w14:solidFill>
                    <w14:schemeClr w14:val="tx1"/>
                  </w14:solidFill>
                </w14:textFill>
              </w:rPr>
              <w:t>）</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1：0.50～1：0.75</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1：0.30～1：0.50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1：0.20～1：0.30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1：0.10～1：0.20</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1：0.75～1：1.00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1：0.50～1：0.75</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1：0.30～1：0.50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1：0.20～1：0.30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粉土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稍湿</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1：1.00～1：1.25</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1：1.25～1：1.50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黏性土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坚硬</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硬塑</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可塑</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1：0.75～1：1.00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1：1.00～1：1.25</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1：1.25～1：1.50</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1：1.00～1：1.25</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1：1.25～1：1.50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1：1.50～1：1.75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砂土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自然休止角</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（内摩擦角）</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碎石土（填充物为坚硬、硬塑状态的黏性土、粉土）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密实</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中密</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稍密</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1：0.35～1：0.50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1：0.50～1：0.75</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1：0.75～1：1.00</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1：0.50～1：0.75</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1：0.75～1：1.00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1：1.00～1：1.25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碎石土</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（充填物为砂土）</w:t>
            </w:r>
          </w:p>
        </w:tc>
        <w:tc>
          <w:tcPr>
            <w:tcW w:w="1800"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密实</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中密</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稍密</w:t>
            </w:r>
          </w:p>
        </w:tc>
        <w:tc>
          <w:tcPr>
            <w:tcW w:w="1744"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1：1.00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1：1.40</w:t>
            </w:r>
          </w:p>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1：1.60</w:t>
            </w:r>
          </w:p>
        </w:tc>
        <w:tc>
          <w:tcPr>
            <w:tcW w:w="1701" w:type="dxa"/>
            <w:vAlign w:val="center"/>
          </w:tcPr>
          <w:p>
            <w:pPr>
              <w:widowControl w:val="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p>
        </w:tc>
      </w:tr>
    </w:tbl>
    <w:p>
      <w:pPr>
        <w:widowControl w:val="0"/>
        <w:spacing w:line="480" w:lineRule="exact"/>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 xml:space="preserve">11.2.2 </w:t>
      </w:r>
      <w:r>
        <w:rPr>
          <w:rFonts w:hint="eastAsia" w:ascii="Times New Roman" w:hAnsi="Times New Roman"/>
          <w:bCs/>
          <w:color w:val="000000" w:themeColor="text1"/>
          <w14:textFill>
            <w14:solidFill>
              <w14:schemeClr w14:val="tx1"/>
            </w14:solidFill>
          </w14:textFill>
        </w:rPr>
        <w:t>对应进行边坡整体稳定性验算的边坡，当不满足稳定性要求时，应进行有效加固及支护处理。</w:t>
      </w:r>
    </w:p>
    <w:p>
      <w:pPr>
        <w:pStyle w:val="3"/>
        <w:bidi w:val="0"/>
        <w:rPr>
          <w:rFonts w:hint="eastAsia"/>
          <w:lang w:val="en-US" w:eastAsia="zh-CN"/>
        </w:rPr>
      </w:pPr>
      <w:bookmarkStart w:id="714" w:name="_Toc27060"/>
      <w:bookmarkStart w:id="715" w:name="_Toc17612"/>
      <w:r>
        <w:rPr>
          <w:rFonts w:hint="eastAsia"/>
          <w:lang w:val="en-US" w:eastAsia="zh-CN"/>
        </w:rPr>
        <w:t>11.3   施 工</w:t>
      </w:r>
      <w:bookmarkEnd w:id="714"/>
      <w:bookmarkEnd w:id="715"/>
    </w:p>
    <w:p>
      <w:pPr>
        <w:widowControl w:val="0"/>
        <w:spacing w:line="480" w:lineRule="exact"/>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11.3</w:t>
      </w:r>
      <w:r>
        <w:rPr>
          <w:rFonts w:hint="eastAsia" w:ascii="Times New Roman" w:hAnsi="Times New Roman"/>
          <w:b/>
          <w:color w:val="000000" w:themeColor="text1"/>
          <w:szCs w:val="24"/>
          <w14:textFill>
            <w14:solidFill>
              <w14:schemeClr w14:val="tx1"/>
            </w14:solidFill>
          </w14:textFill>
        </w:rPr>
        <w:t>.</w:t>
      </w:r>
      <w:r>
        <w:rPr>
          <w:rFonts w:hint="eastAsia" w:ascii="Times New Roman" w:hAnsi="Times New Roman"/>
          <w:b/>
          <w:color w:val="000000" w:themeColor="text1"/>
          <w:szCs w:val="24"/>
          <w:lang w:val="en-US" w:eastAsia="zh-CN"/>
          <w14:textFill>
            <w14:solidFill>
              <w14:schemeClr w14:val="tx1"/>
            </w14:solidFill>
          </w14:textFill>
        </w:rPr>
        <w:t>1</w:t>
      </w:r>
      <w:r>
        <w:rPr>
          <w:rFonts w:hint="eastAsia" w:ascii="Times New Roman" w:hAnsi="Times New Roman"/>
          <w:bCs/>
          <w:color w:val="000000" w:themeColor="text1"/>
          <w14:textFill>
            <w14:solidFill>
              <w14:schemeClr w14:val="tx1"/>
            </w14:solidFill>
          </w14:textFill>
        </w:rPr>
        <w:t xml:space="preserve"> 在基坑周围影响边坡稳定的范围内，应对地面采取防水、截水等保护措施，防止地表水浸入，影响边坡土体稳定。</w:t>
      </w:r>
    </w:p>
    <w:p>
      <w:pPr>
        <w:widowControl w:val="0"/>
        <w:spacing w:line="480" w:lineRule="exact"/>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11.3.2</w:t>
      </w:r>
      <w:r>
        <w:rPr>
          <w:rFonts w:hint="eastAsia" w:ascii="Times New Roman" w:hAnsi="Times New Roman"/>
          <w:bCs/>
          <w:color w:val="000000" w:themeColor="text1"/>
          <w14:textFill>
            <w14:solidFill>
              <w14:schemeClr w14:val="tx1"/>
            </w14:solidFill>
          </w14:textFill>
        </w:rPr>
        <w:t xml:space="preserve"> 在基础外侧，宜设不透水的排水沟和集水坑，如有积水应及时排出。</w:t>
      </w:r>
    </w:p>
    <w:p>
      <w:pPr>
        <w:widowControl w:val="0"/>
        <w:spacing w:line="480" w:lineRule="exact"/>
        <w:rPr>
          <w:rFonts w:hint="eastAsia" w:ascii="Times New Roman" w:hAnsi="Times New Roman" w:eastAsia="宋体"/>
          <w:bCs/>
          <w:color w:val="000000" w:themeColor="text1"/>
          <w:lang w:eastAsia="zh-CN"/>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11.3.3</w:t>
      </w:r>
      <w:r>
        <w:rPr>
          <w:rFonts w:hint="eastAsia" w:ascii="Times New Roman" w:hAnsi="Times New Roman"/>
          <w:bCs/>
          <w:color w:val="000000" w:themeColor="text1"/>
          <w14:textFill>
            <w14:solidFill>
              <w14:schemeClr w14:val="tx1"/>
            </w14:solidFill>
          </w14:textFill>
        </w:rPr>
        <w:t xml:space="preserve"> 放坡开挖的基坑，坡面应采取护坡措施，护坡应符合下列要求</w:t>
      </w:r>
      <w:r>
        <w:rPr>
          <w:rFonts w:hint="eastAsia" w:ascii="Times New Roman" w:hAnsi="Times New Roman"/>
          <w:bCs/>
          <w:color w:val="000000" w:themeColor="text1"/>
          <w:lang w:eastAsia="zh-CN"/>
          <w14:textFill>
            <w14:solidFill>
              <w14:schemeClr w14:val="tx1"/>
            </w14:solidFill>
          </w14:textFill>
        </w:rPr>
        <w:t>：</w:t>
      </w:r>
    </w:p>
    <w:p>
      <w:pPr>
        <w:widowControl w:val="0"/>
        <w:spacing w:line="480" w:lineRule="exact"/>
        <w:ind w:firstLine="48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1 护坡</w:t>
      </w:r>
      <w:r>
        <w:rPr>
          <w:rFonts w:hint="eastAsia" w:ascii="Times New Roman" w:hAnsi="Times New Roman"/>
          <w:bCs/>
          <w:color w:val="000000" w:themeColor="text1"/>
          <w:lang w:val="en-US" w:eastAsia="zh-CN"/>
          <w14:textFill>
            <w14:solidFill>
              <w14:schemeClr w14:val="tx1"/>
            </w14:solidFill>
          </w14:textFill>
        </w:rPr>
        <w:t>可</w:t>
      </w:r>
      <w:r>
        <w:rPr>
          <w:rFonts w:hint="eastAsia" w:ascii="Times New Roman" w:hAnsi="Times New Roman"/>
          <w:bCs/>
          <w:color w:val="000000" w:themeColor="text1"/>
          <w14:textFill>
            <w14:solidFill>
              <w14:schemeClr w14:val="tx1"/>
            </w14:solidFill>
          </w14:textFill>
        </w:rPr>
        <w:t>采用现浇钢筋混凝土面层，也可采用</w:t>
      </w:r>
      <w:r>
        <w:rPr>
          <w:rFonts w:hint="eastAsia" w:ascii="Times New Roman" w:hAnsi="Times New Roman"/>
          <w:bCs/>
          <w:color w:val="000000" w:themeColor="text1"/>
          <w:lang w:val="en-US" w:eastAsia="zh-CN"/>
          <w14:textFill>
            <w14:solidFill>
              <w14:schemeClr w14:val="tx1"/>
            </w14:solidFill>
          </w14:textFill>
        </w:rPr>
        <w:t>钢筋</w:t>
      </w:r>
      <w:r>
        <w:rPr>
          <w:rFonts w:hint="eastAsia" w:ascii="Times New Roman" w:hAnsi="Times New Roman"/>
          <w:bCs/>
          <w:color w:val="000000" w:themeColor="text1"/>
          <w14:textFill>
            <w14:solidFill>
              <w14:schemeClr w14:val="tx1"/>
            </w14:solidFill>
          </w14:textFill>
        </w:rPr>
        <w:t>网喷射混凝土等方式；</w:t>
      </w:r>
    </w:p>
    <w:p>
      <w:pPr>
        <w:widowControl w:val="0"/>
        <w:spacing w:line="480" w:lineRule="exact"/>
        <w:ind w:firstLine="48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2 护坡与坡体间宜设置垂直于坡面的插筋，插筋长度不宜小于0.5m，间距不宜大于1m；</w:t>
      </w:r>
    </w:p>
    <w:p>
      <w:pPr>
        <w:widowControl w:val="0"/>
        <w:spacing w:line="480" w:lineRule="exact"/>
        <w:ind w:firstLine="48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3 护坡面层宜扩展至坡顶和坡脚一定的距离，坡顶可与施工道路相连，坡脚可与垫层相连；</w:t>
      </w:r>
    </w:p>
    <w:p>
      <w:pPr>
        <w:widowControl w:val="0"/>
        <w:spacing w:line="480" w:lineRule="exact"/>
        <w:ind w:firstLine="480" w:firstLineChars="200"/>
        <w:rPr>
          <w:rFonts w:hint="eastAsia" w:ascii="Times New Roman" w:hAnsi="Times New Roman"/>
          <w:bCs/>
          <w:color w:val="000000" w:themeColor="text1"/>
          <w:lang w:eastAsia="zh-CN"/>
          <w14:textFill>
            <w14:solidFill>
              <w14:schemeClr w14:val="tx1"/>
            </w14:solidFill>
          </w14:textFill>
        </w:rPr>
      </w:pPr>
      <w:r>
        <w:rPr>
          <w:rFonts w:hint="eastAsia" w:ascii="Times New Roman" w:hAnsi="Times New Roman"/>
          <w:bCs/>
          <w:color w:val="000000" w:themeColor="text1"/>
          <w14:textFill>
            <w14:solidFill>
              <w14:schemeClr w14:val="tx1"/>
            </w14:solidFill>
          </w14:textFill>
        </w:rPr>
        <w:t>4 现浇钢筋混凝土和</w:t>
      </w:r>
      <w:r>
        <w:rPr>
          <w:rFonts w:hint="eastAsia" w:ascii="Times New Roman" w:hAnsi="Times New Roman"/>
          <w:bCs/>
          <w:color w:val="000000" w:themeColor="text1"/>
          <w:lang w:val="en-US" w:eastAsia="zh-CN"/>
          <w14:textFill>
            <w14:solidFill>
              <w14:schemeClr w14:val="tx1"/>
            </w14:solidFill>
          </w14:textFill>
        </w:rPr>
        <w:t>钢筋</w:t>
      </w:r>
      <w:r>
        <w:rPr>
          <w:rFonts w:hint="eastAsia" w:ascii="Times New Roman" w:hAnsi="Times New Roman"/>
          <w:bCs/>
          <w:color w:val="000000" w:themeColor="text1"/>
          <w14:textFill>
            <w14:solidFill>
              <w14:schemeClr w14:val="tx1"/>
            </w14:solidFill>
          </w14:textFill>
        </w:rPr>
        <w:t>网喷射混凝土护坡面层的厚度不宜小于</w:t>
      </w:r>
      <w:r>
        <w:rPr>
          <w:rFonts w:hint="eastAsia" w:ascii="Times New Roman" w:hAnsi="Times New Roman"/>
          <w:bCs/>
          <w:color w:val="000000" w:themeColor="text1"/>
          <w:lang w:val="en-US" w:eastAsia="zh-CN"/>
          <w14:textFill>
            <w14:solidFill>
              <w14:schemeClr w14:val="tx1"/>
            </w14:solidFill>
          </w14:textFill>
        </w:rPr>
        <w:t>6</w:t>
      </w:r>
      <w:r>
        <w:rPr>
          <w:rFonts w:hint="eastAsia" w:ascii="Times New Roman" w:hAnsi="Times New Roman"/>
          <w:bCs/>
          <w:color w:val="000000" w:themeColor="text1"/>
          <w14:textFill>
            <w14:solidFill>
              <w14:schemeClr w14:val="tx1"/>
            </w14:solidFill>
          </w14:textFill>
        </w:rPr>
        <w:t>0mm，混凝土强度等级不宜低于C20；面层钢筋应双向设置，钢筋直径不宜小于6mm，间距不宜大于250mm</w:t>
      </w:r>
      <w:r>
        <w:rPr>
          <w:rFonts w:hint="eastAsia" w:ascii="Times New Roman" w:hAnsi="Times New Roman"/>
          <w:bCs/>
          <w:color w:val="000000" w:themeColor="text1"/>
          <w:lang w:eastAsia="zh-CN"/>
          <w14:textFill>
            <w14:solidFill>
              <w14:schemeClr w14:val="tx1"/>
            </w14:solidFill>
          </w14:textFill>
        </w:rPr>
        <w:t>。</w:t>
      </w:r>
    </w:p>
    <w:p>
      <w:pPr>
        <w:widowControl w:val="0"/>
        <w:spacing w:line="480" w:lineRule="exact"/>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11.3.4</w:t>
      </w:r>
      <w:r>
        <w:rPr>
          <w:rFonts w:hint="eastAsia" w:ascii="Times New Roman" w:hAnsi="Times New Roman"/>
          <w:bCs/>
          <w:color w:val="000000" w:themeColor="text1"/>
          <w14:textFill>
            <w14:solidFill>
              <w14:schemeClr w14:val="tx1"/>
            </w14:solidFill>
          </w14:textFill>
        </w:rPr>
        <w:t xml:space="preserve"> 在基坑周边堆置土方、建筑材料、或设置运输通道，距基坑上口边线不宜小于2.0m，弃土堆置高度不应超过1.5m，并且不能超过设计规定。</w:t>
      </w:r>
    </w:p>
    <w:p>
      <w:pPr>
        <w:widowControl w:val="0"/>
        <w:spacing w:line="480" w:lineRule="exact"/>
        <w:rPr>
          <w:rFonts w:hint="eastAsia" w:ascii="Times New Roman" w:hAnsi="Times New Roman"/>
          <w:bCs/>
          <w:color w:val="000000" w:themeColor="text1"/>
          <w:lang w:val="en-US" w:eastAsia="zh-CN"/>
          <w14:textFill>
            <w14:solidFill>
              <w14:schemeClr w14:val="tx1"/>
            </w14:solidFill>
          </w14:textFill>
        </w:rPr>
      </w:pPr>
      <w:r>
        <w:rPr>
          <w:rFonts w:hint="eastAsia" w:ascii="Times New Roman" w:hAnsi="Times New Roman"/>
          <w:b/>
          <w:color w:val="000000" w:themeColor="text1"/>
          <w:szCs w:val="24"/>
          <w:lang w:val="en-US" w:eastAsia="zh-CN"/>
          <w14:textFill>
            <w14:solidFill>
              <w14:schemeClr w14:val="tx1"/>
            </w14:solidFill>
          </w14:textFill>
        </w:rPr>
        <w:t>11.3.5</w:t>
      </w:r>
      <w:r>
        <w:rPr>
          <w:rFonts w:hint="eastAsia"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在基坑开挖和使用期间，应对边坡位移和沉降进行观测，当边坡有失稳迹象时，应及时采取坡脚反压、坡顶卸荷或其他有效措施。</w:t>
      </w:r>
      <w:bookmarkEnd w:id="701"/>
      <w:bookmarkEnd w:id="702"/>
      <w:bookmarkEnd w:id="703"/>
      <w:bookmarkEnd w:id="704"/>
      <w:bookmarkEnd w:id="705"/>
      <w:bookmarkEnd w:id="706"/>
      <w:bookmarkEnd w:id="707"/>
      <w:bookmarkEnd w:id="708"/>
      <w:bookmarkEnd w:id="709"/>
      <w:bookmarkEnd w:id="710"/>
      <w:bookmarkEnd w:id="711"/>
    </w:p>
    <w:p>
      <w:pPr>
        <w:rPr>
          <w:rFonts w:hint="eastAsia"/>
          <w:lang w:val="en-US" w:eastAsia="zh-CN"/>
        </w:rPr>
      </w:pPr>
      <w:r>
        <w:rPr>
          <w:rFonts w:hint="eastAsia"/>
          <w:lang w:val="en-US" w:eastAsia="zh-CN"/>
        </w:rPr>
        <w:br w:type="page"/>
      </w:r>
    </w:p>
    <w:p>
      <w:pPr>
        <w:pStyle w:val="2"/>
        <w:bidi w:val="0"/>
        <w:rPr>
          <w:rFonts w:hint="default" w:ascii="Times New Roman" w:hAnsi="Times New Roman" w:eastAsia="黑体"/>
          <w:color w:val="000000" w:themeColor="text1"/>
          <w:lang w:val="en-US" w:eastAsia="zh-CN"/>
          <w14:textFill>
            <w14:solidFill>
              <w14:schemeClr w14:val="tx1"/>
            </w14:solidFill>
          </w14:textFill>
        </w:rPr>
      </w:pPr>
      <w:bookmarkStart w:id="716" w:name="_Toc3749"/>
      <w:bookmarkStart w:id="717" w:name="_Toc28266"/>
      <w:r>
        <w:rPr>
          <w:rFonts w:hint="eastAsia" w:ascii="Times New Roman" w:hAnsi="Times New Roman"/>
          <w:color w:val="000000" w:themeColor="text1"/>
          <w:lang w:val="en-US" w:eastAsia="zh-CN"/>
          <w14:textFill>
            <w14:solidFill>
              <w14:schemeClr w14:val="tx1"/>
            </w14:solidFill>
          </w14:textFill>
        </w:rPr>
        <w:t>12</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s="宋体"/>
          <w:color w:val="000000" w:themeColor="text1"/>
          <w:lang w:val="en-US" w:eastAsia="zh-CN"/>
          <w14:textFill>
            <w14:solidFill>
              <w14:schemeClr w14:val="tx1"/>
            </w14:solidFill>
          </w14:textFill>
        </w:rPr>
        <w:t>土体加固</w:t>
      </w:r>
      <w:bookmarkEnd w:id="716"/>
      <w:bookmarkEnd w:id="717"/>
    </w:p>
    <w:p>
      <w:pPr>
        <w:widowControl w:val="0"/>
        <w:spacing w:line="480" w:lineRule="exact"/>
        <w:rPr>
          <w:rFonts w:ascii="Times New Roman" w:hAnsi="Times New Roman" w:eastAsia="宋体" w:cs="Times New Roman"/>
          <w:sz w:val="24"/>
          <w:szCs w:val="24"/>
        </w:rPr>
      </w:pPr>
      <w:r>
        <w:rPr>
          <w:rFonts w:hint="eastAsia" w:ascii="Times New Roman" w:hAnsi="Times New Roman" w:eastAsia="宋体" w:cs="Times New Roman"/>
          <w:b/>
          <w:sz w:val="24"/>
        </w:rPr>
        <w:t xml:space="preserve">12.0.1 </w:t>
      </w:r>
      <w:r>
        <w:rPr>
          <w:rFonts w:hint="eastAsia" w:ascii="Times New Roman" w:hAnsi="Times New Roman" w:eastAsia="宋体" w:cs="Times New Roman"/>
          <w:sz w:val="24"/>
          <w:szCs w:val="24"/>
        </w:rPr>
        <w:t>为提高土体强度和降低基坑外土体变形，确保基坑自身的安全和基坑周边环境安全，可在基坑开挖前或开挖过程中对土体进行加固，加固范围涉及基坑内、基坑外两部分。</w:t>
      </w:r>
    </w:p>
    <w:p>
      <w:pPr>
        <w:widowControl w:val="0"/>
        <w:spacing w:line="480" w:lineRule="exact"/>
        <w:rPr>
          <w:rFonts w:ascii="Times New Roman" w:hAnsi="Times New Roman" w:eastAsia="宋体" w:cs="Times New Roman"/>
          <w:bCs/>
          <w:sz w:val="24"/>
        </w:rPr>
      </w:pPr>
      <w:bookmarkStart w:id="718" w:name="_Toc16830"/>
      <w:bookmarkStart w:id="719" w:name="_Toc9356"/>
      <w:r>
        <w:rPr>
          <w:rFonts w:hint="eastAsia" w:ascii="Times New Roman" w:hAnsi="Times New Roman" w:eastAsia="宋体" w:cs="Times New Roman"/>
          <w:b/>
          <w:sz w:val="24"/>
        </w:rPr>
        <w:t xml:space="preserve">12.0.2 </w:t>
      </w:r>
      <w:r>
        <w:rPr>
          <w:rFonts w:hint="eastAsia" w:ascii="Times New Roman" w:hAnsi="Times New Roman" w:eastAsia="宋体" w:cs="Times New Roman"/>
          <w:bCs/>
          <w:sz w:val="24"/>
        </w:rPr>
        <w:t>在确定土体加固方案之前，应具备以下资料：</w:t>
      </w:r>
      <w:bookmarkEnd w:id="718"/>
      <w:bookmarkEnd w:id="719"/>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1岩土工程勘察报告、周边环境条件、周围地下管线、地下障碍物、既有建筑物基础资料；</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基坑支护设计要求变形控制指标；</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既有建筑物及周边环境检测监测结果；</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 场地施工条件。</w:t>
      </w:r>
    </w:p>
    <w:p>
      <w:pPr>
        <w:widowControl w:val="0"/>
        <w:spacing w:line="480" w:lineRule="exact"/>
        <w:rPr>
          <w:rFonts w:ascii="Times New Roman" w:hAnsi="Times New Roman" w:eastAsia="宋体" w:cs="Times New Roman"/>
          <w:bCs/>
          <w:sz w:val="24"/>
        </w:rPr>
      </w:pPr>
      <w:bookmarkStart w:id="720" w:name="_Toc4607"/>
      <w:bookmarkStart w:id="721" w:name="_Toc15079"/>
      <w:r>
        <w:rPr>
          <w:rFonts w:hint="eastAsia" w:ascii="Times New Roman" w:hAnsi="Times New Roman" w:eastAsia="宋体" w:cs="Times New Roman"/>
          <w:b/>
          <w:sz w:val="24"/>
        </w:rPr>
        <w:t xml:space="preserve">12.0.3 </w:t>
      </w:r>
      <w:r>
        <w:rPr>
          <w:rFonts w:hint="eastAsia" w:ascii="Times New Roman" w:hAnsi="Times New Roman" w:eastAsia="宋体" w:cs="Times New Roman"/>
          <w:bCs/>
          <w:sz w:val="24"/>
        </w:rPr>
        <w:t>加固方案确定应综合考虑以下因素：</w:t>
      </w:r>
      <w:bookmarkEnd w:id="720"/>
      <w:bookmarkEnd w:id="721"/>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1 </w:t>
      </w:r>
      <w:r>
        <w:rPr>
          <w:rFonts w:hint="eastAsia" w:ascii="Times New Roman" w:hAnsi="Times New Roman" w:eastAsia="宋体" w:cs="Times New Roman"/>
          <w:sz w:val="24"/>
          <w:szCs w:val="24"/>
        </w:rPr>
        <w:t>工程地质及水文地质条件；</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基坑稳定和变形控制要求；</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基坑支护结构类型；</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4 </w:t>
      </w:r>
      <w:r>
        <w:rPr>
          <w:rFonts w:hint="eastAsia" w:ascii="Times New Roman" w:hAnsi="Times New Roman" w:eastAsia="宋体" w:cs="Times New Roman"/>
          <w:sz w:val="24"/>
          <w:szCs w:val="24"/>
        </w:rPr>
        <w:t>加固目的和加固时间；</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5 </w:t>
      </w:r>
      <w:r>
        <w:rPr>
          <w:rFonts w:hint="eastAsia" w:ascii="Times New Roman" w:hAnsi="Times New Roman" w:eastAsia="宋体" w:cs="Times New Roman"/>
          <w:sz w:val="24"/>
          <w:szCs w:val="24"/>
        </w:rPr>
        <w:t>环境保护要求；</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6 </w:t>
      </w:r>
      <w:r>
        <w:rPr>
          <w:rFonts w:hint="eastAsia" w:ascii="Times New Roman" w:hAnsi="Times New Roman" w:eastAsia="宋体" w:cs="Times New Roman"/>
          <w:sz w:val="24"/>
          <w:szCs w:val="24"/>
        </w:rPr>
        <w:t>现场条件及施工要求；</w:t>
      </w:r>
    </w:p>
    <w:p>
      <w:pPr>
        <w:widowControl w:val="0"/>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7 </w:t>
      </w:r>
      <w:r>
        <w:rPr>
          <w:rFonts w:hint="eastAsia" w:ascii="Times New Roman" w:hAnsi="Times New Roman" w:eastAsia="宋体" w:cs="Times New Roman"/>
          <w:sz w:val="24"/>
          <w:szCs w:val="24"/>
        </w:rPr>
        <w:t>加固施工过程中产生的附加应力。</w:t>
      </w:r>
    </w:p>
    <w:p>
      <w:pPr>
        <w:widowControl w:val="0"/>
        <w:spacing w:line="480" w:lineRule="exact"/>
        <w:rPr>
          <w:rFonts w:ascii="Times New Roman" w:hAnsi="Times New Roman" w:eastAsia="宋体" w:cs="Times New Roman"/>
          <w:bCs/>
          <w:sz w:val="24"/>
        </w:rPr>
      </w:pPr>
      <w:bookmarkStart w:id="722" w:name="_Toc28542"/>
      <w:r>
        <w:rPr>
          <w:rFonts w:hint="eastAsia" w:ascii="Times New Roman" w:hAnsi="Times New Roman" w:eastAsia="宋体" w:cs="Times New Roman"/>
          <w:b/>
          <w:sz w:val="24"/>
        </w:rPr>
        <w:t xml:space="preserve">12.0.4 </w:t>
      </w:r>
      <w:r>
        <w:rPr>
          <w:rFonts w:hint="eastAsia" w:ascii="Times New Roman" w:hAnsi="Times New Roman" w:eastAsia="宋体" w:cs="Times New Roman"/>
          <w:bCs/>
          <w:sz w:val="24"/>
        </w:rPr>
        <w:t>基坑内土体加固宜按下列原则进行：</w:t>
      </w:r>
      <w:bookmarkEnd w:id="722"/>
    </w:p>
    <w:p>
      <w:pPr>
        <w:widowControl w:val="0"/>
        <w:spacing w:line="480" w:lineRule="exact"/>
        <w:ind w:firstLine="480" w:firstLineChars="200"/>
        <w:rPr>
          <w:rFonts w:ascii="Times New Roman" w:hAnsi="Times New Roman" w:eastAsia="宋体" w:cs="Times New Roman"/>
          <w:sz w:val="24"/>
          <w:szCs w:val="24"/>
        </w:rPr>
      </w:pPr>
      <w:bookmarkStart w:id="723" w:name="_Toc9707"/>
      <w:bookmarkStart w:id="724" w:name="_Toc23663"/>
      <w:r>
        <w:rPr>
          <w:rFonts w:hint="eastAsia" w:ascii="Times New Roman" w:hAnsi="Times New Roman" w:eastAsia="宋体" w:cs="Times New Roman"/>
          <w:sz w:val="24"/>
          <w:szCs w:val="24"/>
        </w:rPr>
        <w:t>1 基坑内土体加固后应达到减少隆起和渗流稳定的目的；</w:t>
      </w:r>
      <w:bookmarkEnd w:id="723"/>
      <w:bookmarkEnd w:id="724"/>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基坑内土体加固可采用搅拌、高压旋喷、注浆、降水等方法；加固平面布置形式可采用满堂式、格栅式、裙边式、抽条式、墩式、墙肋式等；</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3加固范围应结合基坑支护设计、拟建建筑物地基处理方法和基础形式综合考虑。可整体加固或局部加固。局部加固时，宽度和深度按稳定性和变形计算要求确定。</w:t>
      </w:r>
    </w:p>
    <w:p>
      <w:pPr>
        <w:widowControl w:val="0"/>
        <w:spacing w:line="480" w:lineRule="exact"/>
        <w:rPr>
          <w:rFonts w:ascii="Times New Roman" w:hAnsi="Times New Roman" w:eastAsia="宋体" w:cs="Times New Roman"/>
          <w:bCs/>
          <w:sz w:val="24"/>
        </w:rPr>
      </w:pPr>
      <w:bookmarkStart w:id="725" w:name="_Toc17924"/>
      <w:bookmarkStart w:id="726" w:name="_Toc10459"/>
      <w:r>
        <w:rPr>
          <w:rFonts w:hint="eastAsia" w:ascii="Times New Roman" w:hAnsi="Times New Roman" w:eastAsia="宋体" w:cs="Times New Roman"/>
          <w:b/>
          <w:sz w:val="24"/>
        </w:rPr>
        <w:t xml:space="preserve">12.0.5 </w:t>
      </w:r>
      <w:r>
        <w:rPr>
          <w:rFonts w:hint="eastAsia" w:ascii="Times New Roman" w:hAnsi="Times New Roman" w:eastAsia="宋体" w:cs="Times New Roman"/>
          <w:bCs/>
          <w:sz w:val="24"/>
        </w:rPr>
        <w:t>基坑外土体加固宜按下列原则进行：</w:t>
      </w:r>
      <w:bookmarkEnd w:id="725"/>
      <w:bookmarkEnd w:id="726"/>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1基坑外土体加固处理目的为增强土体及周边既有建筑物稳定性，减小主动土压力；</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2基坑外土体加固范围按抗滑稳定性计算，基坑外既有建筑物的加固应结合基坑内降水影响半径考虑；</w:t>
      </w:r>
    </w:p>
    <w:p>
      <w:pPr>
        <w:widowControl w:val="0"/>
        <w:spacing w:line="4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3基坑外土体加固可采用搅拌</w:t>
      </w:r>
      <w:r>
        <w:rPr>
          <w:rFonts w:ascii="Times New Roman" w:hAnsi="Times New Roman" w:eastAsia="宋体" w:cs="Times New Roman"/>
          <w:sz w:val="24"/>
          <w:szCs w:val="24"/>
        </w:rPr>
        <w:t>、高压旋喷、</w:t>
      </w:r>
      <w:r>
        <w:rPr>
          <w:rFonts w:hint="eastAsia" w:ascii="Times New Roman" w:hAnsi="Times New Roman" w:eastAsia="宋体" w:cs="Times New Roman"/>
          <w:sz w:val="24"/>
          <w:szCs w:val="24"/>
        </w:rPr>
        <w:t>注浆</w:t>
      </w:r>
      <w:r>
        <w:rPr>
          <w:rFonts w:ascii="Times New Roman" w:hAnsi="Times New Roman" w:eastAsia="宋体" w:cs="Times New Roman"/>
          <w:sz w:val="24"/>
          <w:szCs w:val="24"/>
        </w:rPr>
        <w:t>、</w:t>
      </w:r>
      <w:r>
        <w:rPr>
          <w:rFonts w:hint="eastAsia" w:ascii="Times New Roman" w:hAnsi="Times New Roman" w:eastAsia="宋体" w:cs="Times New Roman"/>
          <w:sz w:val="24"/>
          <w:szCs w:val="24"/>
        </w:rPr>
        <w:t>微型桩等地基处理方法。</w:t>
      </w:r>
    </w:p>
    <w:p>
      <w:pPr>
        <w:widowControl w:val="0"/>
        <w:spacing w:line="480" w:lineRule="exact"/>
        <w:rPr>
          <w:rFonts w:hint="eastAsia" w:ascii="Times New Roman" w:hAnsi="Times New Roman"/>
          <w:color w:val="000000" w:themeColor="text1"/>
          <w:szCs w:val="24"/>
          <w14:textFill>
            <w14:solidFill>
              <w14:schemeClr w14:val="tx1"/>
            </w14:solidFill>
          </w14:textFill>
        </w:rPr>
      </w:pPr>
      <w:r>
        <w:rPr>
          <w:rFonts w:hint="eastAsia" w:ascii="Times New Roman" w:hAnsi="Times New Roman" w:eastAsia="宋体" w:cs="Times New Roman"/>
          <w:b/>
          <w:bCs/>
          <w:sz w:val="24"/>
          <w:szCs w:val="24"/>
        </w:rPr>
        <w:t>12.0.6</w:t>
      </w:r>
      <w:r>
        <w:rPr>
          <w:rFonts w:hint="eastAsia" w:ascii="Times New Roman" w:hAnsi="Times New Roman" w:eastAsia="宋体" w:cs="Times New Roman"/>
          <w:sz w:val="24"/>
          <w:szCs w:val="24"/>
        </w:rPr>
        <w:t xml:space="preserve"> 土体加固过程中应进行监测，包括基坑支护结构的水平位移，基坑外土体沉降、隆起和周边既有建筑物变形，确保土体加固的有效性和安全性。</w:t>
      </w:r>
    </w:p>
    <w:bookmarkEnd w:id="443"/>
    <w:p>
      <w:pPr>
        <w:rPr>
          <w:rFonts w:hint="eastAsia" w:ascii="Times New Roman" w:hAnsi="Times New Roman" w:cs="宋体"/>
          <w:strike/>
          <w:dstrike w:val="0"/>
          <w:color w:val="1552D1"/>
          <w:szCs w:val="24"/>
          <w:lang w:bidi="ar"/>
        </w:rPr>
      </w:pPr>
      <w:r>
        <w:rPr>
          <w:rFonts w:hint="eastAsia" w:ascii="Times New Roman" w:hAnsi="Times New Roman" w:cs="宋体"/>
          <w:strike/>
          <w:dstrike w:val="0"/>
          <w:color w:val="1552D1"/>
          <w:szCs w:val="24"/>
          <w:lang w:bidi="ar"/>
        </w:rPr>
        <w:br w:type="page"/>
      </w:r>
    </w:p>
    <w:p>
      <w:pPr>
        <w:pStyle w:val="2"/>
        <w:bidi w:val="0"/>
        <w:rPr>
          <w:lang w:val="en-US" w:eastAsia="zh-CN"/>
        </w:rPr>
      </w:pPr>
      <w:bookmarkStart w:id="727" w:name="_Toc14134"/>
      <w:r>
        <w:rPr>
          <w:rFonts w:hint="eastAsia"/>
          <w:lang w:val="en-US" w:eastAsia="zh-CN"/>
        </w:rPr>
        <w:t>13</w:t>
      </w:r>
      <w:r>
        <w:rPr>
          <w:lang w:val="en-US" w:eastAsia="zh-CN"/>
        </w:rPr>
        <w:t xml:space="preserve">  </w:t>
      </w:r>
      <w:r>
        <w:rPr>
          <w:rFonts w:hint="eastAsia"/>
          <w:lang w:val="en-US" w:eastAsia="zh-CN"/>
        </w:rPr>
        <w:t>地下水控制</w:t>
      </w:r>
      <w:bookmarkEnd w:id="727"/>
    </w:p>
    <w:p>
      <w:pPr>
        <w:pStyle w:val="3"/>
        <w:bidi w:val="0"/>
        <w:rPr>
          <w:lang w:val="en-US" w:eastAsia="zh-CN"/>
        </w:rPr>
      </w:pPr>
      <w:bookmarkStart w:id="728" w:name="_Toc22933"/>
      <w:r>
        <w:rPr>
          <w:rFonts w:hint="eastAsia"/>
          <w:lang w:val="en-US" w:eastAsia="zh-CN"/>
        </w:rPr>
        <w:t>13</w:t>
      </w:r>
      <w:r>
        <w:rPr>
          <w:lang w:val="en-US" w:eastAsia="zh-CN"/>
        </w:rPr>
        <w:t>.1  一般规定</w:t>
      </w:r>
      <w:bookmarkEnd w:id="728"/>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val="en-US" w:eastAsia="zh-CN" w:bidi="ar"/>
        </w:rPr>
        <w:t>13</w:t>
      </w:r>
      <w:r>
        <w:rPr>
          <w:rFonts w:ascii="Times New Roman" w:hAnsi="Times New Roman" w:eastAsia="宋体" w:cs="Times New Roman"/>
          <w:b/>
          <w:sz w:val="24"/>
          <w:szCs w:val="22"/>
          <w:lang w:bidi="ar"/>
        </w:rPr>
        <w:t xml:space="preserve">.1.1 </w:t>
      </w:r>
      <w:r>
        <w:rPr>
          <w:rFonts w:hint="eastAsia" w:ascii="Times New Roman" w:hAnsi="Times New Roman" w:eastAsia="宋体" w:cs="宋体"/>
          <w:sz w:val="24"/>
          <w:szCs w:val="24"/>
          <w:lang w:bidi="ar"/>
        </w:rPr>
        <w:t>应收集和掌握与工程有关的水文地质条件、相关含水层水位变化特点，并应根据工程需要和水文地质的特点，分析评价地下水对工程及环境的作用和影响，预测地下水对工程施工可能产生的后果并提出防治措施。</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.1.2</w:t>
      </w:r>
      <w:r>
        <w:rPr>
          <w:rFonts w:ascii="Times New Roman" w:hAnsi="Times New Roman" w:eastAsia="宋体" w:cs="Times New Roman"/>
          <w:sz w:val="24"/>
          <w:szCs w:val="24"/>
          <w:lang w:bidi="ar"/>
        </w:rPr>
        <w:t xml:space="preserve"> </w:t>
      </w:r>
      <w:r>
        <w:rPr>
          <w:rFonts w:hint="eastAsia" w:ascii="Times New Roman" w:hAnsi="Times New Roman" w:eastAsia="宋体" w:cs="宋体"/>
          <w:sz w:val="24"/>
          <w:szCs w:val="24"/>
          <w:lang w:bidi="ar"/>
        </w:rPr>
        <w:t>工程降水应收集下列资料：</w:t>
      </w:r>
    </w:p>
    <w:p>
      <w:pPr>
        <w:widowControl/>
        <w:spacing w:line="480" w:lineRule="exact"/>
        <w:ind w:firstLine="470" w:firstLineChars="196"/>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1 </w:t>
      </w:r>
      <w:r>
        <w:rPr>
          <w:rFonts w:hint="eastAsia" w:ascii="Times New Roman" w:hAnsi="Times New Roman" w:eastAsia="宋体" w:cs="宋体"/>
          <w:sz w:val="24"/>
          <w:szCs w:val="24"/>
          <w:lang w:bidi="ar"/>
        </w:rPr>
        <w:t>地层、岩性、构造、含水层与隔水层的分布、地下水类型、水质、水量、渗透系数、补给、径流、排泄条件等；</w:t>
      </w:r>
    </w:p>
    <w:p>
      <w:pPr>
        <w:widowControl/>
        <w:spacing w:line="480" w:lineRule="exact"/>
        <w:ind w:firstLine="470" w:firstLineChars="196"/>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2 </w:t>
      </w:r>
      <w:r>
        <w:rPr>
          <w:rFonts w:hint="eastAsia" w:ascii="Times New Roman" w:hAnsi="Times New Roman" w:eastAsia="宋体" w:cs="宋体"/>
          <w:sz w:val="24"/>
          <w:szCs w:val="24"/>
          <w:lang w:bidi="ar"/>
        </w:rPr>
        <w:t>周边重要建筑物地基基础情况，各种构筑物的分布以及自然景观、人文景观和市政设施的分布；</w:t>
      </w:r>
    </w:p>
    <w:p>
      <w:pPr>
        <w:widowControl/>
        <w:spacing w:line="480" w:lineRule="exact"/>
        <w:ind w:firstLine="470" w:firstLineChars="196"/>
        <w:rPr>
          <w:rFonts w:hint="eastAsia" w:ascii="Times New Roman" w:hAnsi="Times New Roman" w:eastAsia="宋体" w:cs="宋体"/>
          <w:sz w:val="24"/>
          <w:szCs w:val="24"/>
          <w:lang w:bidi="ar"/>
        </w:rPr>
      </w:pPr>
      <w:r>
        <w:rPr>
          <w:rFonts w:ascii="Times New Roman" w:hAnsi="Times New Roman" w:eastAsia="宋体" w:cs="Times New Roman"/>
          <w:sz w:val="24"/>
          <w:szCs w:val="24"/>
          <w:lang w:bidi="ar"/>
        </w:rPr>
        <w:t>3</w:t>
      </w:r>
      <w:r>
        <w:rPr>
          <w:rFonts w:hint="eastAsia" w:ascii="Times New Roman" w:hAnsi="Times New Roman" w:eastAsia="宋体" w:cs="宋体"/>
          <w:sz w:val="24"/>
          <w:szCs w:val="24"/>
          <w:lang w:bidi="ar"/>
        </w:rPr>
        <w:t>应了解历年最高水位、最低水位、地下水的流向、地下水与地表水的水力联系和补排条件；</w:t>
      </w:r>
    </w:p>
    <w:p>
      <w:pPr>
        <w:widowControl/>
        <w:spacing w:line="480" w:lineRule="exact"/>
        <w:ind w:firstLine="470" w:firstLineChars="196"/>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4 </w:t>
      </w:r>
      <w:r>
        <w:rPr>
          <w:rFonts w:hint="eastAsia" w:ascii="Times New Roman" w:hAnsi="Times New Roman" w:eastAsia="宋体" w:cs="宋体"/>
          <w:sz w:val="24"/>
          <w:szCs w:val="24"/>
          <w:lang w:bidi="ar"/>
        </w:rPr>
        <w:t>多层含水层的分层水位；各含水层的渗透系数、影响半径</w:t>
      </w:r>
      <w:r>
        <w:rPr>
          <w:rFonts w:hint="eastAsia" w:ascii="Times New Roman" w:hAnsi="Times New Roman" w:eastAsia="宋体" w:cs="宋体"/>
          <w:b/>
          <w:sz w:val="24"/>
          <w:szCs w:val="24"/>
          <w:lang w:bidi="ar"/>
        </w:rPr>
        <w:t>、</w:t>
      </w:r>
      <w:r>
        <w:rPr>
          <w:rFonts w:ascii="Times New Roman" w:hAnsi="Times New Roman" w:eastAsia="宋体" w:cs="Times New Roman"/>
          <w:sz w:val="24"/>
          <w:szCs w:val="24"/>
          <w:lang w:bidi="ar"/>
        </w:rPr>
        <w:t xml:space="preserve"> </w:t>
      </w:r>
      <w:r>
        <w:rPr>
          <w:rFonts w:hint="eastAsia" w:ascii="Times New Roman" w:hAnsi="Times New Roman" w:eastAsia="宋体" w:cs="宋体"/>
          <w:sz w:val="24"/>
          <w:szCs w:val="24"/>
          <w:lang w:bidi="ar"/>
        </w:rPr>
        <w:t>越流系数、给水度等水文地质参数。</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 xml:space="preserve">.1.3 </w:t>
      </w:r>
      <w:r>
        <w:rPr>
          <w:rFonts w:hint="eastAsia" w:ascii="Times New Roman" w:hAnsi="Times New Roman" w:eastAsia="宋体" w:cs="宋体"/>
          <w:sz w:val="24"/>
          <w:szCs w:val="24"/>
          <w:lang w:bidi="ar"/>
        </w:rPr>
        <w:t>基坑降水可采取排水、截水、隔水、降水以及降低承压水水压等综合措施；集水坑明排不得在可能发生管涌、流土</w:t>
      </w:r>
      <w:r>
        <w:rPr>
          <w:rFonts w:hint="eastAsia" w:ascii="Calibri" w:hAnsi="Calibri" w:eastAsia="宋体" w:cs="宋体"/>
          <w:sz w:val="24"/>
          <w:szCs w:val="22"/>
          <w:lang w:bidi="ar"/>
        </w:rPr>
        <w:t>等渗透变形</w:t>
      </w:r>
      <w:r>
        <w:rPr>
          <w:rFonts w:hint="eastAsia" w:ascii="Times New Roman" w:hAnsi="Times New Roman" w:eastAsia="宋体" w:cs="宋体"/>
          <w:sz w:val="24"/>
          <w:szCs w:val="24"/>
          <w:lang w:bidi="ar"/>
        </w:rPr>
        <w:t>的场地使用（渗透变形计算见附录</w:t>
      </w:r>
      <w:r>
        <w:rPr>
          <w:rFonts w:ascii="Times New Roman" w:hAnsi="Times New Roman" w:eastAsia="宋体" w:cs="Times New Roman"/>
          <w:sz w:val="24"/>
          <w:szCs w:val="24"/>
          <w:lang w:bidi="ar"/>
        </w:rPr>
        <w:t>C</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 xml:space="preserve">.1.4 </w:t>
      </w:r>
      <w:r>
        <w:rPr>
          <w:rFonts w:hint="eastAsia" w:ascii="Times New Roman" w:hAnsi="Times New Roman" w:eastAsia="宋体" w:cs="宋体"/>
          <w:sz w:val="24"/>
          <w:szCs w:val="24"/>
          <w:lang w:bidi="ar"/>
        </w:rPr>
        <w:t>当坑底以下存在连续分布、埋深较浅的隔水层时，应采用落底式帷幕。落底式帷幕进入下卧隔水层的深度应满足下式要求，且不宜小于</w:t>
      </w:r>
      <w:r>
        <w:rPr>
          <w:rFonts w:ascii="Times New Roman" w:hAnsi="Times New Roman" w:eastAsia="宋体" w:cs="Times New Roman"/>
          <w:sz w:val="24"/>
          <w:szCs w:val="24"/>
          <w:lang w:bidi="ar"/>
        </w:rPr>
        <w:t>1.5m</w:t>
      </w:r>
      <w:r>
        <w:rPr>
          <w:rFonts w:hint="eastAsia" w:ascii="Times New Roman" w:hAnsi="Times New Roman" w:eastAsia="宋体" w:cs="宋体"/>
          <w:sz w:val="24"/>
          <w:szCs w:val="24"/>
          <w:lang w:bidi="ar"/>
        </w:rPr>
        <w:t>：</w:t>
      </w:r>
    </w:p>
    <w:p>
      <w:pPr>
        <w:widowControl/>
        <w:spacing w:line="480" w:lineRule="exact"/>
        <w:jc w:val="center"/>
        <w:rPr>
          <w:rFonts w:ascii="Times New Roman" w:hAnsi="Times New Roman" w:eastAsia="宋体" w:cs="Times New Roman"/>
          <w:sz w:val="24"/>
          <w:szCs w:val="22"/>
        </w:rPr>
      </w:pPr>
      <w:r>
        <w:rPr>
          <w:rFonts w:ascii="Times New Roman" w:hAnsi="Times New Roman" w:eastAsia="宋体" w:cs="Times New Roman"/>
          <w:position w:val="-6"/>
          <w:sz w:val="24"/>
          <w:szCs w:val="22"/>
        </w:rPr>
        <w:drawing>
          <wp:inline distT="0" distB="0" distL="114300" distR="114300">
            <wp:extent cx="1019175" cy="180975"/>
            <wp:effectExtent l="0" t="0" r="0" b="0"/>
            <wp:docPr id="6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true"/>
                    </pic:cNvPicPr>
                  </pic:nvPicPr>
                  <pic:blipFill>
                    <a:blip r:embed="rId672"/>
                    <a:stretch>
                      <a:fillRect/>
                    </a:stretch>
                  </pic:blipFill>
                  <pic:spPr>
                    <a:xfrm>
                      <a:off x="0" y="0"/>
                      <a:ext cx="1019175" cy="180975"/>
                    </a:xfrm>
                    <a:prstGeom prst="rect">
                      <a:avLst/>
                    </a:prstGeom>
                    <a:noFill/>
                    <a:ln>
                      <a:noFill/>
                    </a:ln>
                  </pic:spPr>
                </pic:pic>
              </a:graphicData>
            </a:graphic>
          </wp:inline>
        </w:drawing>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宋体"/>
          <w:sz w:val="24"/>
          <w:szCs w:val="24"/>
          <w:lang w:bidi="ar"/>
        </w:rPr>
        <w:t>式中：</w:t>
      </w:r>
      <w:r>
        <w:rPr>
          <w:rFonts w:ascii="Times New Roman" w:hAnsi="Times New Roman" w:eastAsia="宋体" w:cs="Times New Roman"/>
          <w:position w:val="-6"/>
          <w:sz w:val="24"/>
          <w:szCs w:val="22"/>
        </w:rPr>
        <w:drawing>
          <wp:inline distT="0" distB="0" distL="114300" distR="114300">
            <wp:extent cx="85725" cy="180975"/>
            <wp:effectExtent l="0" t="0" r="0" b="0"/>
            <wp:docPr id="23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9" name="图片 2"/>
                    <pic:cNvPicPr>
                      <a:picLocks noChangeAspect="true"/>
                    </pic:cNvPicPr>
                  </pic:nvPicPr>
                  <pic:blipFill>
                    <a:blip r:embed="rId673"/>
                    <a:stretch>
                      <a:fillRect/>
                    </a:stretch>
                  </pic:blipFill>
                  <pic:spPr>
                    <a:xfrm>
                      <a:off x="0" y="0"/>
                      <a:ext cx="85725" cy="180975"/>
                    </a:xfrm>
                    <a:prstGeom prst="rect">
                      <a:avLst/>
                    </a:prstGeom>
                    <a:noFill/>
                    <a:ln>
                      <a:noFill/>
                    </a:ln>
                  </pic:spPr>
                </pic:pic>
              </a:graphicData>
            </a:graphic>
          </wp:inline>
        </w:drawing>
      </w:r>
      <w:r>
        <w:rPr>
          <w:rFonts w:hint="eastAsia" w:ascii="Times New Roman" w:hAnsi="Times New Roman" w:eastAsia="宋体" w:cs="宋体"/>
          <w:sz w:val="24"/>
          <w:szCs w:val="24"/>
          <w:lang w:bidi="ar"/>
        </w:rPr>
        <w:t>——帷幕进入隔水层的深度（</w:t>
      </w:r>
      <w:r>
        <w:rPr>
          <w:rFonts w:ascii="Times New Roman" w:hAnsi="Times New Roman" w:eastAsia="宋体" w:cs="Times New Roman"/>
          <w:sz w:val="24"/>
          <w:szCs w:val="24"/>
          <w:lang w:bidi="ar"/>
        </w:rPr>
        <w:t>m</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      </w:t>
      </w:r>
      <w:r>
        <w:rPr>
          <w:rFonts w:ascii="Times New Roman" w:hAnsi="Times New Roman" w:eastAsia="宋体" w:cs="Times New Roman"/>
          <w:position w:val="-6"/>
          <w:sz w:val="24"/>
          <w:szCs w:val="22"/>
        </w:rPr>
        <w:drawing>
          <wp:inline distT="0" distB="0" distL="114300" distR="114300">
            <wp:extent cx="219075" cy="180975"/>
            <wp:effectExtent l="0" t="0" r="0" b="0"/>
            <wp:docPr id="24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0" name="图片 3"/>
                    <pic:cNvPicPr>
                      <a:picLocks noChangeAspect="true"/>
                    </pic:cNvPicPr>
                  </pic:nvPicPr>
                  <pic:blipFill>
                    <a:blip r:embed="rId674"/>
                    <a:stretch>
                      <a:fillRect/>
                    </a:stretch>
                  </pic:blipFill>
                  <pic:spPr>
                    <a:xfrm>
                      <a:off x="0" y="0"/>
                      <a:ext cx="219075" cy="180975"/>
                    </a:xfrm>
                    <a:prstGeom prst="rect">
                      <a:avLst/>
                    </a:prstGeom>
                    <a:noFill/>
                    <a:ln>
                      <a:noFill/>
                    </a:ln>
                  </pic:spPr>
                </pic:pic>
              </a:graphicData>
            </a:graphic>
          </wp:inline>
        </w:drawing>
      </w:r>
      <w:r>
        <w:rPr>
          <w:rFonts w:hint="eastAsia" w:ascii="Times New Roman" w:hAnsi="Times New Roman" w:eastAsia="宋体" w:cs="宋体"/>
          <w:sz w:val="24"/>
          <w:szCs w:val="24"/>
          <w:lang w:bidi="ar"/>
        </w:rPr>
        <w:t>——基坑内外的水头差值（</w:t>
      </w:r>
      <w:r>
        <w:rPr>
          <w:rFonts w:ascii="Times New Roman" w:hAnsi="Times New Roman" w:eastAsia="宋体" w:cs="Times New Roman"/>
          <w:sz w:val="24"/>
          <w:szCs w:val="24"/>
          <w:lang w:bidi="ar"/>
        </w:rPr>
        <w:t>m</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      </w:t>
      </w:r>
      <w:r>
        <w:rPr>
          <w:rFonts w:ascii="Times New Roman" w:hAnsi="Times New Roman" w:eastAsia="宋体" w:cs="Times New Roman"/>
          <w:position w:val="-6"/>
          <w:sz w:val="24"/>
          <w:szCs w:val="22"/>
        </w:rPr>
        <w:drawing>
          <wp:inline distT="0" distB="0" distL="114300" distR="114300">
            <wp:extent cx="123825" cy="180975"/>
            <wp:effectExtent l="0" t="0" r="0" b="0"/>
            <wp:docPr id="241" name="图片 2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true"/>
                    </pic:cNvPicPr>
                  </pic:nvPicPr>
                  <pic:blipFill>
                    <a:blip r:embed="rId675"/>
                    <a:stretch>
                      <a:fillRect/>
                    </a:stretch>
                  </pic:blipFill>
                  <pic:spPr>
                    <a:xfrm>
                      <a:off x="0" y="0"/>
                      <a:ext cx="123825" cy="180975"/>
                    </a:xfrm>
                    <a:prstGeom prst="rect">
                      <a:avLst/>
                    </a:prstGeom>
                    <a:noFill/>
                    <a:ln>
                      <a:noFill/>
                    </a:ln>
                  </pic:spPr>
                </pic:pic>
              </a:graphicData>
            </a:graphic>
          </wp:inline>
        </w:drawing>
      </w:r>
      <w:r>
        <w:rPr>
          <w:rFonts w:hint="eastAsia" w:ascii="Times New Roman" w:hAnsi="Times New Roman" w:eastAsia="宋体" w:cs="宋体"/>
          <w:sz w:val="24"/>
          <w:szCs w:val="24"/>
          <w:lang w:bidi="ar"/>
        </w:rPr>
        <w:t>——帷幕的厚度（</w:t>
      </w:r>
      <w:r>
        <w:rPr>
          <w:rFonts w:ascii="Times New Roman" w:hAnsi="Times New Roman" w:eastAsia="宋体" w:cs="Times New Roman"/>
          <w:sz w:val="24"/>
          <w:szCs w:val="24"/>
          <w:lang w:bidi="ar"/>
        </w:rPr>
        <w:t>m</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 xml:space="preserve">.1.5 </w:t>
      </w:r>
      <w:r>
        <w:rPr>
          <w:rFonts w:hint="eastAsia" w:ascii="Times New Roman" w:hAnsi="Times New Roman" w:eastAsia="宋体" w:cs="宋体"/>
          <w:sz w:val="24"/>
          <w:szCs w:val="24"/>
          <w:lang w:bidi="ar"/>
        </w:rPr>
        <w:t>当坑底以下含水层厚度大而需采用悬挂式帷幕时，帷幕进入透水层的深度应满足本规范</w:t>
      </w:r>
      <w:r>
        <w:rPr>
          <w:rFonts w:ascii="Times New Roman" w:hAnsi="Times New Roman" w:eastAsia="宋体" w:cs="Times New Roman"/>
          <w:sz w:val="24"/>
          <w:szCs w:val="24"/>
          <w:lang w:bidi="ar"/>
        </w:rPr>
        <w:t>6.5.2</w:t>
      </w:r>
      <w:r>
        <w:rPr>
          <w:rFonts w:hint="eastAsia" w:ascii="Times New Roman" w:hAnsi="Times New Roman" w:eastAsia="宋体" w:cs="宋体"/>
          <w:sz w:val="24"/>
          <w:szCs w:val="24"/>
          <w:lang w:bidi="ar"/>
        </w:rPr>
        <w:t>条、</w:t>
      </w:r>
      <w:r>
        <w:rPr>
          <w:rFonts w:ascii="Times New Roman" w:hAnsi="Times New Roman" w:eastAsia="宋体" w:cs="Times New Roman"/>
          <w:sz w:val="24"/>
          <w:szCs w:val="24"/>
          <w:lang w:bidi="ar"/>
        </w:rPr>
        <w:t>6.5.3</w:t>
      </w:r>
      <w:r>
        <w:rPr>
          <w:rFonts w:hint="eastAsia" w:ascii="Times New Roman" w:hAnsi="Times New Roman" w:eastAsia="宋体" w:cs="宋体"/>
          <w:sz w:val="24"/>
          <w:szCs w:val="24"/>
          <w:lang w:bidi="ar"/>
        </w:rPr>
        <w:t>条对地下水从帷幕底绕流的渗透稳定性要求，并应对帷幕外地下水位下降引起的基坑周边建（构）筑物、地下管线沉降进行分析。</w:t>
      </w:r>
    </w:p>
    <w:p>
      <w:pPr>
        <w:pStyle w:val="3"/>
        <w:bidi w:val="0"/>
        <w:rPr>
          <w:lang w:val="en-US" w:eastAsia="zh-CN"/>
        </w:rPr>
      </w:pPr>
      <w:bookmarkStart w:id="729" w:name="_Toc14733"/>
      <w:r>
        <w:rPr>
          <w:rFonts w:hint="eastAsia"/>
          <w:lang w:val="en-US" w:eastAsia="zh-CN"/>
        </w:rPr>
        <w:t>13</w:t>
      </w:r>
      <w:r>
        <w:rPr>
          <w:lang w:val="en-US" w:eastAsia="zh-CN"/>
        </w:rPr>
        <w:t>.2  基坑降水设计</w:t>
      </w:r>
      <w:bookmarkEnd w:id="729"/>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 xml:space="preserve">.2.1 </w:t>
      </w:r>
      <w:r>
        <w:rPr>
          <w:rFonts w:hint="eastAsia" w:ascii="Times New Roman" w:hAnsi="Times New Roman" w:eastAsia="宋体" w:cs="宋体"/>
          <w:sz w:val="24"/>
          <w:szCs w:val="24"/>
          <w:lang w:bidi="ar"/>
        </w:rPr>
        <w:t>基坑降水设计应包括降水井、观测井及回灌井的布置、井结构设计、截水帷幕设计、排水管线设计；并提出降水施工、运营、基坑安全监测要求。基坑降水设计应与基坑支护体系设计统一考虑。对特殊复杂工程应进行专项研究设计。降水时应计算总排水量及各降水井排水量，对地下水资源、地面沉降有影响时，应将水质符合标准的地下水充分利用。</w:t>
      </w:r>
    </w:p>
    <w:p>
      <w:pPr>
        <w:widowControl/>
        <w:spacing w:line="480" w:lineRule="exact"/>
        <w:rPr>
          <w:rFonts w:hint="eastAsia" w:ascii="Times New Roman" w:hAnsi="Times New Roman" w:eastAsia="宋体" w:cs="宋体"/>
          <w:sz w:val="24"/>
          <w:szCs w:val="24"/>
          <w:lang w:bidi="ar"/>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 xml:space="preserve">.2.2 </w:t>
      </w:r>
      <w:r>
        <w:rPr>
          <w:rFonts w:hint="eastAsia" w:ascii="Times New Roman" w:hAnsi="Times New Roman" w:eastAsia="宋体" w:cs="宋体"/>
          <w:sz w:val="24"/>
          <w:szCs w:val="24"/>
          <w:lang w:bidi="ar"/>
        </w:rPr>
        <w:t>降水方法的适用范围可按表</w:t>
      </w:r>
      <w:r>
        <w:rPr>
          <w:rFonts w:hint="eastAsia" w:ascii="Times New Roman" w:hAnsi="Times New Roman" w:eastAsia="宋体" w:cs="Times New Roman"/>
          <w:sz w:val="24"/>
          <w:szCs w:val="24"/>
          <w:lang w:eastAsia="zh-CN" w:bidi="ar"/>
        </w:rPr>
        <w:t>13</w:t>
      </w:r>
      <w:r>
        <w:rPr>
          <w:rFonts w:ascii="Times New Roman" w:hAnsi="Times New Roman" w:eastAsia="宋体" w:cs="Times New Roman"/>
          <w:sz w:val="24"/>
          <w:szCs w:val="24"/>
          <w:lang w:bidi="ar"/>
        </w:rPr>
        <w:t>.2.2</w:t>
      </w:r>
      <w:r>
        <w:rPr>
          <w:rFonts w:hint="eastAsia" w:ascii="Times New Roman" w:hAnsi="Times New Roman" w:eastAsia="宋体" w:cs="宋体"/>
          <w:sz w:val="24"/>
          <w:szCs w:val="24"/>
          <w:lang w:bidi="ar"/>
        </w:rPr>
        <w:t>选用。</w:t>
      </w:r>
    </w:p>
    <w:p>
      <w:pPr>
        <w:widowControl/>
        <w:spacing w:line="480" w:lineRule="exact"/>
        <w:jc w:val="center"/>
        <w:rPr>
          <w:rFonts w:ascii="Times New Roman" w:hAnsi="Times New Roman" w:eastAsia="宋体" w:cs="Times New Roman"/>
          <w:b/>
          <w:sz w:val="24"/>
          <w:szCs w:val="21"/>
        </w:rPr>
      </w:pPr>
      <w:r>
        <w:rPr>
          <w:rFonts w:hint="eastAsia" w:ascii="Times New Roman" w:hAnsi="Times New Roman" w:eastAsia="宋体" w:cs="宋体"/>
          <w:b/>
          <w:sz w:val="21"/>
          <w:szCs w:val="21"/>
          <w:lang w:bidi="ar"/>
        </w:rPr>
        <w:t>表</w:t>
      </w:r>
      <w:r>
        <w:rPr>
          <w:rFonts w:hint="eastAsia" w:ascii="Times New Roman" w:hAnsi="Times New Roman" w:eastAsia="宋体" w:cs="Times New Roman"/>
          <w:b/>
          <w:sz w:val="21"/>
          <w:szCs w:val="21"/>
          <w:lang w:eastAsia="zh-CN" w:bidi="ar"/>
        </w:rPr>
        <w:t>13</w:t>
      </w:r>
      <w:r>
        <w:rPr>
          <w:rFonts w:ascii="Times New Roman" w:hAnsi="Times New Roman" w:eastAsia="宋体" w:cs="Times New Roman"/>
          <w:b/>
          <w:sz w:val="21"/>
          <w:szCs w:val="21"/>
          <w:lang w:bidi="ar"/>
        </w:rPr>
        <w:t xml:space="preserve">.2.2   </w:t>
      </w:r>
      <w:r>
        <w:rPr>
          <w:rFonts w:hint="eastAsia" w:ascii="Times New Roman" w:hAnsi="Times New Roman" w:eastAsia="宋体" w:cs="宋体"/>
          <w:b/>
          <w:sz w:val="21"/>
          <w:szCs w:val="21"/>
          <w:lang w:bidi="ar"/>
        </w:rPr>
        <w:t>降水方法的适用范围</w:t>
      </w:r>
    </w:p>
    <w:tbl>
      <w:tblPr>
        <w:tblStyle w:val="32"/>
        <w:tblW w:w="0" w:type="auto"/>
        <w:tblInd w:w="0" w:type="dxa"/>
        <w:tblLayout w:type="fixed"/>
        <w:tblCellMar>
          <w:top w:w="0" w:type="dxa"/>
          <w:left w:w="0" w:type="dxa"/>
          <w:bottom w:w="0" w:type="dxa"/>
          <w:right w:w="0" w:type="dxa"/>
        </w:tblCellMar>
      </w:tblPr>
      <w:tblGrid>
        <w:gridCol w:w="1010"/>
        <w:gridCol w:w="1465"/>
        <w:gridCol w:w="3007"/>
        <w:gridCol w:w="2027"/>
        <w:gridCol w:w="2168"/>
      </w:tblGrid>
      <w:tr>
        <w:tblPrEx>
          <w:tblCellMar>
            <w:top w:w="0" w:type="dxa"/>
            <w:left w:w="0" w:type="dxa"/>
            <w:bottom w:w="0" w:type="dxa"/>
            <w:right w:w="0" w:type="dxa"/>
          </w:tblCellMar>
        </w:tblPrEx>
        <w:trPr>
          <w:trHeight w:val="380" w:hRule="exact"/>
        </w:trPr>
        <w:tc>
          <w:tcPr>
            <w:tcW w:w="247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名</w:t>
            </w:r>
            <w:r>
              <w:rPr>
                <w:rFonts w:hint="default" w:ascii="Times New Roman" w:hAnsi="Times New Roman" w:eastAsia="宋体" w:cs="Times New Roman"/>
                <w:sz w:val="21"/>
                <w:szCs w:val="21"/>
                <w:lang w:bidi="ar"/>
              </w:rPr>
              <w:t xml:space="preserve">    </w:t>
            </w:r>
            <w:r>
              <w:rPr>
                <w:rFonts w:hint="eastAsia" w:ascii="Times New Roman" w:hAnsi="Times New Roman" w:eastAsia="宋体" w:cs="宋体"/>
                <w:sz w:val="21"/>
                <w:szCs w:val="21"/>
                <w:lang w:bidi="ar"/>
              </w:rPr>
              <w:t>称</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适用地层</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渗透系数</w:t>
            </w:r>
            <w:r>
              <w:rPr>
                <w:rFonts w:hint="default" w:ascii="Times New Roman" w:hAnsi="Times New Roman" w:eastAsia="宋体" w:cs="Times New Roman"/>
                <w:sz w:val="21"/>
                <w:szCs w:val="21"/>
                <w:lang w:bidi="ar"/>
              </w:rPr>
              <w:t>(m/d)</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降低水位</w:t>
            </w:r>
            <w:r>
              <w:rPr>
                <w:rFonts w:hint="default" w:ascii="Times New Roman" w:hAnsi="Times New Roman" w:eastAsia="宋体" w:cs="Times New Roman"/>
                <w:sz w:val="21"/>
                <w:szCs w:val="21"/>
                <w:lang w:bidi="ar"/>
              </w:rPr>
              <w:t>(m)</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p>
        </w:tc>
      </w:tr>
      <w:tr>
        <w:tblPrEx>
          <w:tblCellMar>
            <w:top w:w="0" w:type="dxa"/>
            <w:left w:w="0" w:type="dxa"/>
            <w:bottom w:w="0" w:type="dxa"/>
            <w:right w:w="0" w:type="dxa"/>
          </w:tblCellMar>
        </w:tblPrEx>
        <w:trPr>
          <w:trHeight w:val="381" w:hRule="exact"/>
        </w:trPr>
        <w:tc>
          <w:tcPr>
            <w:tcW w:w="247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集水坑明排</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宋体"/>
                <w:sz w:val="24"/>
                <w:szCs w:val="21"/>
              </w:rPr>
            </w:pP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&lt;2</w:t>
            </w:r>
          </w:p>
        </w:tc>
      </w:tr>
      <w:tr>
        <w:tblPrEx>
          <w:tblCellMar>
            <w:top w:w="0" w:type="dxa"/>
            <w:left w:w="0" w:type="dxa"/>
            <w:bottom w:w="0" w:type="dxa"/>
            <w:right w:w="0" w:type="dxa"/>
          </w:tblCellMar>
        </w:tblPrEx>
        <w:trPr>
          <w:trHeight w:val="417" w:hRule="atLeast"/>
        </w:trPr>
        <w:tc>
          <w:tcPr>
            <w:tcW w:w="1010" w:type="dxa"/>
            <w:vMerge w:val="restart"/>
            <w:tcBorders>
              <w:top w:val="single" w:color="auto" w:sz="8" w:space="0"/>
              <w:left w:val="single" w:color="auto" w:sz="8" w:space="0"/>
              <w:bottom w:val="single" w:color="auto" w:sz="8" w:space="0"/>
              <w:right w:val="single" w:color="auto" w:sz="6" w:space="0"/>
            </w:tcBorders>
            <w:shd w:val="clear" w:color="auto" w:fill="auto"/>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井</w:t>
            </w:r>
          </w:p>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点</w:t>
            </w:r>
          </w:p>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降</w:t>
            </w:r>
          </w:p>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水</w:t>
            </w:r>
          </w:p>
        </w:tc>
        <w:tc>
          <w:tcPr>
            <w:tcW w:w="1465" w:type="dxa"/>
            <w:tcBorders>
              <w:top w:val="single" w:color="auto" w:sz="8" w:space="0"/>
              <w:left w:val="single" w:color="auto" w:sz="6" w:space="0"/>
              <w:bottom w:val="single" w:color="auto" w:sz="6"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电渗井点</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粘性土</w:t>
            </w: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宋体"/>
                <w:sz w:val="24"/>
                <w:szCs w:val="21"/>
              </w:rPr>
            </w:pPr>
            <w:r>
              <w:rPr>
                <w:rFonts w:hint="default" w:ascii="Times New Roman" w:hAnsi="Times New Roman" w:eastAsia="宋体" w:cs="宋体"/>
                <w:sz w:val="21"/>
                <w:szCs w:val="21"/>
                <w:lang w:bidi="ar"/>
              </w:rPr>
              <w:t>&lt;0.1</w:t>
            </w: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&lt;6</w:t>
            </w:r>
          </w:p>
        </w:tc>
      </w:tr>
      <w:tr>
        <w:tblPrEx>
          <w:tblCellMar>
            <w:top w:w="0" w:type="dxa"/>
            <w:left w:w="0" w:type="dxa"/>
            <w:bottom w:w="0" w:type="dxa"/>
            <w:right w:w="0" w:type="dxa"/>
          </w:tblCellMar>
        </w:tblPrEx>
        <w:trPr>
          <w:trHeight w:val="428" w:hRule="atLeast"/>
        </w:trPr>
        <w:tc>
          <w:tcPr>
            <w:tcW w:w="1010" w:type="dxa"/>
            <w:vMerge w:val="continue"/>
            <w:tcBorders>
              <w:top w:val="single" w:color="auto" w:sz="8" w:space="0"/>
              <w:left w:val="single" w:color="auto" w:sz="8" w:space="0"/>
              <w:bottom w:val="single" w:color="auto" w:sz="8"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65" w:type="dxa"/>
            <w:tcBorders>
              <w:top w:val="single" w:color="auto" w:sz="6" w:space="0"/>
              <w:left w:val="single" w:color="auto" w:sz="6" w:space="0"/>
              <w:bottom w:val="nil"/>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喷射井点</w:t>
            </w:r>
          </w:p>
        </w:tc>
        <w:tc>
          <w:tcPr>
            <w:tcW w:w="3007" w:type="dxa"/>
            <w:tcBorders>
              <w:top w:val="single" w:color="auto" w:sz="8" w:space="0"/>
              <w:left w:val="single" w:color="auto" w:sz="8" w:space="0"/>
              <w:bottom w:val="nil"/>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填土、粘性土、粉土、粉砂</w:t>
            </w:r>
          </w:p>
        </w:tc>
        <w:tc>
          <w:tcPr>
            <w:tcW w:w="2027" w:type="dxa"/>
            <w:tcBorders>
              <w:top w:val="single" w:color="auto" w:sz="8" w:space="0"/>
              <w:left w:val="single" w:color="auto" w:sz="8" w:space="0"/>
              <w:bottom w:val="nil"/>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宋体"/>
                <w:sz w:val="24"/>
                <w:szCs w:val="21"/>
              </w:rPr>
            </w:pPr>
            <w:r>
              <w:rPr>
                <w:rFonts w:hint="default" w:ascii="Times New Roman" w:hAnsi="Times New Roman" w:eastAsia="宋体" w:cs="宋体"/>
                <w:sz w:val="21"/>
                <w:szCs w:val="21"/>
                <w:lang w:bidi="ar"/>
              </w:rPr>
              <w:t>0.1</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20.0</w:t>
            </w:r>
          </w:p>
        </w:tc>
        <w:tc>
          <w:tcPr>
            <w:tcW w:w="2168" w:type="dxa"/>
            <w:tcBorders>
              <w:top w:val="single" w:color="auto" w:sz="8" w:space="0"/>
              <w:left w:val="single" w:color="auto" w:sz="8" w:space="0"/>
              <w:bottom w:val="nil"/>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8</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w:t>
            </w:r>
          </w:p>
        </w:tc>
      </w:tr>
      <w:tr>
        <w:tblPrEx>
          <w:tblCellMar>
            <w:top w:w="0" w:type="dxa"/>
            <w:left w:w="0" w:type="dxa"/>
            <w:bottom w:w="0" w:type="dxa"/>
            <w:right w:w="0" w:type="dxa"/>
          </w:tblCellMar>
        </w:tblPrEx>
        <w:trPr>
          <w:trHeight w:val="381" w:hRule="exact"/>
        </w:trPr>
        <w:tc>
          <w:tcPr>
            <w:tcW w:w="1010" w:type="dxa"/>
            <w:vMerge w:val="continue"/>
            <w:tcBorders>
              <w:top w:val="single" w:color="auto" w:sz="8" w:space="0"/>
              <w:left w:val="single" w:color="auto" w:sz="8" w:space="0"/>
              <w:bottom w:val="single" w:color="auto" w:sz="8"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65" w:type="dxa"/>
            <w:tcBorders>
              <w:top w:val="single" w:color="auto" w:sz="6" w:space="0"/>
              <w:left w:val="single" w:color="auto" w:sz="6"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真空井点</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粘性土、粉土、粉砂、细砂</w:t>
            </w: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宋体"/>
                <w:sz w:val="24"/>
                <w:szCs w:val="21"/>
              </w:rPr>
            </w:pPr>
            <w:r>
              <w:rPr>
                <w:rFonts w:hint="default" w:ascii="Times New Roman" w:hAnsi="Times New Roman" w:eastAsia="宋体" w:cs="宋体"/>
                <w:sz w:val="21"/>
                <w:szCs w:val="21"/>
                <w:lang w:bidi="ar"/>
              </w:rPr>
              <w:t>0.1</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20.0</w:t>
            </w: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单级</w:t>
            </w:r>
            <w:r>
              <w:rPr>
                <w:rFonts w:hint="default" w:ascii="Times New Roman" w:hAnsi="Times New Roman" w:eastAsia="宋体" w:cs="Times New Roman"/>
                <w:sz w:val="21"/>
                <w:szCs w:val="21"/>
                <w:lang w:bidi="ar"/>
              </w:rPr>
              <w:t>&lt;6</w:t>
            </w:r>
            <w:r>
              <w:rPr>
                <w:rFonts w:hint="eastAsia" w:ascii="Times New Roman" w:hAnsi="Times New Roman" w:eastAsia="宋体" w:cs="宋体"/>
                <w:sz w:val="21"/>
                <w:szCs w:val="21"/>
                <w:lang w:bidi="ar"/>
              </w:rPr>
              <w:t>、多级</w:t>
            </w:r>
            <w:r>
              <w:rPr>
                <w:rFonts w:hint="default" w:ascii="Times New Roman" w:hAnsi="Times New Roman" w:eastAsia="宋体" w:cs="Times New Roman"/>
                <w:sz w:val="21"/>
                <w:szCs w:val="21"/>
                <w:lang w:bidi="ar"/>
              </w:rPr>
              <w:t>&lt;20</w:t>
            </w:r>
          </w:p>
        </w:tc>
      </w:tr>
      <w:tr>
        <w:tblPrEx>
          <w:tblCellMar>
            <w:top w:w="0" w:type="dxa"/>
            <w:left w:w="0" w:type="dxa"/>
            <w:bottom w:w="0" w:type="dxa"/>
            <w:right w:w="0" w:type="dxa"/>
          </w:tblCellMar>
        </w:tblPrEx>
        <w:trPr>
          <w:trHeight w:val="441" w:hRule="atLeast"/>
        </w:trPr>
        <w:tc>
          <w:tcPr>
            <w:tcW w:w="247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管</w:t>
            </w:r>
            <w:r>
              <w:rPr>
                <w:rFonts w:hint="default" w:ascii="Times New Roman" w:hAnsi="Times New Roman" w:eastAsia="宋体" w:cs="Times New Roman"/>
                <w:sz w:val="21"/>
                <w:szCs w:val="21"/>
                <w:lang w:bidi="ar"/>
              </w:rPr>
              <w:t xml:space="preserve">    </w:t>
            </w:r>
            <w:r>
              <w:rPr>
                <w:rFonts w:hint="eastAsia" w:ascii="Times New Roman" w:hAnsi="Times New Roman" w:eastAsia="宋体" w:cs="宋体"/>
                <w:sz w:val="21"/>
                <w:szCs w:val="21"/>
                <w:lang w:bidi="ar"/>
              </w:rPr>
              <w:t>井</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粉土、砂类土、碎石土、岩溶裂隙</w:t>
            </w: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&gt;0.1</w:t>
            </w: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&gt;5</w:t>
            </w:r>
          </w:p>
        </w:tc>
      </w:tr>
      <w:tr>
        <w:tblPrEx>
          <w:tblCellMar>
            <w:top w:w="0" w:type="dxa"/>
            <w:left w:w="0" w:type="dxa"/>
            <w:bottom w:w="0" w:type="dxa"/>
            <w:right w:w="0" w:type="dxa"/>
          </w:tblCellMar>
        </w:tblPrEx>
        <w:trPr>
          <w:trHeight w:val="407" w:hRule="atLeast"/>
        </w:trPr>
        <w:tc>
          <w:tcPr>
            <w:tcW w:w="247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大口井</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砂类土、碎石土</w:t>
            </w: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1.0</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200.0</w:t>
            </w: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5</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w:t>
            </w:r>
          </w:p>
        </w:tc>
      </w:tr>
      <w:tr>
        <w:tblPrEx>
          <w:tblCellMar>
            <w:top w:w="0" w:type="dxa"/>
            <w:left w:w="0" w:type="dxa"/>
            <w:bottom w:w="0" w:type="dxa"/>
            <w:right w:w="0" w:type="dxa"/>
          </w:tblCellMar>
        </w:tblPrEx>
        <w:trPr>
          <w:trHeight w:val="407" w:hRule="atLeast"/>
        </w:trPr>
        <w:tc>
          <w:tcPr>
            <w:tcW w:w="247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辐射井</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粘性土、砂土、砾砂</w:t>
            </w: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0.1</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20.0</w:t>
            </w: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&lt;20</w:t>
            </w:r>
          </w:p>
        </w:tc>
      </w:tr>
      <w:tr>
        <w:tblPrEx>
          <w:tblCellMar>
            <w:top w:w="0" w:type="dxa"/>
            <w:left w:w="0" w:type="dxa"/>
            <w:bottom w:w="0" w:type="dxa"/>
            <w:right w:w="0" w:type="dxa"/>
          </w:tblCellMar>
        </w:tblPrEx>
        <w:trPr>
          <w:trHeight w:val="499" w:hRule="atLeast"/>
        </w:trPr>
        <w:tc>
          <w:tcPr>
            <w:tcW w:w="247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引渗井</w:t>
            </w:r>
          </w:p>
        </w:tc>
        <w:tc>
          <w:tcPr>
            <w:tcW w:w="30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粘性土、砂土</w:t>
            </w:r>
          </w:p>
        </w:tc>
        <w:tc>
          <w:tcPr>
            <w:tcW w:w="20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 w:val="24"/>
                <w:szCs w:val="21"/>
              </w:rPr>
            </w:pPr>
            <w:r>
              <w:rPr>
                <w:rFonts w:hint="default" w:ascii="Times New Roman" w:hAnsi="Times New Roman" w:eastAsia="宋体" w:cs="Times New Roman"/>
                <w:sz w:val="21"/>
                <w:szCs w:val="21"/>
                <w:lang w:bidi="ar"/>
              </w:rPr>
              <w:t>0.1</w:t>
            </w:r>
            <w:r>
              <w:rPr>
                <w:rFonts w:hint="eastAsia" w:ascii="Times New Roman" w:hAnsi="Times New Roman" w:eastAsia="宋体" w:cs="宋体"/>
                <w:sz w:val="21"/>
                <w:szCs w:val="21"/>
                <w:lang w:bidi="ar"/>
              </w:rPr>
              <w:t>～</w:t>
            </w:r>
            <w:r>
              <w:rPr>
                <w:rFonts w:hint="default" w:ascii="Times New Roman" w:hAnsi="Times New Roman" w:eastAsia="宋体" w:cs="Times New Roman"/>
                <w:sz w:val="21"/>
                <w:szCs w:val="21"/>
                <w:lang w:bidi="ar"/>
              </w:rPr>
              <w:t>20.0</w:t>
            </w:r>
          </w:p>
        </w:tc>
        <w:tc>
          <w:tcPr>
            <w:tcW w:w="216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将上层水引渗到</w:t>
            </w:r>
          </w:p>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sz w:val="24"/>
                <w:szCs w:val="21"/>
              </w:rPr>
            </w:pPr>
            <w:r>
              <w:rPr>
                <w:rFonts w:hint="eastAsia" w:ascii="Times New Roman" w:hAnsi="Times New Roman" w:eastAsia="宋体" w:cs="宋体"/>
                <w:sz w:val="21"/>
                <w:szCs w:val="21"/>
                <w:lang w:bidi="ar"/>
              </w:rPr>
              <w:t>下层含水层</w:t>
            </w:r>
          </w:p>
        </w:tc>
      </w:tr>
    </w:tbl>
    <w:p>
      <w:pPr>
        <w:widowControl/>
        <w:spacing w:line="480" w:lineRule="exact"/>
        <w:rPr>
          <w:rFonts w:ascii="Times New Roman" w:hAnsi="Times New Roman" w:eastAsia="宋体" w:cs="Times New Roman"/>
          <w:color w:val="0000FF"/>
          <w:sz w:val="24"/>
          <w:szCs w:val="24"/>
          <w:lang w:bidi="ar"/>
        </w:rPr>
      </w:pPr>
      <w:r>
        <w:rPr>
          <w:rFonts w:hint="eastAsia" w:ascii="Times New Roman" w:hAnsi="Times New Roman" w:eastAsia="宋体" w:cs="宋体"/>
          <w:b/>
          <w:bCs/>
          <w:color w:val="000000"/>
          <w:sz w:val="24"/>
          <w:szCs w:val="24"/>
          <w:lang w:eastAsia="zh-CN" w:bidi="ar"/>
        </w:rPr>
        <w:t>13</w:t>
      </w:r>
      <w:r>
        <w:rPr>
          <w:rFonts w:hint="eastAsia" w:ascii="Times New Roman" w:hAnsi="Times New Roman" w:eastAsia="宋体" w:cs="宋体"/>
          <w:b/>
          <w:bCs/>
          <w:color w:val="000000"/>
          <w:sz w:val="24"/>
          <w:szCs w:val="24"/>
          <w:lang w:bidi="ar"/>
        </w:rPr>
        <w:t>.2.3</w:t>
      </w:r>
      <w:r>
        <w:rPr>
          <w:rFonts w:hint="eastAsia" w:ascii="Times New Roman" w:hAnsi="Times New Roman" w:eastAsia="宋体" w:cs="宋体"/>
          <w:color w:val="000000"/>
          <w:sz w:val="24"/>
          <w:szCs w:val="24"/>
          <w:lang w:bidi="ar"/>
        </w:rPr>
        <w:t xml:space="preserve"> 在降水范围内存在上层滞水、弱透水层中潜水、多层隔水层含水层相间分布，且下部含水层的水位（或水头）低于上部含水层水位，或下部含水层经抽水后满足以上要求时可考虑采用引渗井</w:t>
      </w:r>
      <w:r>
        <w:rPr>
          <w:rFonts w:hint="eastAsia" w:ascii="Times New Roman" w:hAnsi="Times New Roman" w:eastAsia="宋体" w:cs="宋体"/>
          <w:color w:val="000000"/>
          <w:sz w:val="24"/>
          <w:szCs w:val="24"/>
          <w:lang w:eastAsia="zh-CN" w:bidi="ar"/>
        </w:rPr>
        <w:t>。</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宋体"/>
          <w:b/>
          <w:bCs/>
          <w:sz w:val="24"/>
          <w:szCs w:val="24"/>
          <w:lang w:val="en-US" w:eastAsia="zh-CN" w:bidi="ar"/>
        </w:rPr>
        <w:t>13.2.4</w:t>
      </w:r>
      <w:r>
        <w:rPr>
          <w:rFonts w:hint="eastAsia" w:ascii="Times New Roman" w:hAnsi="Times New Roman" w:eastAsia="宋体" w:cs="宋体"/>
          <w:sz w:val="24"/>
          <w:szCs w:val="24"/>
          <w:lang w:val="en-US" w:eastAsia="zh-CN" w:bidi="ar"/>
        </w:rPr>
        <w:t xml:space="preserve"> </w:t>
      </w:r>
      <w:r>
        <w:rPr>
          <w:rFonts w:hint="eastAsia" w:ascii="Times New Roman" w:hAnsi="Times New Roman" w:eastAsia="宋体" w:cs="宋体"/>
          <w:sz w:val="24"/>
          <w:szCs w:val="24"/>
          <w:lang w:bidi="ar"/>
        </w:rPr>
        <w:t>降水井平面位置应结合建筑底板梁柱布置，深度宜小于帷幕深度；回灌井宜布置在基坑帷幕以外与维护建筑之间，且与降水井距离不宜小于</w:t>
      </w:r>
      <w:r>
        <w:rPr>
          <w:rFonts w:ascii="Times New Roman" w:hAnsi="Times New Roman" w:eastAsia="宋体" w:cs="Times New Roman"/>
          <w:sz w:val="24"/>
          <w:szCs w:val="24"/>
          <w:lang w:bidi="ar"/>
        </w:rPr>
        <w:t>6</w:t>
      </w:r>
      <w:r>
        <w:rPr>
          <w:rFonts w:ascii="Calibri" w:hAnsi="Calibri" w:eastAsia="宋体" w:cs="Times New Roman"/>
          <w:sz w:val="24"/>
          <w:szCs w:val="22"/>
          <w:lang w:bidi="ar"/>
        </w:rPr>
        <w:t xml:space="preserve"> </w:t>
      </w:r>
      <w:r>
        <w:rPr>
          <w:rFonts w:ascii="Times New Roman" w:hAnsi="Times New Roman" w:eastAsia="宋体" w:cs="Times New Roman"/>
          <w:sz w:val="24"/>
          <w:szCs w:val="24"/>
          <w:lang w:bidi="ar"/>
        </w:rPr>
        <w:t>m</w:t>
      </w:r>
      <w:r>
        <w:rPr>
          <w:rFonts w:hint="eastAsia" w:ascii="Times New Roman" w:hAnsi="Times New Roman" w:eastAsia="宋体" w:cs="宋体"/>
          <w:sz w:val="24"/>
          <w:szCs w:val="24"/>
          <w:lang w:bidi="ar"/>
        </w:rPr>
        <w:t>，深度宜小于帷幕深度，且应进入原静止水位</w:t>
      </w:r>
      <w:r>
        <w:rPr>
          <w:rFonts w:ascii="Times New Roman" w:hAnsi="Times New Roman" w:eastAsia="宋体" w:cs="Times New Roman"/>
          <w:sz w:val="24"/>
          <w:szCs w:val="24"/>
          <w:lang w:bidi="ar"/>
        </w:rPr>
        <w:t>1</w:t>
      </w:r>
      <w:r>
        <w:rPr>
          <w:rFonts w:ascii="Calibri" w:hAnsi="Calibri" w:eastAsia="宋体" w:cs="Times New Roman"/>
          <w:sz w:val="24"/>
          <w:szCs w:val="22"/>
          <w:lang w:bidi="ar"/>
        </w:rPr>
        <w:t xml:space="preserve"> </w:t>
      </w:r>
      <w:r>
        <w:rPr>
          <w:rFonts w:ascii="Times New Roman" w:hAnsi="Times New Roman" w:eastAsia="宋体" w:cs="Times New Roman"/>
          <w:sz w:val="24"/>
          <w:szCs w:val="24"/>
          <w:lang w:bidi="ar"/>
        </w:rPr>
        <w:t>m</w:t>
      </w:r>
      <w:r>
        <w:rPr>
          <w:rFonts w:hint="eastAsia" w:ascii="Times New Roman" w:hAnsi="Times New Roman" w:eastAsia="宋体" w:cs="宋体"/>
          <w:sz w:val="24"/>
          <w:szCs w:val="24"/>
          <w:lang w:bidi="ar"/>
        </w:rPr>
        <w:t>以下；观测孔与降水井及回灌井距离不宜太近，应满足其孔内水位要有代表性的要求。基坑下若存在承压含水层应进行验算。必要时可设置减压井控制承压含水层水压，减压井宜布置于基坑中部。</w:t>
      </w:r>
    </w:p>
    <w:p>
      <w:pPr>
        <w:widowControl/>
        <w:spacing w:line="480" w:lineRule="exact"/>
        <w:ind w:firstLine="600" w:firstLineChars="250"/>
        <w:rPr>
          <w:rFonts w:hint="eastAsia" w:ascii="Times New Roman" w:hAnsi="Times New Roman" w:eastAsia="宋体" w:cs="宋体"/>
          <w:sz w:val="24"/>
          <w:szCs w:val="24"/>
          <w:lang w:bidi="ar"/>
        </w:rPr>
      </w:pPr>
      <w:r>
        <w:rPr>
          <w:rFonts w:hint="eastAsia" w:ascii="Times New Roman" w:hAnsi="Times New Roman" w:eastAsia="宋体" w:cs="宋体"/>
          <w:sz w:val="24"/>
          <w:szCs w:val="24"/>
          <w:lang w:bidi="ar"/>
        </w:rPr>
        <w:t>基坑内潜水地下水水位应降低至基坑底面下</w:t>
      </w:r>
      <w:r>
        <w:rPr>
          <w:rFonts w:ascii="Times New Roman" w:hAnsi="Times New Roman" w:eastAsia="宋体" w:cs="Times New Roman"/>
          <w:sz w:val="24"/>
          <w:szCs w:val="24"/>
          <w:lang w:bidi="ar"/>
        </w:rPr>
        <w:t>0.5m</w:t>
      </w:r>
      <w:r>
        <w:rPr>
          <w:rFonts w:hint="eastAsia" w:ascii="Times New Roman" w:hAnsi="Times New Roman" w:eastAsia="宋体" w:cs="宋体"/>
          <w:sz w:val="24"/>
          <w:szCs w:val="24"/>
          <w:lang w:bidi="ar"/>
        </w:rPr>
        <w:t>～</w:t>
      </w:r>
      <w:r>
        <w:rPr>
          <w:rFonts w:ascii="Times New Roman" w:hAnsi="Times New Roman" w:eastAsia="宋体" w:cs="Times New Roman"/>
          <w:sz w:val="24"/>
          <w:szCs w:val="24"/>
          <w:lang w:bidi="ar"/>
        </w:rPr>
        <w:t>1.5m</w:t>
      </w:r>
      <w:r>
        <w:rPr>
          <w:rFonts w:hint="eastAsia" w:ascii="Times New Roman" w:hAnsi="Times New Roman" w:eastAsia="宋体" w:cs="宋体"/>
          <w:sz w:val="24"/>
          <w:szCs w:val="24"/>
          <w:lang w:bidi="ar"/>
        </w:rPr>
        <w:t>。粘性土取大值。</w:t>
      </w:r>
    </w:p>
    <w:p>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color w:val="auto"/>
          <w:szCs w:val="24"/>
          <w:lang w:val="en-US"/>
        </w:rPr>
      </w:pPr>
      <w:r>
        <w:rPr>
          <w:rFonts w:hint="eastAsia" w:ascii="Times New Roman" w:hAnsi="Times New Roman" w:eastAsia="宋体" w:cs="Times New Roman"/>
          <w:b/>
          <w:bCs w:val="0"/>
          <w:color w:val="auto"/>
          <w:kern w:val="2"/>
          <w:sz w:val="24"/>
          <w:szCs w:val="22"/>
          <w:lang w:val="en-US" w:eastAsia="zh-CN" w:bidi="ar"/>
        </w:rPr>
        <w:t>13.2.5</w:t>
      </w: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真空井点降水的井间距宜取</w:t>
      </w:r>
      <w:r>
        <w:rPr>
          <w:rFonts w:hint="default" w:ascii="Times New Roman" w:hAnsi="Times New Roman" w:eastAsia="宋体" w:cs="Times New Roman"/>
          <w:color w:val="auto"/>
          <w:kern w:val="2"/>
          <w:sz w:val="24"/>
          <w:szCs w:val="24"/>
          <w:lang w:val="en-US" w:eastAsia="zh-CN" w:bidi="ar"/>
        </w:rPr>
        <w:t>0.8m</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2.0m</w:t>
      </w:r>
      <w:r>
        <w:rPr>
          <w:rFonts w:hint="eastAsia" w:ascii="Times New Roman" w:hAnsi="Times New Roman" w:eastAsia="宋体" w:cs="宋体"/>
          <w:color w:val="auto"/>
          <w:kern w:val="2"/>
          <w:sz w:val="24"/>
          <w:szCs w:val="24"/>
          <w:lang w:val="en-US" w:eastAsia="zh-CN" w:bidi="ar"/>
        </w:rPr>
        <w:t>；喷射井点降水的井间距宜取</w:t>
      </w:r>
      <w:r>
        <w:rPr>
          <w:rFonts w:hint="default" w:ascii="Times New Roman" w:hAnsi="Times New Roman" w:eastAsia="宋体" w:cs="Times New Roman"/>
          <w:color w:val="auto"/>
          <w:kern w:val="2"/>
          <w:sz w:val="24"/>
          <w:szCs w:val="24"/>
          <w:lang w:val="en-US" w:eastAsia="zh-CN" w:bidi="ar"/>
        </w:rPr>
        <w:t>1.5m</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3.0m</w:t>
      </w:r>
      <w:r>
        <w:rPr>
          <w:rFonts w:hint="eastAsia" w:ascii="Times New Roman" w:hAnsi="Times New Roman" w:eastAsia="宋体" w:cs="宋体"/>
          <w:color w:val="auto"/>
          <w:kern w:val="2"/>
          <w:sz w:val="24"/>
          <w:szCs w:val="24"/>
          <w:lang w:val="en-US" w:eastAsia="zh-CN" w:bidi="ar"/>
        </w:rPr>
        <w:t>；当真空井点、喷射井点的井口至设计降水水位的深度大于</w:t>
      </w:r>
      <w:r>
        <w:rPr>
          <w:rFonts w:hint="default" w:ascii="Times New Roman" w:hAnsi="Times New Roman" w:eastAsia="宋体" w:cs="Times New Roman"/>
          <w:color w:val="auto"/>
          <w:kern w:val="2"/>
          <w:sz w:val="24"/>
          <w:szCs w:val="24"/>
          <w:lang w:val="en-US" w:eastAsia="zh-CN" w:bidi="ar"/>
        </w:rPr>
        <w:t>6m</w:t>
      </w:r>
      <w:r>
        <w:rPr>
          <w:rFonts w:hint="eastAsia" w:ascii="Times New Roman" w:hAnsi="Times New Roman" w:eastAsia="宋体" w:cs="宋体"/>
          <w:color w:val="auto"/>
          <w:kern w:val="2"/>
          <w:sz w:val="24"/>
          <w:szCs w:val="24"/>
          <w:lang w:val="en-US" w:eastAsia="zh-CN" w:bidi="ar"/>
        </w:rPr>
        <w:t>时，可采用多级井点降水，多级井点上下级的高差宜取</w:t>
      </w:r>
      <w:r>
        <w:rPr>
          <w:rFonts w:hint="default" w:ascii="Times New Roman" w:hAnsi="Times New Roman" w:eastAsia="宋体" w:cs="Times New Roman"/>
          <w:color w:val="auto"/>
          <w:kern w:val="2"/>
          <w:sz w:val="24"/>
          <w:szCs w:val="24"/>
          <w:lang w:val="en-US" w:eastAsia="zh-CN" w:bidi="ar"/>
        </w:rPr>
        <w:t>4m</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5m</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color w:val="auto"/>
          <w:szCs w:val="24"/>
          <w:lang w:val="en-US"/>
        </w:rPr>
      </w:pP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真空井点出水能力可取</w:t>
      </w:r>
      <w:r>
        <w:rPr>
          <w:rFonts w:hint="default" w:ascii="Times New Roman" w:hAnsi="Times New Roman" w:eastAsia="宋体" w:cs="Times New Roman"/>
          <w:color w:val="auto"/>
          <w:kern w:val="2"/>
          <w:sz w:val="24"/>
          <w:szCs w:val="24"/>
          <w:lang w:val="en-US" w:eastAsia="zh-CN" w:bidi="ar"/>
        </w:rPr>
        <w:t>36 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60 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cs="Times New Roman"/>
          <w:color w:val="auto"/>
          <w:szCs w:val="24"/>
          <w:lang w:val="en-US"/>
        </w:rPr>
      </w:pPr>
      <w:r>
        <w:rPr>
          <w:rFonts w:hint="eastAsia" w:ascii="Times New Roman" w:hAnsi="Times New Roman" w:eastAsia="宋体" w:cs="宋体"/>
          <w:color w:val="auto"/>
          <w:kern w:val="2"/>
          <w:sz w:val="24"/>
          <w:szCs w:val="24"/>
          <w:lang w:val="en-US" w:eastAsia="zh-CN" w:bidi="ar"/>
        </w:rPr>
        <w:t>喷射井点出水能力可按表</w:t>
      </w:r>
      <w:r>
        <w:rPr>
          <w:rFonts w:hint="default" w:ascii="Times New Roman" w:hAnsi="Times New Roman" w:eastAsia="宋体" w:cs="Times New Roman"/>
          <w:color w:val="auto"/>
          <w:kern w:val="2"/>
          <w:sz w:val="24"/>
          <w:szCs w:val="24"/>
          <w:lang w:val="en-US" w:eastAsia="zh-CN" w:bidi="ar"/>
        </w:rPr>
        <w:t>9.2.4</w:t>
      </w:r>
      <w:r>
        <w:rPr>
          <w:rFonts w:hint="eastAsia" w:ascii="Times New Roman" w:hAnsi="Times New Roman" w:eastAsia="宋体" w:cs="宋体"/>
          <w:color w:val="auto"/>
          <w:kern w:val="2"/>
          <w:sz w:val="24"/>
          <w:szCs w:val="24"/>
          <w:lang w:val="en-US" w:eastAsia="zh-CN" w:bidi="ar"/>
        </w:rPr>
        <w:t>取值。</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表</w:t>
      </w:r>
      <w:r>
        <w:rPr>
          <w:rFonts w:hint="eastAsia" w:ascii="Times New Roman" w:hAnsi="Times New Roman" w:cs="Times New Roman"/>
          <w:b/>
          <w:bCs w:val="0"/>
          <w:color w:val="auto"/>
          <w:kern w:val="2"/>
          <w:sz w:val="21"/>
          <w:szCs w:val="21"/>
          <w:lang w:val="en-US" w:eastAsia="zh-CN" w:bidi="ar"/>
        </w:rPr>
        <w:t>13.2.5</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Times New Roman" w:hAnsi="Times New Roman" w:eastAsia="宋体" w:cs="宋体"/>
          <w:b/>
          <w:bCs w:val="0"/>
          <w:color w:val="auto"/>
          <w:kern w:val="2"/>
          <w:sz w:val="21"/>
          <w:szCs w:val="21"/>
          <w:lang w:val="en-US" w:eastAsia="zh-CN" w:bidi="ar"/>
        </w:rPr>
        <w:t>喷射井点的出水能力</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27"/>
        <w:gridCol w:w="913"/>
        <w:gridCol w:w="1161"/>
        <w:gridCol w:w="1465"/>
        <w:gridCol w:w="1680"/>
        <w:gridCol w:w="1504"/>
        <w:gridCol w:w="1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506" w:hRule="exact"/>
          <w:jc w:val="center"/>
        </w:trPr>
        <w:tc>
          <w:tcPr>
            <w:tcW w:w="627"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外管</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直径</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(mm)</w:t>
            </w:r>
          </w:p>
        </w:tc>
        <w:tc>
          <w:tcPr>
            <w:tcW w:w="20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喷射管</w:t>
            </w:r>
          </w:p>
        </w:tc>
        <w:tc>
          <w:tcPr>
            <w:tcW w:w="1465"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工作水压力</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(MPa)</w:t>
            </w:r>
          </w:p>
        </w:tc>
        <w:tc>
          <w:tcPr>
            <w:tcW w:w="168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工作水流量</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150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设计单井</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出水流量</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d)</w:t>
            </w:r>
          </w:p>
        </w:tc>
        <w:tc>
          <w:tcPr>
            <w:tcW w:w="1775"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适用含水层</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渗透系数</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cantSplit/>
          <w:trHeight w:val="591" w:hRule="atLeast"/>
          <w:jc w:val="center"/>
        </w:trPr>
        <w:tc>
          <w:tcPr>
            <w:tcW w:w="627"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color w:val="auto"/>
                <w:sz w:val="20"/>
                <w:szCs w:val="20"/>
              </w:rPr>
            </w:pPr>
          </w:p>
        </w:tc>
        <w:tc>
          <w:tcPr>
            <w:tcW w:w="91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喷嘴直径（</w:t>
            </w:r>
            <w:r>
              <w:rPr>
                <w:rFonts w:hint="default" w:ascii="Times New Roman" w:hAnsi="Times New Roman" w:eastAsia="宋体" w:cs="Times New Roman"/>
                <w:color w:val="auto"/>
                <w:kern w:val="2"/>
                <w:sz w:val="21"/>
                <w:szCs w:val="21"/>
                <w:lang w:val="en-US" w:eastAsia="zh-CN" w:bidi="ar"/>
              </w:rPr>
              <w:t>mm</w:t>
            </w:r>
            <w:r>
              <w:rPr>
                <w:rFonts w:hint="eastAsia" w:ascii="Times New Roman" w:hAnsi="Times New Roman" w:eastAsia="宋体" w:cs="宋体"/>
                <w:color w:val="auto"/>
                <w:kern w:val="2"/>
                <w:sz w:val="21"/>
                <w:szCs w:val="21"/>
                <w:lang w:val="en-US" w:eastAsia="zh-CN" w:bidi="ar"/>
              </w:rPr>
              <w:t>）</w:t>
            </w:r>
          </w:p>
        </w:tc>
        <w:tc>
          <w:tcPr>
            <w:tcW w:w="1161"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混合室直径</w:t>
            </w:r>
            <w:r>
              <w:rPr>
                <w:rFonts w:hint="default" w:ascii="Times New Roman" w:hAnsi="Times New Roman" w:eastAsia="宋体" w:cs="Times New Roman"/>
                <w:color w:val="auto"/>
                <w:kern w:val="2"/>
                <w:sz w:val="21"/>
                <w:szCs w:val="21"/>
                <w:lang w:val="en-US" w:eastAsia="zh-CN" w:bidi="ar"/>
              </w:rPr>
              <w:t>(mm)</w:t>
            </w:r>
          </w:p>
        </w:tc>
        <w:tc>
          <w:tcPr>
            <w:tcW w:w="1465"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color w:val="auto"/>
                <w:sz w:val="20"/>
                <w:szCs w:val="20"/>
              </w:rPr>
            </w:pPr>
          </w:p>
        </w:tc>
        <w:tc>
          <w:tcPr>
            <w:tcW w:w="168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color w:val="auto"/>
                <w:sz w:val="20"/>
                <w:szCs w:val="20"/>
              </w:rPr>
            </w:pPr>
          </w:p>
        </w:tc>
        <w:tc>
          <w:tcPr>
            <w:tcW w:w="150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color w:val="auto"/>
                <w:sz w:val="20"/>
                <w:szCs w:val="20"/>
              </w:rPr>
            </w:pPr>
          </w:p>
        </w:tc>
        <w:tc>
          <w:tcPr>
            <w:tcW w:w="1775"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color w:val="auto"/>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exact"/>
          <w:jc w:val="center"/>
        </w:trPr>
        <w:tc>
          <w:tcPr>
            <w:tcW w:w="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38</w:t>
            </w:r>
          </w:p>
        </w:tc>
        <w:tc>
          <w:tcPr>
            <w:tcW w:w="91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7</w:t>
            </w:r>
          </w:p>
        </w:tc>
        <w:tc>
          <w:tcPr>
            <w:tcW w:w="1161"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w:t>
            </w:r>
          </w:p>
        </w:tc>
        <w:tc>
          <w:tcPr>
            <w:tcW w:w="146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0. 6</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0.8</w:t>
            </w:r>
          </w:p>
        </w:tc>
        <w:tc>
          <w:tcPr>
            <w:tcW w:w="168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112.8</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163.2</w:t>
            </w:r>
          </w:p>
        </w:tc>
        <w:tc>
          <w:tcPr>
            <w:tcW w:w="150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100.8</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138.2</w:t>
            </w:r>
          </w:p>
        </w:tc>
        <w:tc>
          <w:tcPr>
            <w:tcW w:w="177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0.1</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exact"/>
          <w:jc w:val="center"/>
        </w:trPr>
        <w:tc>
          <w:tcPr>
            <w:tcW w:w="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68</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91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7</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161"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46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0. 6</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0.8</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68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110.4</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148.8</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50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103.2</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138.2</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77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0.1</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5.0</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exact"/>
          <w:jc w:val="center"/>
        </w:trPr>
        <w:tc>
          <w:tcPr>
            <w:tcW w:w="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100</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91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161"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46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0.6</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0.8</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68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230.4</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50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259.2</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388.8</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c>
          <w:tcPr>
            <w:tcW w:w="177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5.0</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l0.0</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exact"/>
          <w:jc w:val="center"/>
        </w:trPr>
        <w:tc>
          <w:tcPr>
            <w:tcW w:w="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162</w:t>
            </w:r>
          </w:p>
        </w:tc>
        <w:tc>
          <w:tcPr>
            <w:tcW w:w="91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19</w:t>
            </w:r>
          </w:p>
        </w:tc>
        <w:tc>
          <w:tcPr>
            <w:tcW w:w="1161"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40</w:t>
            </w:r>
          </w:p>
        </w:tc>
        <w:tc>
          <w:tcPr>
            <w:tcW w:w="146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0.6</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0.8</w:t>
            </w:r>
          </w:p>
        </w:tc>
        <w:tc>
          <w:tcPr>
            <w:tcW w:w="168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720.0</w:t>
            </w:r>
          </w:p>
        </w:tc>
        <w:tc>
          <w:tcPr>
            <w:tcW w:w="150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600.0</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720.0</w:t>
            </w:r>
          </w:p>
        </w:tc>
        <w:tc>
          <w:tcPr>
            <w:tcW w:w="177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10.0</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20.0</w:t>
            </w:r>
          </w:p>
        </w:tc>
      </w:tr>
    </w:tbl>
    <w:p>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color w:val="auto"/>
          <w:szCs w:val="24"/>
          <w:lang w:val="en-US"/>
        </w:rPr>
      </w:pPr>
      <w:r>
        <w:rPr>
          <w:rFonts w:hint="eastAsia" w:ascii="Times New Roman" w:hAnsi="Times New Roman" w:eastAsia="宋体" w:cs="Times New Roman"/>
          <w:b/>
          <w:bCs w:val="0"/>
          <w:color w:val="auto"/>
          <w:kern w:val="2"/>
          <w:sz w:val="24"/>
          <w:szCs w:val="22"/>
          <w:lang w:val="en-US" w:eastAsia="zh-CN" w:bidi="ar"/>
        </w:rPr>
        <w:t>13</w:t>
      </w:r>
      <w:r>
        <w:rPr>
          <w:rFonts w:hint="default" w:ascii="Times New Roman" w:hAnsi="Times New Roman" w:eastAsia="宋体" w:cs="Times New Roman"/>
          <w:b/>
          <w:bCs w:val="0"/>
          <w:color w:val="auto"/>
          <w:kern w:val="2"/>
          <w:sz w:val="24"/>
          <w:szCs w:val="22"/>
          <w:lang w:val="en-US" w:eastAsia="zh-CN" w:bidi="ar"/>
        </w:rPr>
        <w:t>.2.</w:t>
      </w:r>
      <w:r>
        <w:rPr>
          <w:rFonts w:hint="eastAsia" w:ascii="Times New Roman" w:hAnsi="Times New Roman" w:eastAsia="宋体" w:cs="Times New Roman"/>
          <w:b/>
          <w:bCs w:val="0"/>
          <w:color w:val="auto"/>
          <w:kern w:val="2"/>
          <w:sz w:val="24"/>
          <w:szCs w:val="22"/>
          <w:lang w:val="en-US" w:eastAsia="zh-CN" w:bidi="ar"/>
        </w:rPr>
        <w:t>6</w:t>
      </w: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降水井结构设计，井径要满足抽水设备的使用要求，宜大于水泵外径</w:t>
      </w:r>
      <w:r>
        <w:rPr>
          <w:rFonts w:hint="default" w:ascii="Times New Roman" w:hAnsi="Times New Roman" w:eastAsia="宋体" w:cs="Times New Roman"/>
          <w:color w:val="auto"/>
          <w:kern w:val="2"/>
          <w:sz w:val="24"/>
          <w:szCs w:val="24"/>
          <w:lang w:val="en-US" w:eastAsia="zh-CN" w:bidi="ar"/>
        </w:rPr>
        <w:t>50mm</w:t>
      </w:r>
      <w:r>
        <w:rPr>
          <w:rFonts w:hint="eastAsia" w:ascii="Times New Roman" w:hAnsi="Times New Roman" w:eastAsia="宋体" w:cs="宋体"/>
          <w:color w:val="auto"/>
          <w:kern w:val="2"/>
          <w:sz w:val="24"/>
          <w:szCs w:val="24"/>
          <w:lang w:val="en-US" w:eastAsia="zh-CN" w:bidi="ar"/>
        </w:rPr>
        <w:t>；滤管外径不宜小于</w:t>
      </w:r>
      <w:r>
        <w:rPr>
          <w:rFonts w:hint="default" w:ascii="Times New Roman" w:hAnsi="Times New Roman" w:eastAsia="宋体" w:cs="Times New Roman"/>
          <w:color w:val="auto"/>
          <w:kern w:val="2"/>
          <w:sz w:val="24"/>
          <w:szCs w:val="24"/>
          <w:lang w:val="en-US" w:eastAsia="zh-CN" w:bidi="ar"/>
        </w:rPr>
        <w:t>200mm</w:t>
      </w:r>
      <w:r>
        <w:rPr>
          <w:rFonts w:hint="eastAsia" w:ascii="Times New Roman" w:hAnsi="Times New Roman" w:eastAsia="宋体" w:cs="宋体"/>
          <w:color w:val="auto"/>
          <w:kern w:val="2"/>
          <w:sz w:val="24"/>
          <w:szCs w:val="24"/>
          <w:lang w:val="en-US" w:eastAsia="zh-CN" w:bidi="ar"/>
        </w:rPr>
        <w:t>；管径外填滤料的厚度不小于</w:t>
      </w:r>
      <w:r>
        <w:rPr>
          <w:rFonts w:hint="default" w:ascii="Times New Roman" w:hAnsi="Times New Roman" w:eastAsia="宋体" w:cs="Times New Roman"/>
          <w:color w:val="auto"/>
          <w:kern w:val="2"/>
          <w:sz w:val="24"/>
          <w:szCs w:val="24"/>
          <w:lang w:val="en-US" w:eastAsia="zh-CN" w:bidi="ar"/>
        </w:rPr>
        <w:t>100mm</w:t>
      </w:r>
      <w:r>
        <w:rPr>
          <w:rFonts w:hint="eastAsia" w:ascii="Times New Roman" w:hAnsi="Times New Roman" w:eastAsia="宋体" w:cs="宋体"/>
          <w:color w:val="auto"/>
          <w:kern w:val="2"/>
          <w:sz w:val="24"/>
          <w:szCs w:val="24"/>
          <w:lang w:val="en-US" w:eastAsia="zh-CN" w:bidi="ar"/>
        </w:rPr>
        <w:t>，滤料规格应磨圆较好，级配与含水层颗粒组成适宜，确保抽水不出浑水；管井成孔直径应满足填充滤料的要求，井管均应设置井底封底。</w:t>
      </w:r>
    </w:p>
    <w:p>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color w:val="auto"/>
          <w:szCs w:val="24"/>
          <w:lang w:val="en-US"/>
        </w:rPr>
      </w:pP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井深设计宜综合考虑动水位、井损、沉砂管、单井出水能力等因素，井底沉砂管长度不宜小于</w:t>
      </w:r>
      <w:r>
        <w:rPr>
          <w:rFonts w:hint="default" w:ascii="Times New Roman" w:hAnsi="Times New Roman" w:eastAsia="宋体" w:cs="Times New Roman"/>
          <w:color w:val="auto"/>
          <w:kern w:val="2"/>
          <w:sz w:val="24"/>
          <w:szCs w:val="24"/>
          <w:lang w:val="en-US" w:eastAsia="zh-CN" w:bidi="ar"/>
        </w:rPr>
        <w:t>2m</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480" w:lineRule="exact"/>
        <w:ind w:left="0" w:right="0"/>
        <w:jc w:val="both"/>
        <w:rPr>
          <w:rFonts w:hint="eastAsia" w:ascii="Times New Roman" w:hAnsi="Times New Roman" w:eastAsia="宋体" w:cs="宋体"/>
          <w:color w:val="auto"/>
          <w:kern w:val="2"/>
          <w:sz w:val="24"/>
          <w:szCs w:val="24"/>
          <w:lang w:val="en-US" w:eastAsia="zh-CN" w:bidi="ar"/>
        </w:rPr>
      </w:pPr>
      <w:r>
        <w:rPr>
          <w:rFonts w:hint="eastAsia" w:ascii="Times New Roman" w:hAnsi="Times New Roman" w:eastAsia="宋体" w:cs="Times New Roman"/>
          <w:b/>
          <w:bCs w:val="0"/>
          <w:color w:val="auto"/>
          <w:kern w:val="2"/>
          <w:sz w:val="24"/>
          <w:szCs w:val="22"/>
          <w:lang w:val="en-US" w:eastAsia="zh-CN" w:bidi="ar"/>
        </w:rPr>
        <w:t>13.2.7</w:t>
      </w:r>
      <w:r>
        <w:rPr>
          <w:rFonts w:hint="default" w:ascii="Times New Roman" w:hAnsi="Times New Roman" w:eastAsia="宋体" w:cs="Times New Roman"/>
          <w:b/>
          <w:bCs w:val="0"/>
          <w:color w:val="auto"/>
          <w:kern w:val="2"/>
          <w:sz w:val="24"/>
          <w:szCs w:val="22"/>
          <w:lang w:val="en-US" w:eastAsia="zh-CN" w:bidi="ar"/>
        </w:rPr>
        <w:t xml:space="preserve"> </w:t>
      </w:r>
      <w:r>
        <w:rPr>
          <w:rFonts w:hint="eastAsia" w:ascii="Times New Roman" w:hAnsi="Times New Roman" w:eastAsia="宋体" w:cs="宋体"/>
          <w:color w:val="auto"/>
          <w:kern w:val="2"/>
          <w:sz w:val="24"/>
          <w:szCs w:val="24"/>
          <w:lang w:val="en-US" w:eastAsia="zh-CN" w:bidi="ar"/>
        </w:rPr>
        <w:t>基坑降水引起的地面附加沉降量较大时，应采用截流或回灌等方式减少坑外水位降，控制地面下沉带来的负面影响。</w:t>
      </w:r>
    </w:p>
    <w:p>
      <w:pPr>
        <w:keepNext w:val="0"/>
        <w:keepLines w:val="0"/>
        <w:widowControl w:val="0"/>
        <w:suppressLineNumbers w:val="0"/>
        <w:spacing w:before="0" w:beforeAutospacing="0" w:after="0" w:afterAutospacing="0" w:line="480" w:lineRule="exact"/>
        <w:ind w:left="0" w:right="0"/>
        <w:jc w:val="both"/>
        <w:rPr>
          <w:rFonts w:hint="default" w:ascii="Times New Roman" w:hAnsi="Times New Roman" w:eastAsia="宋体" w:cs="宋体"/>
          <w:color w:val="auto"/>
          <w:kern w:val="2"/>
          <w:sz w:val="24"/>
          <w:szCs w:val="24"/>
          <w:lang w:val="en-US" w:eastAsia="zh-CN" w:bidi="ar"/>
        </w:rPr>
      </w:pPr>
      <w:r>
        <w:rPr>
          <w:rFonts w:hint="eastAsia" w:ascii="Times New Roman" w:hAnsi="Times New Roman" w:eastAsia="宋体" w:cs="Times New Roman"/>
          <w:b/>
          <w:bCs w:val="0"/>
          <w:color w:val="auto"/>
          <w:kern w:val="2"/>
          <w:sz w:val="24"/>
          <w:szCs w:val="22"/>
          <w:lang w:val="en-US" w:eastAsia="zh-CN" w:bidi="ar"/>
        </w:rPr>
        <w:t>13.2.8</w:t>
      </w:r>
      <w:r>
        <w:rPr>
          <w:rFonts w:hint="default" w:ascii="Times New Roman" w:hAnsi="Times New Roman" w:eastAsia="宋体" w:cs="Times New Roman"/>
          <w:b/>
          <w:bCs w:val="0"/>
          <w:color w:val="auto"/>
          <w:kern w:val="2"/>
          <w:sz w:val="24"/>
          <w:szCs w:val="22"/>
          <w:lang w:val="en-US" w:eastAsia="zh-CN" w:bidi="ar"/>
        </w:rPr>
        <w:t xml:space="preserve"> </w:t>
      </w:r>
      <w:r>
        <w:rPr>
          <w:rFonts w:hint="eastAsia" w:ascii="Times New Roman" w:hAnsi="Times New Roman" w:eastAsia="宋体" w:cs="Times New Roman"/>
          <w:color w:val="auto"/>
          <w:kern w:val="2"/>
          <w:sz w:val="24"/>
          <w:szCs w:val="24"/>
          <w:lang w:val="en-US" w:eastAsia="zh-CN" w:bidi="ar"/>
        </w:rPr>
        <w:t>回灌水位控制一般应不高于原地下水水位。</w:t>
      </w:r>
    </w:p>
    <w:p>
      <w:pPr>
        <w:widowControl/>
        <w:spacing w:line="480" w:lineRule="exact"/>
        <w:ind w:firstLine="600" w:firstLineChars="250"/>
        <w:rPr>
          <w:rFonts w:hint="eastAsia" w:ascii="Times New Roman" w:hAnsi="Times New Roman" w:eastAsia="宋体" w:cs="宋体"/>
          <w:sz w:val="24"/>
          <w:szCs w:val="24"/>
          <w:lang w:bidi="ar"/>
        </w:rPr>
      </w:pPr>
    </w:p>
    <w:p>
      <w:pPr>
        <w:widowControl/>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br w:type="page"/>
      </w:r>
    </w:p>
    <w:p>
      <w:pPr>
        <w:pStyle w:val="3"/>
        <w:bidi w:val="0"/>
        <w:rPr>
          <w:lang w:val="en-US" w:eastAsia="zh-CN"/>
        </w:rPr>
      </w:pPr>
      <w:bookmarkStart w:id="730" w:name="_Toc6891"/>
      <w:r>
        <w:rPr>
          <w:rFonts w:hint="eastAsia"/>
          <w:lang w:val="en-US" w:eastAsia="zh-CN"/>
        </w:rPr>
        <w:t>13.3  管井降水</w:t>
      </w:r>
      <w:bookmarkEnd w:id="730"/>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Times New Roman"/>
          <w:b/>
          <w:sz w:val="24"/>
          <w:szCs w:val="22"/>
          <w:lang w:eastAsia="zh-CN" w:bidi="ar"/>
        </w:rPr>
        <w:t>13</w:t>
      </w:r>
      <w:r>
        <w:rPr>
          <w:rFonts w:hint="eastAsia" w:ascii="Times New Roman" w:hAnsi="Times New Roman" w:eastAsia="宋体" w:cs="Times New Roman"/>
          <w:b/>
          <w:sz w:val="24"/>
          <w:szCs w:val="22"/>
          <w:lang w:bidi="ar"/>
        </w:rPr>
        <w:t>.3.1</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设计单井出水量可根据抽水试验成果</w:t>
      </w:r>
      <w:r>
        <w:rPr>
          <w:rFonts w:ascii="Times New Roman" w:hAnsi="Times New Roman" w:eastAsia="宋体" w:cs="宋体"/>
          <w:sz w:val="24"/>
          <w:szCs w:val="24"/>
          <w:lang w:bidi="ar"/>
        </w:rPr>
        <w:t>Q-s</w:t>
      </w:r>
      <w:r>
        <w:rPr>
          <w:rFonts w:hint="eastAsia" w:ascii="Times New Roman" w:hAnsi="Times New Roman" w:eastAsia="宋体" w:cs="宋体"/>
          <w:sz w:val="24"/>
          <w:szCs w:val="24"/>
          <w:lang w:bidi="ar"/>
        </w:rPr>
        <w:t>曲线确定，并按照过滤管允许进水流量及管井出水能力进行复核。</w:t>
      </w:r>
    </w:p>
    <w:p>
      <w:pPr>
        <w:widowControl/>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sz w:val="24"/>
          <w:szCs w:val="24"/>
          <w:lang w:bidi="ar"/>
        </w:rPr>
        <w:t>过滤管允许进水流量可按下式计算：</w:t>
      </w:r>
    </w:p>
    <w:p>
      <w:pPr>
        <w:widowControl/>
        <w:spacing w:line="480" w:lineRule="exact"/>
        <w:jc w:val="right"/>
        <w:rPr>
          <w:rFonts w:ascii="Times New Roman" w:hAnsi="Times New Roman" w:eastAsia="宋体" w:cs="宋体"/>
          <w:sz w:val="24"/>
          <w:szCs w:val="22"/>
          <w:lang w:bidi="ar"/>
        </w:rPr>
      </w:pPr>
      <w:r>
        <w:rPr>
          <w:rFonts w:ascii="Times New Roman" w:hAnsi="Times New Roman" w:eastAsia="宋体" w:cs="宋体"/>
          <w:sz w:val="24"/>
          <w:szCs w:val="24"/>
          <w:lang w:bidi="ar"/>
        </w:rPr>
        <w:drawing>
          <wp:inline distT="0" distB="0" distL="114300" distR="114300">
            <wp:extent cx="1216025" cy="241300"/>
            <wp:effectExtent l="0" t="0" r="0" b="0"/>
            <wp:docPr id="24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2" name="图片 1"/>
                    <pic:cNvPicPr>
                      <a:picLocks noChangeAspect="true"/>
                    </pic:cNvPicPr>
                  </pic:nvPicPr>
                  <pic:blipFill>
                    <a:blip r:embed="rId676"/>
                    <a:stretch>
                      <a:fillRect/>
                    </a:stretch>
                  </pic:blipFill>
                  <pic:spPr>
                    <a:xfrm>
                      <a:off x="0" y="0"/>
                      <a:ext cx="1216025" cy="241300"/>
                    </a:xfrm>
                    <a:prstGeom prst="rect">
                      <a:avLst/>
                    </a:prstGeom>
                    <a:noFill/>
                    <a:ln w="9525">
                      <a:noFill/>
                    </a:ln>
                  </pic:spPr>
                </pic:pic>
              </a:graphicData>
            </a:graphic>
          </wp:inline>
        </w:drawing>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w:t>
      </w:r>
      <w:r>
        <w:rPr>
          <w:rFonts w:hint="eastAsia" w:ascii="Times New Roman" w:hAnsi="Times New Roman" w:eastAsia="宋体" w:cs="宋体"/>
          <w:sz w:val="24"/>
          <w:szCs w:val="24"/>
          <w:lang w:eastAsia="zh-CN" w:bidi="ar"/>
        </w:rPr>
        <w:t>13</w:t>
      </w:r>
      <w:r>
        <w:rPr>
          <w:rFonts w:hint="eastAsia" w:ascii="Times New Roman" w:hAnsi="Times New Roman" w:eastAsia="宋体" w:cs="宋体"/>
          <w:sz w:val="24"/>
          <w:szCs w:val="24"/>
          <w:lang w:bidi="ar"/>
        </w:rPr>
        <w:t>.3.1-1）</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式中：</w:t>
      </w:r>
      <w:r>
        <w:rPr>
          <w:rFonts w:ascii="Times New Roman" w:hAnsi="Times New Roman" w:eastAsia="宋体" w:cs="宋体"/>
          <w:sz w:val="24"/>
          <w:szCs w:val="24"/>
          <w:lang w:bidi="ar"/>
        </w:rPr>
        <w:object>
          <v:shape id="_x0000_i1263" o:spt="75" type="#_x0000_t75" style="height:19pt;width:17.4pt;" o:ole="t" filled="f" coordsize="21600,21600">
            <v:path/>
            <v:fill on="f" focussize="0,0"/>
            <v:stroke/>
            <v:imagedata r:id="rId678" o:title=""/>
            <o:lock v:ext="edit" aspectratio="t"/>
            <w10:wrap type="none"/>
            <w10:anchorlock/>
          </v:shape>
          <o:OLEObject Type="Embed" ProgID="Equation.KSEE3" ShapeID="_x0000_i1263" DrawAspect="Content" ObjectID="_1468075963" r:id="rId677">
            <o:LockedField>false</o:LockedField>
          </o:OLEObject>
        </w:object>
      </w:r>
      <w:r>
        <w:rPr>
          <w:rFonts w:hint="eastAsia" w:ascii="Times New Roman" w:hAnsi="Times New Roman" w:eastAsia="宋体" w:cs="宋体"/>
          <w:sz w:val="24"/>
          <w:szCs w:val="24"/>
          <w:lang w:bidi="ar"/>
        </w:rPr>
        <w:t>——过滤管允许进水流量（</w:t>
      </w:r>
      <w:r>
        <w:rPr>
          <w:rFonts w:ascii="Times New Roman" w:hAnsi="Times New Roman" w:eastAsia="宋体" w:cs="宋体"/>
          <w:sz w:val="24"/>
          <w:szCs w:val="24"/>
          <w:lang w:bidi="ar"/>
        </w:rPr>
        <w:t>m</w:t>
      </w:r>
      <w:r>
        <w:rPr>
          <w:rFonts w:ascii="Times New Roman" w:hAnsi="Times New Roman" w:eastAsia="宋体" w:cs="宋体"/>
          <w:sz w:val="24"/>
          <w:szCs w:val="24"/>
          <w:vertAlign w:val="superscript"/>
          <w:lang w:bidi="ar"/>
        </w:rPr>
        <w:t>3</w:t>
      </w:r>
      <w:r>
        <w:rPr>
          <w:rFonts w:ascii="Times New Roman" w:hAnsi="Times New Roman" w:eastAsia="宋体" w:cs="宋体"/>
          <w:sz w:val="24"/>
          <w:szCs w:val="24"/>
          <w:lang w:bidi="ar"/>
        </w:rPr>
        <w:t>/s</w:t>
      </w:r>
      <w:r>
        <w:rPr>
          <w:rFonts w:hint="eastAsia" w:ascii="Times New Roman" w:hAnsi="Times New Roman" w:eastAsia="宋体" w:cs="宋体"/>
          <w:sz w:val="24"/>
          <w:szCs w:val="24"/>
          <w:lang w:bidi="ar"/>
        </w:rPr>
        <w:t>）；</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object>
          <v:shape id="_x0000_i1264" o:spt="75" type="#_x0000_t75" style="height:11.1pt;width:9.5pt;" o:ole="t" filled="f" coordsize="21600,21600">
            <v:path/>
            <v:fill on="f" focussize="0,0"/>
            <v:stroke/>
            <v:imagedata r:id="rId680" o:title=""/>
            <o:lock v:ext="edit" aspectratio="t"/>
            <w10:wrap type="none"/>
            <w10:anchorlock/>
          </v:shape>
          <o:OLEObject Type="Embed" ProgID="Equation.KSEE3" ShapeID="_x0000_i1264" DrawAspect="Content" ObjectID="_1468075964" r:id="rId679">
            <o:LockedField>false</o:LockedField>
          </o:OLEObject>
        </w:object>
      </w:r>
      <w:r>
        <w:rPr>
          <w:rFonts w:hint="eastAsia" w:ascii="Times New Roman" w:hAnsi="Times New Roman" w:eastAsia="宋体" w:cs="宋体"/>
          <w:sz w:val="24"/>
          <w:szCs w:val="24"/>
          <w:lang w:bidi="ar"/>
        </w:rPr>
        <w:t>——过滤管进水面层有效孔隙率，宜按过滤管面层孔隙率的</w:t>
      </w:r>
      <w:r>
        <w:rPr>
          <w:rFonts w:ascii="Times New Roman" w:hAnsi="Times New Roman" w:eastAsia="宋体" w:cs="宋体"/>
          <w:sz w:val="24"/>
          <w:szCs w:val="24"/>
          <w:lang w:bidi="ar"/>
        </w:rPr>
        <w:t>50%</w:t>
      </w:r>
      <w:r>
        <w:rPr>
          <w:rFonts w:hint="eastAsia" w:ascii="Times New Roman" w:hAnsi="Times New Roman" w:eastAsia="宋体" w:cs="宋体"/>
          <w:sz w:val="24"/>
          <w:szCs w:val="24"/>
          <w:lang w:bidi="ar"/>
        </w:rPr>
        <w:t>计算；</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object>
          <v:shape id="_x0000_i1265" o:spt="75" type="#_x0000_t75" style="height:19pt;width:14.25pt;" o:ole="t" filled="f" coordsize="21600,21600">
            <v:path/>
            <v:fill on="f" focussize="0,0"/>
            <v:stroke/>
            <v:imagedata r:id="rId682" o:title=""/>
            <o:lock v:ext="edit" aspectratio="t"/>
            <w10:wrap type="none"/>
            <w10:anchorlock/>
          </v:shape>
          <o:OLEObject Type="Embed" ProgID="Equation.3" ShapeID="_x0000_i1265" DrawAspect="Content" ObjectID="_1468075965" r:id="rId681">
            <o:LockedField>false</o:LockedField>
          </o:OLEObject>
        </w:object>
      </w:r>
      <w:r>
        <w:rPr>
          <w:rFonts w:hint="eastAsia" w:ascii="Times New Roman" w:hAnsi="Times New Roman" w:eastAsia="宋体" w:cs="宋体"/>
          <w:sz w:val="24"/>
          <w:szCs w:val="24"/>
          <w:lang w:bidi="ar"/>
        </w:rPr>
        <w:t>——过滤管允许进水流速，宜取</w:t>
      </w:r>
      <w:r>
        <w:rPr>
          <w:rFonts w:ascii="Times New Roman" w:hAnsi="Times New Roman" w:eastAsia="宋体" w:cs="宋体"/>
          <w:sz w:val="24"/>
          <w:szCs w:val="24"/>
          <w:lang w:bidi="ar"/>
        </w:rPr>
        <w:t>0.03 m/s~ 0.08m/s</w:t>
      </w:r>
      <w:r>
        <w:rPr>
          <w:rFonts w:hint="eastAsia" w:ascii="Times New Roman" w:hAnsi="Times New Roman" w:eastAsia="宋体" w:cs="宋体"/>
          <w:sz w:val="24"/>
          <w:szCs w:val="24"/>
          <w:lang w:bidi="ar"/>
        </w:rPr>
        <w:t>；</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object>
          <v:shape id="_x0000_i1266" o:spt="75" type="#_x0000_t75" style="height:19pt;width:18.2pt;" o:ole="t" filled="f" coordsize="21600,21600">
            <v:path/>
            <v:fill on="f" focussize="0,0"/>
            <v:stroke/>
            <v:imagedata r:id="rId684" o:title=""/>
            <o:lock v:ext="edit" aspectratio="t"/>
            <w10:wrap type="none"/>
            <w10:anchorlock/>
          </v:shape>
          <o:OLEObject Type="Embed" ProgID="Equation.KSEE3" ShapeID="_x0000_i1266" DrawAspect="Content" ObjectID="_1468075966" r:id="rId683">
            <o:LockedField>false</o:LockedField>
          </o:OLEObject>
        </w:object>
      </w:r>
      <w:r>
        <w:rPr>
          <w:rFonts w:hint="eastAsia" w:ascii="Times New Roman" w:hAnsi="Times New Roman" w:eastAsia="宋体" w:cs="宋体"/>
          <w:sz w:val="24"/>
          <w:szCs w:val="24"/>
          <w:lang w:bidi="ar"/>
        </w:rPr>
        <w:t>——过滤管外径（</w:t>
      </w:r>
      <w:r>
        <w:rPr>
          <w:rFonts w:ascii="Times New Roman" w:hAnsi="Times New Roman" w:eastAsia="宋体" w:cs="宋体"/>
          <w:sz w:val="24"/>
          <w:szCs w:val="24"/>
          <w:lang w:bidi="ar"/>
        </w:rPr>
        <w:t>m</w:t>
      </w:r>
      <w:r>
        <w:rPr>
          <w:rFonts w:hint="eastAsia" w:ascii="Times New Roman" w:hAnsi="Times New Roman" w:eastAsia="宋体" w:cs="宋体"/>
          <w:sz w:val="24"/>
          <w:szCs w:val="24"/>
          <w:lang w:bidi="ar"/>
        </w:rPr>
        <w:t>）；</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object>
          <v:shape id="_x0000_i1267" o:spt="75" type="#_x0000_t75" style="height:14.25pt;width:6.35pt;" o:ole="t" filled="f" coordsize="21600,21600">
            <v:path/>
            <v:fill on="f" focussize="0,0"/>
            <v:stroke/>
            <v:imagedata r:id="rId686" o:title=""/>
            <o:lock v:ext="edit" aspectratio="t"/>
            <w10:wrap type="none"/>
            <w10:anchorlock/>
          </v:shape>
          <o:OLEObject Type="Embed" ProgID="Equation.3" ShapeID="_x0000_i1267" DrawAspect="Content" ObjectID="_1468075967" r:id="rId685">
            <o:LockedField>false</o:LockedField>
          </o:OLEObject>
        </w:object>
      </w:r>
      <w:r>
        <w:rPr>
          <w:rFonts w:hint="eastAsia" w:ascii="Times New Roman" w:hAnsi="Times New Roman" w:eastAsia="宋体" w:cs="宋体"/>
          <w:sz w:val="24"/>
          <w:szCs w:val="24"/>
          <w:lang w:bidi="ar"/>
        </w:rPr>
        <w:t>——</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过滤管有效进水长度，宜按过滤管长度的</w:t>
      </w:r>
      <w:r>
        <w:rPr>
          <w:rFonts w:ascii="Times New Roman" w:hAnsi="Times New Roman" w:eastAsia="宋体" w:cs="宋体"/>
          <w:sz w:val="24"/>
          <w:szCs w:val="24"/>
          <w:lang w:bidi="ar"/>
        </w:rPr>
        <w:t>85%</w:t>
      </w:r>
      <w:r>
        <w:rPr>
          <w:rFonts w:hint="eastAsia" w:ascii="Times New Roman" w:hAnsi="Times New Roman" w:eastAsia="宋体" w:cs="宋体"/>
          <w:sz w:val="24"/>
          <w:szCs w:val="24"/>
          <w:lang w:bidi="ar"/>
        </w:rPr>
        <w:t>计算（</w:t>
      </w:r>
      <w:r>
        <w:rPr>
          <w:rFonts w:ascii="Times New Roman" w:hAnsi="Times New Roman" w:eastAsia="宋体" w:cs="宋体"/>
          <w:sz w:val="24"/>
          <w:szCs w:val="24"/>
          <w:lang w:bidi="ar"/>
        </w:rPr>
        <w:t>m</w:t>
      </w:r>
      <w:r>
        <w:rPr>
          <w:rFonts w:hint="eastAsia" w:ascii="Times New Roman" w:hAnsi="Times New Roman" w:eastAsia="宋体" w:cs="宋体"/>
          <w:sz w:val="24"/>
          <w:szCs w:val="24"/>
          <w:lang w:bidi="ar"/>
        </w:rPr>
        <w:t>）。</w:t>
      </w:r>
    </w:p>
    <w:p>
      <w:pPr>
        <w:widowControl/>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sz w:val="24"/>
          <w:szCs w:val="24"/>
          <w:lang w:bidi="ar"/>
        </w:rPr>
        <w:t>管井的单井出水能力可下式估算：</w:t>
      </w:r>
    </w:p>
    <w:p>
      <w:pPr>
        <w:widowControl/>
        <w:spacing w:line="480" w:lineRule="exact"/>
        <w:ind w:firstLine="480" w:firstLineChars="200"/>
        <w:jc w:val="right"/>
        <w:rPr>
          <w:rFonts w:ascii="Times New Roman" w:hAnsi="Times New Roman" w:eastAsia="宋体" w:cs="宋体"/>
          <w:sz w:val="24"/>
          <w:szCs w:val="22"/>
          <w:lang w:bidi="ar"/>
        </w:rPr>
      </w:pPr>
      <w:r>
        <w:rPr>
          <w:rFonts w:ascii="Times New Roman" w:hAnsi="Times New Roman" w:eastAsia="宋体" w:cs="宋体"/>
          <w:sz w:val="24"/>
          <w:szCs w:val="24"/>
          <w:lang w:bidi="ar"/>
        </w:rPr>
        <w:object>
          <v:shape id="_x0000_i1268" o:spt="75" type="#_x0000_t75" style="height:20.55pt;width:96.55pt;" o:ole="t" filled="f" coordsize="21600,21600">
            <v:path/>
            <v:fill on="f" focussize="0,0"/>
            <v:stroke/>
            <v:imagedata r:id="rId688" o:title=""/>
            <o:lock v:ext="edit" aspectratio="t"/>
            <w10:wrap type="none"/>
            <w10:anchorlock/>
          </v:shape>
          <o:OLEObject Type="Embed" ProgID="Equation.3" ShapeID="_x0000_i1268" DrawAspect="Content" ObjectID="_1468075968" r:id="rId687">
            <o:LockedField>false</o:LockedField>
          </o:OLEObject>
        </w:objec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w:t>
      </w:r>
      <w:r>
        <w:rPr>
          <w:rFonts w:hint="eastAsia" w:ascii="Times New Roman" w:hAnsi="Times New Roman" w:eastAsia="宋体" w:cs="宋体"/>
          <w:sz w:val="24"/>
          <w:szCs w:val="24"/>
          <w:lang w:eastAsia="zh-CN" w:bidi="ar"/>
        </w:rPr>
        <w:t>13</w:t>
      </w:r>
      <w:r>
        <w:rPr>
          <w:rFonts w:hint="eastAsia" w:ascii="Times New Roman" w:hAnsi="Times New Roman" w:eastAsia="宋体" w:cs="宋体"/>
          <w:sz w:val="24"/>
          <w:szCs w:val="24"/>
          <w:lang w:bidi="ar"/>
        </w:rPr>
        <w:t>.3.1</w:t>
      </w:r>
      <w:r>
        <w:rPr>
          <w:rFonts w:ascii="Times New Roman" w:hAnsi="Times New Roman" w:eastAsia="宋体" w:cs="宋体"/>
          <w:sz w:val="24"/>
          <w:szCs w:val="24"/>
          <w:lang w:bidi="ar"/>
        </w:rPr>
        <w:t>-2</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式中：</w:t>
      </w:r>
      <w:r>
        <w:rPr>
          <w:rFonts w:ascii="Times New Roman" w:hAnsi="Times New Roman" w:eastAsia="宋体" w:cs="宋体"/>
          <w:sz w:val="24"/>
          <w:szCs w:val="24"/>
          <w:lang w:bidi="ar"/>
        </w:rPr>
        <w:object>
          <v:shape id="_x0000_i1269" o:spt="75" type="#_x0000_t75" style="height:18.2pt;width:11.1pt;" o:ole="t" filled="f" coordsize="21600,21600">
            <v:path/>
            <v:fill on="f" focussize="0,0"/>
            <v:stroke/>
            <v:imagedata r:id="rId690" o:title=""/>
            <o:lock v:ext="edit" aspectratio="t"/>
            <w10:wrap type="none"/>
            <w10:anchorlock/>
          </v:shape>
          <o:OLEObject Type="Embed" ProgID="Equation.3" ShapeID="_x0000_i1269" DrawAspect="Content" ObjectID="_1468075969" r:id="rId689">
            <o:LockedField>false</o:LockedField>
          </o:OLEObject>
        </w:object>
      </w:r>
      <w:r>
        <w:rPr>
          <w:rFonts w:hint="eastAsia" w:ascii="Times New Roman" w:hAnsi="Times New Roman" w:eastAsia="宋体" w:cs="宋体"/>
          <w:sz w:val="24"/>
          <w:szCs w:val="24"/>
          <w:lang w:bidi="ar"/>
        </w:rPr>
        <w:t>——过滤器半径（</w:t>
      </w:r>
      <w:r>
        <w:rPr>
          <w:rFonts w:ascii="Times New Roman" w:hAnsi="Times New Roman" w:eastAsia="宋体" w:cs="宋体"/>
          <w:sz w:val="24"/>
          <w:szCs w:val="24"/>
          <w:lang w:bidi="ar"/>
        </w:rPr>
        <w:t>m</w:t>
      </w:r>
      <w:r>
        <w:rPr>
          <w:rFonts w:hint="eastAsia" w:ascii="Times New Roman" w:hAnsi="Times New Roman" w:eastAsia="宋体" w:cs="宋体"/>
          <w:sz w:val="24"/>
          <w:szCs w:val="24"/>
          <w:lang w:bidi="ar"/>
        </w:rPr>
        <w:t>）；</w:t>
      </w:r>
    </w:p>
    <w:p>
      <w:pPr>
        <w:widowControl/>
        <w:spacing w:line="480" w:lineRule="exact"/>
        <w:ind w:firstLine="720" w:firstLineChars="300"/>
        <w:rPr>
          <w:rFonts w:ascii="Times New Roman" w:hAnsi="Times New Roman" w:eastAsia="宋体" w:cs="宋体"/>
          <w:sz w:val="24"/>
          <w:szCs w:val="22"/>
          <w:lang w:bidi="ar"/>
        </w:rPr>
      </w:pPr>
      <w:r>
        <w:rPr>
          <w:rFonts w:hint="eastAsia" w:ascii="Times New Roman" w:hAnsi="Times New Roman" w:eastAsia="宋体" w:cs="宋体"/>
          <w:sz w:val="24"/>
          <w:szCs w:val="24"/>
          <w:lang w:bidi="ar"/>
        </w:rPr>
        <w:t>k——含水层渗透系数（m/d）。</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ascii="Times New Roman" w:hAnsi="Times New Roman" w:eastAsia="宋体" w:cs="宋体"/>
          <w:b/>
          <w:bCs/>
          <w:sz w:val="24"/>
          <w:szCs w:val="24"/>
          <w:lang w:bidi="ar"/>
        </w:rPr>
        <w:t>.3.</w:t>
      </w:r>
      <w:r>
        <w:rPr>
          <w:rFonts w:hint="eastAsia" w:ascii="Times New Roman" w:hAnsi="Times New Roman" w:eastAsia="宋体" w:cs="宋体"/>
          <w:b/>
          <w:bCs/>
          <w:sz w:val="24"/>
          <w:szCs w:val="24"/>
          <w:lang w:bidi="ar"/>
        </w:rPr>
        <w:t>2</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降水井数可根据基坑涌水量和设计单井出水量下式计算：</w:t>
      </w:r>
    </w:p>
    <w:p>
      <w:pPr>
        <w:widowControl/>
        <w:spacing w:line="480" w:lineRule="exact"/>
        <w:ind w:firstLine="480" w:firstLineChars="200"/>
        <w:jc w:val="right"/>
        <w:rPr>
          <w:rFonts w:ascii="Times New Roman" w:hAnsi="Times New Roman" w:eastAsia="宋体" w:cs="宋体"/>
          <w:sz w:val="24"/>
          <w:szCs w:val="22"/>
          <w:lang w:bidi="ar"/>
        </w:rPr>
      </w:pPr>
      <w:r>
        <w:rPr>
          <w:rFonts w:ascii="Times New Roman" w:hAnsi="Times New Roman" w:eastAsia="宋体" w:cs="宋体"/>
          <w:position w:val="-10"/>
          <w:sz w:val="24"/>
          <w:szCs w:val="24"/>
          <w:lang w:bidi="ar"/>
        </w:rPr>
        <w:object>
          <v:shape id="_x0000_i1270" o:spt="75" type="#_x0000_t75" style="height:17.4pt;width:54.6pt;" o:ole="t" filled="f" coordsize="21600,21600">
            <v:path/>
            <v:fill on="f" focussize="0,0"/>
            <v:stroke/>
            <v:imagedata r:id="rId692" o:title=""/>
            <o:lock v:ext="edit" aspectratio="t"/>
            <w10:wrap type="none"/>
            <w10:anchorlock/>
          </v:shape>
          <o:OLEObject Type="Embed" ProgID="Equation.3" ShapeID="_x0000_i1270" DrawAspect="Content" ObjectID="_1468075970" r:id="rId691">
            <o:LockedField>false</o:LockedField>
          </o:OLEObject>
        </w:objec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w:t>
      </w:r>
      <w:r>
        <w:rPr>
          <w:rFonts w:hint="eastAsia" w:ascii="Times New Roman" w:hAnsi="Times New Roman" w:eastAsia="宋体" w:cs="宋体"/>
          <w:sz w:val="24"/>
          <w:szCs w:val="24"/>
          <w:lang w:eastAsia="zh-CN" w:bidi="ar"/>
        </w:rPr>
        <w:t>13</w:t>
      </w:r>
      <w:r>
        <w:rPr>
          <w:rFonts w:hint="eastAsia" w:ascii="Times New Roman" w:hAnsi="Times New Roman" w:eastAsia="宋体" w:cs="宋体"/>
          <w:sz w:val="24"/>
          <w:szCs w:val="24"/>
          <w:lang w:bidi="ar"/>
        </w:rPr>
        <w:t>.3.2）</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式中：</w:t>
      </w:r>
      <w:r>
        <w:rPr>
          <w:rFonts w:ascii="Times New Roman" w:hAnsi="Times New Roman" w:eastAsia="宋体" w:cs="宋体"/>
          <w:sz w:val="24"/>
          <w:szCs w:val="24"/>
          <w:lang w:bidi="ar"/>
        </w:rPr>
        <w:drawing>
          <wp:inline distT="0" distB="0" distL="114300" distR="114300">
            <wp:extent cx="120650" cy="140970"/>
            <wp:effectExtent l="0" t="0" r="0" b="0"/>
            <wp:docPr id="243" name="图片 2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true"/>
                    </pic:cNvPicPr>
                  </pic:nvPicPr>
                  <pic:blipFill>
                    <a:blip r:embed="rId693"/>
                    <a:stretch>
                      <a:fillRect/>
                    </a:stretch>
                  </pic:blipFill>
                  <pic:spPr>
                    <a:xfrm>
                      <a:off x="0" y="0"/>
                      <a:ext cx="120650" cy="140970"/>
                    </a:xfrm>
                    <a:prstGeom prst="rect">
                      <a:avLst/>
                    </a:prstGeom>
                    <a:noFill/>
                    <a:ln w="9525">
                      <a:noFill/>
                    </a:ln>
                  </pic:spPr>
                </pic:pic>
              </a:graphicData>
            </a:graphic>
          </wp:inline>
        </w:drawing>
      </w:r>
      <w:r>
        <w:rPr>
          <w:rFonts w:hint="eastAsia" w:ascii="Times New Roman" w:hAnsi="Times New Roman" w:eastAsia="宋体" w:cs="宋体"/>
          <w:sz w:val="24"/>
          <w:szCs w:val="24"/>
          <w:lang w:bidi="ar"/>
        </w:rPr>
        <w:t>——降水井数量；</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drawing>
          <wp:inline distT="0" distB="0" distL="114300" distR="114300">
            <wp:extent cx="150495" cy="200660"/>
            <wp:effectExtent l="0" t="0" r="0" b="2540"/>
            <wp:docPr id="24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true"/>
                    </pic:cNvPicPr>
                  </pic:nvPicPr>
                  <pic:blipFill>
                    <a:blip r:embed="rId694"/>
                    <a:stretch>
                      <a:fillRect/>
                    </a:stretch>
                  </pic:blipFill>
                  <pic:spPr>
                    <a:xfrm>
                      <a:off x="0" y="0"/>
                      <a:ext cx="150495" cy="200660"/>
                    </a:xfrm>
                    <a:prstGeom prst="rect">
                      <a:avLst/>
                    </a:prstGeom>
                    <a:noFill/>
                    <a:ln w="9525">
                      <a:noFill/>
                    </a:ln>
                  </pic:spPr>
                </pic:pic>
              </a:graphicData>
            </a:graphic>
          </wp:inline>
        </w:drawing>
      </w:r>
      <w:r>
        <w:rPr>
          <w:rFonts w:hint="eastAsia" w:ascii="Times New Roman" w:hAnsi="Times New Roman" w:eastAsia="宋体" w:cs="宋体"/>
          <w:sz w:val="24"/>
          <w:szCs w:val="24"/>
          <w:lang w:bidi="ar"/>
        </w:rPr>
        <w:t>——基坑涌水量（</w:t>
      </w:r>
      <w:r>
        <w:rPr>
          <w:rFonts w:ascii="Times New Roman" w:hAnsi="Times New Roman" w:eastAsia="宋体" w:cs="宋体"/>
          <w:sz w:val="24"/>
          <w:szCs w:val="24"/>
          <w:lang w:bidi="ar"/>
        </w:rPr>
        <w:t>m</w:t>
      </w:r>
      <w:r>
        <w:rPr>
          <w:rFonts w:ascii="Times New Roman" w:hAnsi="Times New Roman" w:eastAsia="宋体" w:cs="宋体"/>
          <w:sz w:val="24"/>
          <w:szCs w:val="24"/>
          <w:vertAlign w:val="superscript"/>
          <w:lang w:bidi="ar"/>
        </w:rPr>
        <w:t>3</w:t>
      </w:r>
      <w:r>
        <w:rPr>
          <w:rFonts w:ascii="Times New Roman" w:hAnsi="Times New Roman" w:eastAsia="宋体" w:cs="宋体"/>
          <w:sz w:val="24"/>
          <w:szCs w:val="24"/>
          <w:lang w:bidi="ar"/>
        </w:rPr>
        <w:t>/d</w:t>
      </w:r>
      <w:r>
        <w:rPr>
          <w:rFonts w:hint="eastAsia" w:ascii="Times New Roman" w:hAnsi="Times New Roman" w:eastAsia="宋体" w:cs="宋体"/>
          <w:sz w:val="24"/>
          <w:szCs w:val="24"/>
          <w:lang w:bidi="ar"/>
        </w:rPr>
        <w:t>）；</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drawing>
          <wp:inline distT="0" distB="0" distL="114300" distR="114300">
            <wp:extent cx="120650" cy="160655"/>
            <wp:effectExtent l="0" t="0" r="0" b="3810"/>
            <wp:docPr id="24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5" name="图片 12"/>
                    <pic:cNvPicPr>
                      <a:picLocks noChangeAspect="true"/>
                    </pic:cNvPicPr>
                  </pic:nvPicPr>
                  <pic:blipFill>
                    <a:blip r:embed="rId695"/>
                    <a:stretch>
                      <a:fillRect/>
                    </a:stretch>
                  </pic:blipFill>
                  <pic:spPr>
                    <a:xfrm>
                      <a:off x="0" y="0"/>
                      <a:ext cx="120650" cy="160655"/>
                    </a:xfrm>
                    <a:prstGeom prst="rect">
                      <a:avLst/>
                    </a:prstGeom>
                    <a:noFill/>
                    <a:ln w="9525">
                      <a:noFill/>
                    </a:ln>
                  </pic:spPr>
                </pic:pic>
              </a:graphicData>
            </a:graphic>
          </wp:inline>
        </w:drawing>
      </w:r>
      <w:r>
        <w:rPr>
          <w:rFonts w:hint="eastAsia" w:ascii="Times New Roman" w:hAnsi="Times New Roman" w:eastAsia="宋体" w:cs="宋体"/>
          <w:sz w:val="24"/>
          <w:szCs w:val="24"/>
          <w:lang w:bidi="ar"/>
        </w:rPr>
        <w:t>——管井的单井出水量（</w:t>
      </w:r>
      <w:r>
        <w:rPr>
          <w:rFonts w:ascii="Times New Roman" w:hAnsi="Times New Roman" w:eastAsia="宋体" w:cs="宋体"/>
          <w:sz w:val="24"/>
          <w:szCs w:val="24"/>
          <w:lang w:bidi="ar"/>
        </w:rPr>
        <w:t>m</w:t>
      </w:r>
      <w:r>
        <w:rPr>
          <w:rFonts w:ascii="Times New Roman" w:hAnsi="Times New Roman" w:eastAsia="宋体" w:cs="宋体"/>
          <w:sz w:val="24"/>
          <w:szCs w:val="24"/>
          <w:vertAlign w:val="superscript"/>
          <w:lang w:bidi="ar"/>
        </w:rPr>
        <w:t>3</w:t>
      </w:r>
      <w:r>
        <w:rPr>
          <w:rFonts w:ascii="Times New Roman" w:hAnsi="Times New Roman" w:eastAsia="宋体" w:cs="宋体"/>
          <w:sz w:val="24"/>
          <w:szCs w:val="24"/>
          <w:lang w:bidi="ar"/>
        </w:rPr>
        <w:t>/d</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.3.3</w:t>
      </w:r>
      <w:r>
        <w:rPr>
          <w:rFonts w:hint="eastAsia" w:ascii="Times New Roman" w:hAnsi="Times New Roman" w:eastAsia="宋体" w:cs="宋体"/>
          <w:sz w:val="24"/>
          <w:szCs w:val="24"/>
          <w:lang w:bidi="ar"/>
        </w:rPr>
        <w:t xml:space="preserve"> 降水井的深度可根据基底深度、降水深度、含水层的埋藏分布、地下水类型、降水井的设备条件以及降水期间的地下水位动态等因素按下式确定：</w:t>
      </w:r>
    </w:p>
    <w:p>
      <w:pPr>
        <w:widowControl/>
        <w:spacing w:line="480" w:lineRule="exact"/>
        <w:jc w:val="right"/>
        <w:rPr>
          <w:rFonts w:ascii="Times New Roman" w:hAnsi="Times New Roman" w:eastAsia="宋体" w:cs="宋体"/>
          <w:sz w:val="24"/>
          <w:szCs w:val="22"/>
          <w:lang w:bidi="ar"/>
        </w:rPr>
      </w:pPr>
      <w:r>
        <w:rPr>
          <w:rFonts w:ascii="Times New Roman" w:hAnsi="Times New Roman" w:eastAsia="宋体" w:cs="宋体"/>
          <w:position w:val="-12"/>
          <w:sz w:val="24"/>
          <w:szCs w:val="24"/>
          <w:lang w:bidi="ar"/>
        </w:rPr>
        <w:object>
          <v:shape id="_x0000_i1271" o:spt="75" type="#_x0000_t75" style="height:18.2pt;width:200.2pt;" o:ole="t" filled="f" coordsize="21600,21600">
            <v:path/>
            <v:fill on="f" focussize="0,0"/>
            <v:stroke/>
            <v:imagedata r:id="rId697" o:title=""/>
            <o:lock v:ext="edit" aspectratio="t"/>
            <w10:wrap type="none"/>
            <w10:anchorlock/>
          </v:shape>
          <o:OLEObject Type="Embed" ProgID="Equation.3" ShapeID="_x0000_i1271" DrawAspect="Content" ObjectID="_1468075971" r:id="rId696">
            <o:LockedField>false</o:LockedField>
          </o:OLEObject>
        </w:objec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w:t>
      </w:r>
      <w:r>
        <w:rPr>
          <w:rFonts w:hint="eastAsia" w:ascii="Times New Roman" w:hAnsi="Times New Roman" w:eastAsia="宋体" w:cs="宋体"/>
          <w:sz w:val="24"/>
          <w:szCs w:val="24"/>
          <w:lang w:eastAsia="zh-CN" w:bidi="ar"/>
        </w:rPr>
        <w:t>13</w:t>
      </w:r>
      <w:r>
        <w:rPr>
          <w:rFonts w:hint="eastAsia" w:ascii="Times New Roman" w:hAnsi="Times New Roman" w:eastAsia="宋体" w:cs="宋体"/>
          <w:sz w:val="24"/>
          <w:szCs w:val="24"/>
          <w:lang w:bidi="ar"/>
        </w:rPr>
        <w:t>.3.3）</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式中：H</w:t>
      </w:r>
      <w:r>
        <w:rPr>
          <w:rFonts w:hint="eastAsia" w:ascii="Times New Roman" w:hAnsi="Times New Roman" w:eastAsia="宋体" w:cs="宋体"/>
          <w:sz w:val="24"/>
          <w:szCs w:val="24"/>
          <w:vertAlign w:val="subscript"/>
          <w:lang w:bidi="ar"/>
        </w:rPr>
        <w:t>w</w:t>
      </w:r>
      <w:r>
        <w:rPr>
          <w:rFonts w:hint="eastAsia" w:ascii="Times New Roman" w:hAnsi="Times New Roman" w:eastAsia="宋体" w:cs="宋体"/>
          <w:sz w:val="24"/>
          <w:szCs w:val="24"/>
          <w:lang w:bidi="ar"/>
        </w:rPr>
        <w:t>——降水井点深度（m）；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 xml:space="preserve">      H</w:t>
      </w:r>
      <w:r>
        <w:rPr>
          <w:rFonts w:hint="eastAsia" w:ascii="Times New Roman" w:hAnsi="Times New Roman" w:eastAsia="宋体" w:cs="宋体"/>
          <w:sz w:val="24"/>
          <w:szCs w:val="24"/>
          <w:vertAlign w:val="subscript"/>
          <w:lang w:bidi="ar"/>
        </w:rPr>
        <w:t>w1</w:t>
      </w:r>
      <w:r>
        <w:rPr>
          <w:rFonts w:hint="eastAsia" w:ascii="Times New Roman" w:hAnsi="Times New Roman" w:eastAsia="宋体" w:cs="宋体"/>
          <w:sz w:val="24"/>
          <w:szCs w:val="24"/>
          <w:lang w:bidi="ar"/>
        </w:rPr>
        <w:t>——基底深度（m）；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 xml:space="preserve">      H</w:t>
      </w:r>
      <w:r>
        <w:rPr>
          <w:rFonts w:hint="eastAsia" w:ascii="Times New Roman" w:hAnsi="Times New Roman" w:eastAsia="宋体" w:cs="宋体"/>
          <w:sz w:val="24"/>
          <w:szCs w:val="24"/>
          <w:vertAlign w:val="subscript"/>
          <w:lang w:bidi="ar"/>
        </w:rPr>
        <w:t>w2</w:t>
      </w:r>
      <w:r>
        <w:rPr>
          <w:rFonts w:hint="eastAsia" w:ascii="Times New Roman" w:hAnsi="Times New Roman" w:eastAsia="宋体" w:cs="宋体"/>
          <w:sz w:val="24"/>
          <w:szCs w:val="24"/>
          <w:lang w:bidi="ar"/>
        </w:rPr>
        <w:t>——降水水位距离基坑底要求的深度（m）；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 xml:space="preserve">      H</w:t>
      </w:r>
      <w:r>
        <w:rPr>
          <w:rFonts w:hint="eastAsia" w:ascii="Times New Roman" w:hAnsi="Times New Roman" w:eastAsia="宋体" w:cs="宋体"/>
          <w:sz w:val="24"/>
          <w:szCs w:val="24"/>
          <w:vertAlign w:val="subscript"/>
          <w:lang w:bidi="ar"/>
        </w:rPr>
        <w:t>w3</w:t>
      </w:r>
      <w:r>
        <w:rPr>
          <w:rFonts w:hint="eastAsia" w:ascii="Times New Roman" w:hAnsi="Times New Roman" w:eastAsia="宋体" w:cs="宋体"/>
          <w:sz w:val="24"/>
          <w:szCs w:val="24"/>
          <w:lang w:bidi="ar"/>
        </w:rPr>
        <w:t>——可按i·r</w:t>
      </w:r>
      <w:r>
        <w:rPr>
          <w:rFonts w:hint="eastAsia" w:ascii="Times New Roman" w:hAnsi="Times New Roman" w:eastAsia="宋体" w:cs="宋体"/>
          <w:sz w:val="24"/>
          <w:szCs w:val="24"/>
          <w:vertAlign w:val="subscript"/>
          <w:lang w:bidi="ar"/>
        </w:rPr>
        <w:t>0</w:t>
      </w:r>
      <w:r>
        <w:rPr>
          <w:rFonts w:hint="eastAsia" w:ascii="Times New Roman" w:hAnsi="Times New Roman" w:eastAsia="宋体" w:cs="宋体"/>
          <w:sz w:val="24"/>
          <w:szCs w:val="24"/>
          <w:lang w:bidi="ar"/>
        </w:rPr>
        <w:t>取值；i为水力坡度，在降水井分布范围内宜为1/10~1/15；r</w:t>
      </w:r>
      <w:r>
        <w:rPr>
          <w:rFonts w:hint="eastAsia" w:ascii="Times New Roman" w:hAnsi="Times New Roman" w:eastAsia="宋体" w:cs="宋体"/>
          <w:sz w:val="24"/>
          <w:szCs w:val="24"/>
          <w:vertAlign w:val="subscript"/>
          <w:lang w:bidi="ar"/>
        </w:rPr>
        <w:t>0</w:t>
      </w:r>
      <w:r>
        <w:rPr>
          <w:rFonts w:hint="eastAsia" w:ascii="Times New Roman" w:hAnsi="Times New Roman" w:eastAsia="宋体" w:cs="宋体"/>
          <w:sz w:val="24"/>
          <w:szCs w:val="24"/>
          <w:lang w:bidi="ar"/>
        </w:rPr>
        <w:t>为降水井分布范围的等效半径或降水井排间距的1/2（m）；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 xml:space="preserve">      H</w:t>
      </w:r>
      <w:r>
        <w:rPr>
          <w:rFonts w:hint="eastAsia" w:ascii="Times New Roman" w:hAnsi="Times New Roman" w:eastAsia="宋体" w:cs="宋体"/>
          <w:sz w:val="24"/>
          <w:szCs w:val="24"/>
          <w:vertAlign w:val="subscript"/>
          <w:lang w:bidi="ar"/>
        </w:rPr>
        <w:t>w4</w:t>
      </w:r>
      <w:r>
        <w:rPr>
          <w:rFonts w:hint="eastAsia" w:ascii="Times New Roman" w:hAnsi="Times New Roman" w:eastAsia="宋体" w:cs="宋体"/>
          <w:sz w:val="24"/>
          <w:szCs w:val="24"/>
          <w:lang w:bidi="ar"/>
        </w:rPr>
        <w:t>——降水期间的地下水位变幅（m）；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 xml:space="preserve">      H</w:t>
      </w:r>
      <w:r>
        <w:rPr>
          <w:rFonts w:hint="eastAsia" w:ascii="Times New Roman" w:hAnsi="Times New Roman" w:eastAsia="宋体" w:cs="宋体"/>
          <w:sz w:val="24"/>
          <w:szCs w:val="24"/>
          <w:vertAlign w:val="subscript"/>
          <w:lang w:bidi="ar"/>
        </w:rPr>
        <w:t>w5</w:t>
      </w:r>
      <w:r>
        <w:rPr>
          <w:rFonts w:hint="eastAsia" w:ascii="Times New Roman" w:hAnsi="Times New Roman" w:eastAsia="宋体" w:cs="宋体"/>
          <w:sz w:val="24"/>
          <w:szCs w:val="24"/>
          <w:lang w:bidi="ar"/>
        </w:rPr>
        <w:t>——降水井过滤器工作长度（m）；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sz w:val="24"/>
          <w:szCs w:val="24"/>
          <w:lang w:bidi="ar"/>
        </w:rPr>
        <w:t xml:space="preserve">      H</w:t>
      </w:r>
      <w:r>
        <w:rPr>
          <w:rFonts w:hint="eastAsia" w:ascii="Times New Roman" w:hAnsi="Times New Roman" w:eastAsia="宋体" w:cs="宋体"/>
          <w:sz w:val="24"/>
          <w:szCs w:val="24"/>
          <w:vertAlign w:val="subscript"/>
          <w:lang w:bidi="ar"/>
        </w:rPr>
        <w:t>w6</w:t>
      </w:r>
      <w:r>
        <w:rPr>
          <w:rFonts w:hint="eastAsia" w:ascii="Times New Roman" w:hAnsi="Times New Roman" w:eastAsia="宋体" w:cs="宋体"/>
          <w:sz w:val="24"/>
          <w:szCs w:val="24"/>
          <w:lang w:bidi="ar"/>
        </w:rPr>
        <w:t>——沉砂管长度（m），宜为1m~3m。</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.3.4</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井径应根据抽水目的层的岩性、厚度、埋深、富水性、水力性质、上覆地层特征及及钻进工艺确定，井径宜为</w:t>
      </w:r>
      <w:r>
        <w:rPr>
          <w:rFonts w:ascii="Times New Roman" w:hAnsi="Times New Roman" w:eastAsia="宋体" w:cs="宋体"/>
          <w:sz w:val="24"/>
          <w:szCs w:val="24"/>
          <w:lang w:bidi="ar"/>
        </w:rPr>
        <w:t>500mm~800mm</w:t>
      </w:r>
      <w:r>
        <w:rPr>
          <w:rFonts w:hint="eastAsia" w:ascii="Times New Roman" w:hAnsi="Times New Roman" w:eastAsia="宋体" w:cs="宋体"/>
          <w:sz w:val="24"/>
          <w:szCs w:val="24"/>
          <w:lang w:bidi="ar"/>
        </w:rPr>
        <w:t>，非填砾过滤管管井井径，应比设计过滤管面层外径大</w:t>
      </w:r>
      <w:r>
        <w:rPr>
          <w:rFonts w:ascii="Times New Roman" w:hAnsi="Times New Roman" w:eastAsia="宋体" w:cs="宋体"/>
          <w:sz w:val="24"/>
          <w:szCs w:val="24"/>
          <w:lang w:bidi="ar"/>
        </w:rPr>
        <w:t>50mm</w:t>
      </w:r>
      <w:r>
        <w:rPr>
          <w:rFonts w:hint="eastAsia" w:ascii="Times New Roman" w:hAnsi="Times New Roman" w:eastAsia="宋体" w:cs="宋体"/>
          <w:sz w:val="24"/>
          <w:szCs w:val="24"/>
          <w:lang w:bidi="ar"/>
        </w:rPr>
        <w:t>，填砾过滤管井径，应比设计过滤管面层外径大</w:t>
      </w:r>
      <w:r>
        <w:rPr>
          <w:rFonts w:ascii="Times New Roman" w:hAnsi="Times New Roman" w:eastAsia="宋体" w:cs="宋体"/>
          <w:sz w:val="24"/>
          <w:szCs w:val="24"/>
          <w:lang w:bidi="ar"/>
        </w:rPr>
        <w:t>150mm~300mm</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宋体"/>
          <w:b w:val="0"/>
          <w:bCs w:val="0"/>
          <w:sz w:val="24"/>
          <w:szCs w:val="24"/>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.3.5</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井管管径应根据管井设计出水量、</w:t>
      </w:r>
      <w:r>
        <w:rPr>
          <w:rFonts w:hint="eastAsia" w:ascii="Times New Roman" w:hAnsi="Times New Roman" w:eastAsia="宋体" w:cs="宋体"/>
          <w:sz w:val="24"/>
          <w:szCs w:val="24"/>
          <w:lang w:eastAsia="zh-CN" w:bidi="ar"/>
        </w:rPr>
        <w:t>过滤</w:t>
      </w:r>
      <w:r>
        <w:rPr>
          <w:rFonts w:hint="eastAsia" w:ascii="Times New Roman" w:hAnsi="Times New Roman" w:eastAsia="宋体" w:cs="宋体"/>
          <w:sz w:val="24"/>
          <w:szCs w:val="24"/>
          <w:lang w:bidi="ar"/>
        </w:rPr>
        <w:t>管</w:t>
      </w:r>
      <w:r>
        <w:rPr>
          <w:rFonts w:hint="eastAsia" w:ascii="Times New Roman" w:hAnsi="Times New Roman" w:eastAsia="宋体" w:cs="宋体"/>
          <w:sz w:val="24"/>
          <w:szCs w:val="24"/>
          <w:lang w:eastAsia="zh-CN" w:bidi="ar"/>
        </w:rPr>
        <w:t>允许</w:t>
      </w:r>
      <w:r>
        <w:rPr>
          <w:rFonts w:hint="eastAsia" w:ascii="Times New Roman" w:hAnsi="Times New Roman" w:eastAsia="宋体" w:cs="宋体"/>
          <w:sz w:val="24"/>
          <w:szCs w:val="24"/>
          <w:lang w:bidi="ar"/>
        </w:rPr>
        <w:t>进水流速、含水层埋深、开采段长度、过滤管类型等因素综合确定</w:t>
      </w:r>
      <w:r>
        <w:rPr>
          <w:rFonts w:hint="eastAsia" w:ascii="Times New Roman" w:hAnsi="Times New Roman" w:eastAsia="宋体" w:cs="宋体"/>
          <w:sz w:val="24"/>
          <w:szCs w:val="24"/>
          <w:lang w:eastAsia="zh-CN" w:bidi="ar"/>
        </w:rPr>
        <w:t>。</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 xml:space="preserve">.3.6 </w:t>
      </w:r>
      <w:r>
        <w:rPr>
          <w:rFonts w:hint="eastAsia" w:ascii="Times New Roman" w:hAnsi="Times New Roman" w:eastAsia="宋体" w:cs="宋体"/>
          <w:b w:val="0"/>
          <w:bCs w:val="0"/>
          <w:sz w:val="24"/>
          <w:szCs w:val="24"/>
          <w:lang w:bidi="ar"/>
        </w:rPr>
        <w:t>过滤管类型应根据含水层的性质</w:t>
      </w:r>
      <w:r>
        <w:rPr>
          <w:rFonts w:hint="eastAsia" w:ascii="Times New Roman" w:hAnsi="Times New Roman" w:eastAsia="宋体" w:cs="宋体"/>
          <w:b w:val="0"/>
          <w:bCs w:val="0"/>
          <w:strike w:val="0"/>
          <w:dstrike w:val="0"/>
          <w:color w:val="auto"/>
          <w:sz w:val="24"/>
          <w:szCs w:val="24"/>
          <w:lang w:bidi="ar"/>
        </w:rPr>
        <w:t>按下表</w:t>
      </w:r>
      <w:r>
        <w:rPr>
          <w:rFonts w:hint="eastAsia" w:ascii="Times New Roman" w:hAnsi="Times New Roman" w:eastAsia="宋体" w:cs="宋体"/>
          <w:b w:val="0"/>
          <w:bCs w:val="0"/>
          <w:sz w:val="24"/>
          <w:szCs w:val="24"/>
          <w:lang w:bidi="ar"/>
        </w:rPr>
        <w:t>选用。</w:t>
      </w:r>
    </w:p>
    <w:p>
      <w:pPr>
        <w:widowControl/>
        <w:spacing w:line="480" w:lineRule="exact"/>
        <w:jc w:val="center"/>
        <w:rPr>
          <w:rFonts w:ascii="Times New Roman" w:hAnsi="Times New Roman" w:eastAsia="宋体" w:cs="宋体"/>
          <w:b/>
          <w:sz w:val="24"/>
          <w:szCs w:val="21"/>
          <w:lang w:bidi="ar"/>
        </w:rPr>
      </w:pPr>
      <w:r>
        <w:rPr>
          <w:rFonts w:hint="eastAsia" w:ascii="Times New Roman" w:hAnsi="Times New Roman" w:eastAsia="宋体" w:cs="宋体"/>
          <w:b/>
          <w:sz w:val="21"/>
          <w:szCs w:val="21"/>
          <w:lang w:bidi="ar"/>
        </w:rPr>
        <w:t>表</w:t>
      </w:r>
      <w:r>
        <w:rPr>
          <w:rFonts w:hint="eastAsia" w:ascii="Times New Roman" w:hAnsi="Times New Roman" w:eastAsia="宋体" w:cs="宋体"/>
          <w:b/>
          <w:sz w:val="21"/>
          <w:szCs w:val="21"/>
          <w:lang w:eastAsia="zh-CN" w:bidi="ar"/>
        </w:rPr>
        <w:t>13</w:t>
      </w:r>
      <w:r>
        <w:rPr>
          <w:rFonts w:hint="eastAsia" w:ascii="Times New Roman" w:hAnsi="Times New Roman" w:eastAsia="宋体" w:cs="宋体"/>
          <w:b/>
          <w:sz w:val="21"/>
          <w:szCs w:val="21"/>
          <w:lang w:bidi="ar"/>
        </w:rPr>
        <w:t>.3.6</w:t>
      </w:r>
      <w:r>
        <w:rPr>
          <w:rFonts w:ascii="Times New Roman" w:hAnsi="Times New Roman" w:eastAsia="宋体" w:cs="宋体"/>
          <w:b/>
          <w:sz w:val="21"/>
          <w:szCs w:val="21"/>
          <w:lang w:bidi="ar"/>
        </w:rPr>
        <w:t xml:space="preserve">  </w:t>
      </w:r>
      <w:r>
        <w:rPr>
          <w:rFonts w:hint="eastAsia" w:ascii="Times New Roman" w:hAnsi="Times New Roman" w:eastAsia="宋体" w:cs="宋体"/>
          <w:b/>
          <w:sz w:val="21"/>
          <w:szCs w:val="21"/>
          <w:lang w:bidi="ar"/>
        </w:rPr>
        <w:t>降水管井过滤器类型选择</w:t>
      </w:r>
    </w:p>
    <w:tbl>
      <w:tblPr>
        <w:tblStyle w:val="32"/>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089"/>
        <w:gridCol w:w="2702"/>
        <w:gridCol w:w="373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91" w:type="dxa"/>
            <w:gridSpan w:val="2"/>
            <w:tcBorders>
              <w:top w:val="single" w:color="auto" w:sz="18" w:space="0"/>
              <w:left w:val="single" w:color="auto" w:sz="18"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含水层性质</w:t>
            </w:r>
          </w:p>
        </w:tc>
        <w:tc>
          <w:tcPr>
            <w:tcW w:w="3737" w:type="dxa"/>
            <w:tcBorders>
              <w:top w:val="single" w:color="auto" w:sz="18" w:space="0"/>
              <w:left w:val="single" w:color="auto" w:sz="6" w:space="0"/>
              <w:bottom w:val="single" w:color="auto" w:sz="6"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过滤器类型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89" w:type="dxa"/>
            <w:vMerge w:val="restart"/>
            <w:tcBorders>
              <w:top w:val="single" w:color="auto" w:sz="6" w:space="0"/>
              <w:left w:val="single" w:color="auto" w:sz="18"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碎石土</w:t>
            </w:r>
          </w:p>
        </w:tc>
        <w:tc>
          <w:tcPr>
            <w:tcW w:w="2702"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w:t>
            </w:r>
            <w:r>
              <w:rPr>
                <w:rFonts w:hint="default" w:ascii="Times New Roman" w:hAnsi="Times New Roman" w:eastAsia="宋体" w:cs="Times New Roman"/>
                <w:kern w:val="2"/>
                <w:sz w:val="21"/>
                <w:szCs w:val="21"/>
                <w:vertAlign w:val="subscript"/>
                <w:lang w:val="en-US" w:eastAsia="zh-CN" w:bidi="ar-SA"/>
              </w:rPr>
              <w:t>20</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2mm</w:t>
            </w:r>
          </w:p>
        </w:tc>
        <w:tc>
          <w:tcPr>
            <w:tcW w:w="3737" w:type="dxa"/>
            <w:tcBorders>
              <w:top w:val="single" w:color="auto" w:sz="6" w:space="0"/>
              <w:left w:val="single" w:color="auto" w:sz="6" w:space="0"/>
              <w:bottom w:val="single" w:color="auto" w:sz="6"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填砾过滤器，非填砾过滤器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89" w:type="dxa"/>
            <w:vMerge w:val="continue"/>
            <w:tcBorders>
              <w:top w:val="single" w:color="auto" w:sz="6" w:space="0"/>
              <w:left w:val="single" w:color="auto" w:sz="18"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2702"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w:t>
            </w:r>
            <w:r>
              <w:rPr>
                <w:rFonts w:hint="default" w:ascii="Times New Roman" w:hAnsi="Times New Roman" w:eastAsia="宋体" w:cs="Times New Roman"/>
                <w:kern w:val="2"/>
                <w:sz w:val="21"/>
                <w:szCs w:val="21"/>
                <w:vertAlign w:val="subscript"/>
                <w:lang w:val="en-US" w:eastAsia="zh-CN" w:bidi="ar-SA"/>
              </w:rPr>
              <w:t>20</w:t>
            </w:r>
            <w:r>
              <w:rPr>
                <w:rFonts w:hint="default" w:ascii="Times New Roman" w:hAnsi="Times New Roman" w:eastAsia="宋体" w:cs="Times New Roman"/>
                <w:kern w:val="2"/>
                <w:sz w:val="21"/>
                <w:szCs w:val="21"/>
                <w:lang w:val="en-US" w:eastAsia="zh-CN" w:bidi="ar-SA"/>
              </w:rPr>
              <w:t>≥2mm</w:t>
            </w:r>
          </w:p>
        </w:tc>
        <w:tc>
          <w:tcPr>
            <w:tcW w:w="3737" w:type="dxa"/>
            <w:tcBorders>
              <w:top w:val="single" w:color="auto" w:sz="6" w:space="0"/>
              <w:left w:val="single" w:color="auto" w:sz="6" w:space="0"/>
              <w:bottom w:val="single" w:color="auto" w:sz="6"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非填砾过滤器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89" w:type="dxa"/>
            <w:vMerge w:val="restart"/>
            <w:tcBorders>
              <w:top w:val="single" w:color="auto" w:sz="6" w:space="0"/>
              <w:left w:val="single" w:color="auto" w:sz="18"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砂土</w:t>
            </w:r>
          </w:p>
        </w:tc>
        <w:tc>
          <w:tcPr>
            <w:tcW w:w="2702"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粗砂、中砂</w:t>
            </w:r>
          </w:p>
        </w:tc>
        <w:tc>
          <w:tcPr>
            <w:tcW w:w="3737" w:type="dxa"/>
            <w:tcBorders>
              <w:top w:val="single" w:color="auto" w:sz="6" w:space="0"/>
              <w:left w:val="single" w:color="auto" w:sz="6" w:space="0"/>
              <w:bottom w:val="single" w:color="auto" w:sz="6"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缠丝过滤器、填砾过滤器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89" w:type="dxa"/>
            <w:vMerge w:val="continue"/>
            <w:tcBorders>
              <w:top w:val="single" w:color="auto" w:sz="6" w:space="0"/>
              <w:left w:val="single" w:color="auto" w:sz="18"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2702"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细砂、粉砂</w:t>
            </w:r>
          </w:p>
        </w:tc>
        <w:tc>
          <w:tcPr>
            <w:tcW w:w="3737" w:type="dxa"/>
            <w:tcBorders>
              <w:top w:val="single" w:color="auto" w:sz="6" w:space="0"/>
              <w:left w:val="single" w:color="auto" w:sz="6" w:space="0"/>
              <w:bottom w:val="single" w:color="auto" w:sz="6"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填砾过滤器、包网过滤器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91" w:type="dxa"/>
            <w:gridSpan w:val="2"/>
            <w:tcBorders>
              <w:top w:val="single" w:color="auto" w:sz="6" w:space="0"/>
              <w:left w:val="single" w:color="auto" w:sz="18"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具有裂隙、溶洞（其中有大量充填物）的基岩</w:t>
            </w:r>
          </w:p>
        </w:tc>
        <w:tc>
          <w:tcPr>
            <w:tcW w:w="3737" w:type="dxa"/>
            <w:tcBorders>
              <w:top w:val="single" w:color="auto" w:sz="6" w:space="0"/>
              <w:left w:val="single" w:color="auto" w:sz="6" w:space="0"/>
              <w:bottom w:val="single" w:color="auto" w:sz="6"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骨架过滤器、缠丝过滤器或填砾过滤器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3"/>
            <w:tcBorders>
              <w:top w:val="single" w:color="auto" w:sz="6" w:space="0"/>
              <w:left w:val="single" w:color="auto" w:sz="18" w:space="0"/>
              <w:bottom w:val="single" w:color="auto" w:sz="18" w:space="0"/>
              <w:right w:val="single" w:color="auto" w:sz="18"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w:t>
            </w: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在基岩含水层中，当裂隙、溶洞（其中很少充填物）稳定时，可不设过滤器。</w:t>
            </w:r>
          </w:p>
          <w:p>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砂土类含水层采用包网过滤器宜根据具体情况确定。</w:t>
            </w:r>
          </w:p>
        </w:tc>
      </w:tr>
    </w:tbl>
    <w:p>
      <w:pPr>
        <w:widowControl/>
        <w:spacing w:line="480" w:lineRule="exact"/>
        <w:jc w:val="both"/>
        <w:rPr>
          <w:rFonts w:ascii="Times New Roman" w:hAnsi="Times New Roman" w:eastAsia="宋体" w:cs="宋体"/>
          <w:strike/>
          <w:dstrike w:val="0"/>
          <w:color w:val="1552D1"/>
          <w:sz w:val="24"/>
          <w:szCs w:val="22"/>
          <w:lang w:bidi="ar"/>
        </w:rPr>
      </w:pPr>
      <w:r>
        <w:rPr>
          <w:rFonts w:hint="eastAsia" w:ascii="Times New Roman" w:hAnsi="Times New Roman" w:eastAsia="宋体" w:cs="宋体"/>
          <w:b/>
          <w:bCs/>
          <w:color w:val="auto"/>
          <w:sz w:val="24"/>
          <w:szCs w:val="24"/>
          <w:lang w:eastAsia="zh-CN" w:bidi="ar"/>
        </w:rPr>
        <w:t>13</w:t>
      </w:r>
      <w:r>
        <w:rPr>
          <w:rFonts w:hint="eastAsia" w:ascii="Times New Roman" w:hAnsi="Times New Roman" w:eastAsia="宋体" w:cs="宋体"/>
          <w:b/>
          <w:bCs/>
          <w:color w:val="auto"/>
          <w:sz w:val="24"/>
          <w:szCs w:val="24"/>
          <w:lang w:bidi="ar"/>
        </w:rPr>
        <w:t>.3.</w:t>
      </w:r>
      <w:r>
        <w:rPr>
          <w:rFonts w:hint="eastAsia" w:ascii="Times New Roman" w:hAnsi="Times New Roman" w:eastAsia="宋体" w:cs="宋体"/>
          <w:b/>
          <w:bCs/>
          <w:color w:val="auto"/>
          <w:sz w:val="24"/>
          <w:szCs w:val="24"/>
          <w:lang w:val="en-US" w:eastAsia="zh-CN" w:bidi="ar"/>
        </w:rPr>
        <w:t>8</w:t>
      </w:r>
      <w:r>
        <w:rPr>
          <w:rFonts w:ascii="Times New Roman" w:hAnsi="Times New Roman" w:eastAsia="宋体" w:cs="宋体"/>
          <w:color w:val="auto"/>
          <w:sz w:val="24"/>
          <w:szCs w:val="24"/>
          <w:lang w:bidi="ar"/>
        </w:rPr>
        <w:t xml:space="preserve"> </w:t>
      </w:r>
      <w:r>
        <w:rPr>
          <w:rFonts w:hint="eastAsia" w:ascii="Times New Roman" w:hAnsi="Times New Roman" w:eastAsia="宋体" w:cs="宋体"/>
          <w:color w:val="auto"/>
          <w:sz w:val="24"/>
          <w:szCs w:val="24"/>
          <w:lang w:bidi="ar"/>
        </w:rPr>
        <w:t>降水管井填砾过滤管的滤料规格，可</w:t>
      </w:r>
      <w:r>
        <w:rPr>
          <w:rFonts w:hint="eastAsia" w:ascii="Times New Roman" w:hAnsi="Times New Roman" w:eastAsia="宋体" w:cs="宋体"/>
          <w:color w:val="auto"/>
          <w:sz w:val="24"/>
          <w:szCs w:val="24"/>
          <w:lang w:eastAsia="zh-CN" w:bidi="ar"/>
        </w:rPr>
        <w:t>根据</w:t>
      </w:r>
      <w:r>
        <w:rPr>
          <w:rFonts w:hint="eastAsia" w:ascii="Times New Roman" w:hAnsi="Times New Roman" w:eastAsia="宋体" w:cs="宋体"/>
          <w:strike w:val="0"/>
          <w:dstrike w:val="0"/>
          <w:color w:val="auto"/>
          <w:sz w:val="24"/>
          <w:szCs w:val="24"/>
          <w:lang w:eastAsia="zh-CN" w:bidi="ar"/>
        </w:rPr>
        <w:t>含水层岩性计算</w:t>
      </w:r>
      <w:r>
        <w:rPr>
          <w:rFonts w:hint="eastAsia" w:ascii="Times New Roman" w:hAnsi="Times New Roman" w:eastAsia="宋体" w:cs="宋体"/>
          <w:color w:val="auto"/>
          <w:sz w:val="24"/>
          <w:szCs w:val="24"/>
          <w:lang w:bidi="ar"/>
        </w:rPr>
        <w:t>确</w:t>
      </w:r>
      <w:r>
        <w:rPr>
          <w:rFonts w:hint="eastAsia" w:ascii="Times New Roman" w:hAnsi="Times New Roman" w:eastAsia="宋体" w:cs="宋体"/>
          <w:sz w:val="24"/>
          <w:szCs w:val="24"/>
          <w:lang w:bidi="ar"/>
        </w:rPr>
        <w:t>定。</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.3.</w:t>
      </w:r>
      <w:r>
        <w:rPr>
          <w:rFonts w:hint="eastAsia" w:ascii="Times New Roman" w:hAnsi="Times New Roman" w:eastAsia="宋体" w:cs="宋体"/>
          <w:b/>
          <w:bCs/>
          <w:sz w:val="24"/>
          <w:szCs w:val="24"/>
          <w:lang w:val="en-US" w:eastAsia="zh-CN" w:bidi="ar"/>
        </w:rPr>
        <w:t>9</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填砾过滤管滤料的充填厚度和高度应符合下列规定：</w:t>
      </w:r>
    </w:p>
    <w:p>
      <w:pPr>
        <w:widowControl/>
        <w:spacing w:line="480" w:lineRule="exact"/>
        <w:ind w:firstLine="480" w:firstLineChars="200"/>
        <w:rPr>
          <w:rFonts w:ascii="Times New Roman" w:hAnsi="Times New Roman" w:eastAsia="宋体" w:cs="宋体"/>
          <w:sz w:val="24"/>
          <w:szCs w:val="22"/>
          <w:lang w:bidi="ar"/>
        </w:rPr>
      </w:pPr>
      <w:r>
        <w:rPr>
          <w:rFonts w:ascii="Times New Roman" w:hAnsi="Times New Roman" w:eastAsia="宋体" w:cs="宋体"/>
          <w:sz w:val="24"/>
          <w:szCs w:val="24"/>
          <w:lang w:bidi="ar"/>
        </w:rPr>
        <w:t xml:space="preserve">1  </w:t>
      </w:r>
      <w:r>
        <w:rPr>
          <w:rFonts w:hint="eastAsia" w:ascii="Times New Roman" w:hAnsi="Times New Roman" w:eastAsia="宋体" w:cs="宋体"/>
          <w:sz w:val="24"/>
          <w:szCs w:val="24"/>
          <w:lang w:bidi="ar"/>
        </w:rPr>
        <w:t>滤料厚度应按含水层的岩性确定，宜为</w:t>
      </w:r>
      <w:r>
        <w:rPr>
          <w:rFonts w:ascii="Times New Roman" w:hAnsi="Times New Roman" w:eastAsia="宋体" w:cs="宋体"/>
          <w:sz w:val="24"/>
          <w:szCs w:val="24"/>
          <w:lang w:bidi="ar"/>
        </w:rPr>
        <w:t>150mm</w:t>
      </w:r>
      <w:r>
        <w:rPr>
          <w:rFonts w:hint="eastAsia" w:ascii="Times New Roman" w:hAnsi="Times New Roman" w:eastAsia="宋体" w:cs="宋体"/>
          <w:sz w:val="24"/>
          <w:szCs w:val="24"/>
          <w:lang w:bidi="ar"/>
        </w:rPr>
        <w:t>～</w:t>
      </w:r>
      <w:r>
        <w:rPr>
          <w:rFonts w:ascii="Times New Roman" w:hAnsi="Times New Roman" w:eastAsia="宋体" w:cs="宋体"/>
          <w:sz w:val="24"/>
          <w:szCs w:val="24"/>
          <w:lang w:bidi="ar"/>
        </w:rPr>
        <w:t>300mm</w:t>
      </w:r>
      <w:r>
        <w:rPr>
          <w:rFonts w:hint="eastAsia" w:ascii="Times New Roman" w:hAnsi="Times New Roman" w:eastAsia="宋体" w:cs="宋体"/>
          <w:sz w:val="24"/>
          <w:szCs w:val="24"/>
          <w:lang w:bidi="ar"/>
        </w:rPr>
        <w:t>，其中粉细砂含水层段宜为</w:t>
      </w:r>
      <w:r>
        <w:rPr>
          <w:rFonts w:ascii="Times New Roman" w:hAnsi="Times New Roman" w:eastAsia="宋体" w:cs="宋体"/>
          <w:sz w:val="24"/>
          <w:szCs w:val="24"/>
          <w:lang w:bidi="ar"/>
        </w:rPr>
        <w:t>150mm</w:t>
      </w:r>
      <w:r>
        <w:rPr>
          <w:rFonts w:hint="eastAsia" w:ascii="Times New Roman" w:hAnsi="Times New Roman" w:eastAsia="宋体" w:cs="宋体"/>
          <w:sz w:val="24"/>
          <w:szCs w:val="24"/>
          <w:lang w:bidi="ar"/>
        </w:rPr>
        <w:t>～</w:t>
      </w:r>
      <w:r>
        <w:rPr>
          <w:rFonts w:ascii="Times New Roman" w:hAnsi="Times New Roman" w:eastAsia="宋体" w:cs="宋体"/>
          <w:sz w:val="24"/>
          <w:szCs w:val="24"/>
          <w:lang w:bidi="ar"/>
        </w:rPr>
        <w:t>200mm</w:t>
      </w:r>
      <w:r>
        <w:rPr>
          <w:rFonts w:hint="eastAsia" w:ascii="Times New Roman" w:hAnsi="Times New Roman" w:eastAsia="宋体" w:cs="宋体"/>
          <w:sz w:val="24"/>
          <w:szCs w:val="24"/>
          <w:lang w:bidi="ar"/>
        </w:rPr>
        <w:t>；</w:t>
      </w:r>
    </w:p>
    <w:p>
      <w:pPr>
        <w:widowControl/>
        <w:spacing w:line="480" w:lineRule="exact"/>
        <w:ind w:firstLine="480" w:firstLineChars="200"/>
        <w:rPr>
          <w:rFonts w:ascii="Times New Roman" w:hAnsi="Times New Roman" w:eastAsia="宋体" w:cs="宋体"/>
          <w:sz w:val="24"/>
          <w:szCs w:val="24"/>
          <w:lang w:bidi="ar"/>
        </w:rPr>
      </w:pPr>
      <w:r>
        <w:rPr>
          <w:rFonts w:ascii="Times New Roman" w:hAnsi="Times New Roman" w:eastAsia="宋体" w:cs="宋体"/>
          <w:sz w:val="24"/>
          <w:szCs w:val="24"/>
          <w:lang w:bidi="ar"/>
        </w:rPr>
        <w:t xml:space="preserve">2  </w:t>
      </w:r>
      <w:r>
        <w:rPr>
          <w:rFonts w:hint="eastAsia" w:ascii="Times New Roman" w:hAnsi="Times New Roman" w:eastAsia="宋体" w:cs="宋体"/>
          <w:sz w:val="24"/>
          <w:szCs w:val="24"/>
          <w:lang w:bidi="ar"/>
        </w:rPr>
        <w:t>滤料高度宜超过过滤管上端</w:t>
      </w:r>
      <w:r>
        <w:rPr>
          <w:rFonts w:ascii="Times New Roman" w:hAnsi="Times New Roman" w:eastAsia="宋体" w:cs="宋体"/>
          <w:sz w:val="24"/>
          <w:szCs w:val="24"/>
          <w:lang w:bidi="ar"/>
        </w:rPr>
        <w:t>1.0m</w:t>
      </w:r>
      <w:r>
        <w:rPr>
          <w:rFonts w:hint="eastAsia" w:ascii="Times New Roman" w:hAnsi="Times New Roman" w:eastAsia="宋体" w:cs="宋体"/>
          <w:sz w:val="24"/>
          <w:szCs w:val="24"/>
          <w:lang w:bidi="ar"/>
        </w:rPr>
        <w:t>。</w:t>
      </w:r>
    </w:p>
    <w:p>
      <w:pPr>
        <w:pStyle w:val="3"/>
        <w:bidi w:val="0"/>
        <w:rPr>
          <w:lang w:val="en-US" w:eastAsia="zh-CN"/>
        </w:rPr>
      </w:pPr>
      <w:bookmarkStart w:id="731" w:name="_Toc12148"/>
      <w:r>
        <w:rPr>
          <w:rFonts w:hint="eastAsia"/>
          <w:lang w:val="en-US" w:eastAsia="zh-CN"/>
        </w:rPr>
        <w:t>13</w:t>
      </w:r>
      <w:r>
        <w:rPr>
          <w:lang w:val="en-US" w:eastAsia="zh-CN"/>
        </w:rPr>
        <w:t>.</w:t>
      </w:r>
      <w:r>
        <w:rPr>
          <w:rFonts w:hint="eastAsia"/>
          <w:lang w:val="en-US" w:eastAsia="zh-CN"/>
        </w:rPr>
        <w:t>4</w:t>
      </w:r>
      <w:r>
        <w:rPr>
          <w:lang w:val="en-US" w:eastAsia="zh-CN"/>
        </w:rPr>
        <w:t xml:space="preserve">  基坑降水施工</w:t>
      </w:r>
      <w:bookmarkEnd w:id="731"/>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4</w:t>
      </w:r>
      <w:r>
        <w:rPr>
          <w:rFonts w:ascii="Times New Roman" w:hAnsi="Times New Roman" w:eastAsia="宋体" w:cs="Times New Roman"/>
          <w:b/>
          <w:sz w:val="24"/>
          <w:szCs w:val="22"/>
          <w:lang w:bidi="ar"/>
        </w:rPr>
        <w:t xml:space="preserve">.1 </w:t>
      </w:r>
      <w:r>
        <w:rPr>
          <w:rFonts w:hint="eastAsia" w:ascii="Times New Roman" w:hAnsi="Times New Roman" w:eastAsia="宋体" w:cs="宋体"/>
          <w:sz w:val="24"/>
          <w:szCs w:val="24"/>
          <w:lang w:bidi="ar"/>
        </w:rPr>
        <w:t>基坑降水施工前应进行试验性降水，对预测点及关键地点进行观测。降水施工时应布置观测井，观测周边及坑内水位变化，以便及时调整排水量或采取回灌等措施，消除坑外不良影响。</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4</w:t>
      </w:r>
      <w:r>
        <w:rPr>
          <w:rFonts w:ascii="Times New Roman" w:hAnsi="Times New Roman" w:eastAsia="宋体" w:cs="Times New Roman"/>
          <w:b/>
          <w:sz w:val="24"/>
          <w:szCs w:val="22"/>
          <w:lang w:bidi="ar"/>
        </w:rPr>
        <w:t xml:space="preserve">.2 </w:t>
      </w:r>
      <w:r>
        <w:rPr>
          <w:rFonts w:hint="eastAsia" w:ascii="Times New Roman" w:hAnsi="Times New Roman" w:eastAsia="宋体" w:cs="宋体"/>
          <w:sz w:val="24"/>
          <w:szCs w:val="24"/>
          <w:lang w:bidi="ar"/>
        </w:rPr>
        <w:t>降水井、回灌井成井后要及时洗井，含砂量应小于万分之五。</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4</w:t>
      </w:r>
      <w:r>
        <w:rPr>
          <w:rFonts w:ascii="Times New Roman" w:hAnsi="Times New Roman" w:eastAsia="宋体" w:cs="Times New Roman"/>
          <w:b/>
          <w:sz w:val="24"/>
          <w:szCs w:val="22"/>
          <w:lang w:bidi="ar"/>
        </w:rPr>
        <w:t xml:space="preserve">.3 </w:t>
      </w:r>
      <w:r>
        <w:rPr>
          <w:rFonts w:hint="eastAsia" w:ascii="Times New Roman" w:hAnsi="Times New Roman" w:eastAsia="宋体" w:cs="宋体"/>
          <w:sz w:val="24"/>
          <w:szCs w:val="24"/>
          <w:lang w:bidi="ar"/>
        </w:rPr>
        <w:t>回灌用水应采用清水。</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4</w:t>
      </w:r>
      <w:r>
        <w:rPr>
          <w:rFonts w:ascii="Times New Roman" w:hAnsi="Times New Roman" w:eastAsia="宋体" w:cs="Times New Roman"/>
          <w:b/>
          <w:sz w:val="24"/>
          <w:szCs w:val="22"/>
          <w:lang w:bidi="ar"/>
        </w:rPr>
        <w:t>.4</w:t>
      </w:r>
      <w:r>
        <w:rPr>
          <w:rFonts w:ascii="Times New Roman" w:hAnsi="Times New Roman" w:eastAsia="宋体" w:cs="Times New Roman"/>
          <w:sz w:val="24"/>
          <w:szCs w:val="24"/>
          <w:lang w:bidi="ar"/>
        </w:rPr>
        <w:t xml:space="preserve"> </w:t>
      </w:r>
      <w:r>
        <w:rPr>
          <w:rFonts w:hint="eastAsia" w:ascii="Times New Roman" w:hAnsi="Times New Roman" w:eastAsia="宋体" w:cs="宋体"/>
          <w:sz w:val="24"/>
          <w:szCs w:val="24"/>
          <w:lang w:bidi="ar"/>
        </w:rPr>
        <w:t>基坑降水施工前应编制降水施工应急预案。降水过程中应进行降水水位、出水量及水质和环境监测，并应做好观测记录。</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4</w:t>
      </w:r>
      <w:r>
        <w:rPr>
          <w:rFonts w:ascii="Times New Roman" w:hAnsi="Times New Roman" w:eastAsia="宋体" w:cs="Times New Roman"/>
          <w:b/>
          <w:sz w:val="24"/>
          <w:szCs w:val="22"/>
          <w:lang w:bidi="ar"/>
        </w:rPr>
        <w:t>.5</w:t>
      </w:r>
      <w:r>
        <w:rPr>
          <w:rFonts w:ascii="Times New Roman" w:hAnsi="Times New Roman" w:eastAsia="宋体" w:cs="Times New Roman"/>
          <w:sz w:val="24"/>
          <w:szCs w:val="24"/>
          <w:lang w:bidi="ar"/>
        </w:rPr>
        <w:t xml:space="preserve"> </w:t>
      </w:r>
      <w:r>
        <w:rPr>
          <w:rFonts w:hint="eastAsia" w:ascii="Times New Roman" w:hAnsi="Times New Roman" w:eastAsia="宋体" w:cs="宋体"/>
          <w:sz w:val="24"/>
          <w:szCs w:val="24"/>
          <w:lang w:bidi="ar"/>
        </w:rPr>
        <w:t>抽水系统在使用期的维护应符合下列要求：</w:t>
      </w:r>
    </w:p>
    <w:p>
      <w:pPr>
        <w:widowControl/>
        <w:spacing w:line="480" w:lineRule="exact"/>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    1 </w:t>
      </w:r>
      <w:r>
        <w:rPr>
          <w:rFonts w:hint="eastAsia" w:ascii="Times New Roman" w:hAnsi="Times New Roman" w:eastAsia="宋体" w:cs="宋体"/>
          <w:sz w:val="24"/>
          <w:szCs w:val="24"/>
          <w:lang w:bidi="ar"/>
        </w:rPr>
        <w:t>降水期间应对井水位和抽水量进行监测，当基坑出现渗水时，应采取有效措施；</w:t>
      </w:r>
    </w:p>
    <w:p>
      <w:pPr>
        <w:widowControl/>
        <w:spacing w:line="480" w:lineRule="exact"/>
        <w:rPr>
          <w:rFonts w:ascii="Times New Roman" w:hAnsi="Times New Roman" w:eastAsia="宋体" w:cs="Times New Roman"/>
          <w:sz w:val="24"/>
          <w:szCs w:val="22"/>
        </w:rPr>
      </w:pPr>
      <w:r>
        <w:rPr>
          <w:rFonts w:ascii="Times New Roman" w:hAnsi="Times New Roman" w:eastAsia="宋体" w:cs="Times New Roman"/>
          <w:sz w:val="24"/>
          <w:szCs w:val="24"/>
          <w:lang w:bidi="ar"/>
        </w:rPr>
        <w:t xml:space="preserve">    2</w:t>
      </w:r>
      <w:r>
        <w:rPr>
          <w:rFonts w:hint="eastAsia" w:ascii="Times New Roman" w:hAnsi="Times New Roman" w:eastAsia="宋体" w:cs="宋体"/>
          <w:sz w:val="24"/>
          <w:szCs w:val="24"/>
          <w:lang w:bidi="ar"/>
        </w:rPr>
        <w:t>采用管井时，应对井口采取防护措施，井口宜高于地面</w:t>
      </w:r>
      <w:r>
        <w:rPr>
          <w:rFonts w:ascii="Times New Roman" w:hAnsi="Times New Roman" w:eastAsia="宋体" w:cs="Times New Roman"/>
          <w:sz w:val="24"/>
          <w:szCs w:val="24"/>
          <w:lang w:bidi="ar"/>
        </w:rPr>
        <w:t>200mm</w:t>
      </w:r>
      <w:r>
        <w:rPr>
          <w:rFonts w:hint="eastAsia" w:ascii="Times New Roman" w:hAnsi="Times New Roman" w:eastAsia="宋体" w:cs="宋体"/>
          <w:sz w:val="24"/>
          <w:szCs w:val="24"/>
          <w:lang w:bidi="ar"/>
        </w:rPr>
        <w:t>以上，应防止物体坠入井内；</w:t>
      </w:r>
    </w:p>
    <w:p>
      <w:pPr>
        <w:widowControl/>
        <w:spacing w:line="480" w:lineRule="exact"/>
        <w:rPr>
          <w:rFonts w:ascii="Times New Roman" w:hAnsi="Times New Roman" w:eastAsia="宋体" w:cs="Times New Roman"/>
          <w:sz w:val="24"/>
          <w:szCs w:val="24"/>
          <w:lang w:bidi="ar"/>
        </w:rPr>
      </w:pPr>
      <w:r>
        <w:rPr>
          <w:rFonts w:ascii="Times New Roman" w:hAnsi="Times New Roman" w:eastAsia="宋体" w:cs="Times New Roman"/>
          <w:sz w:val="24"/>
          <w:szCs w:val="24"/>
          <w:lang w:bidi="ar"/>
        </w:rPr>
        <w:t xml:space="preserve">    3 </w:t>
      </w:r>
      <w:r>
        <w:rPr>
          <w:rFonts w:hint="eastAsia" w:ascii="Times New Roman" w:hAnsi="Times New Roman" w:eastAsia="宋体" w:cs="Times New Roman"/>
          <w:sz w:val="24"/>
          <w:szCs w:val="24"/>
          <w:lang w:bidi="ar"/>
        </w:rPr>
        <w:t>冬季负温环境下，应对抽排水系统采取防冻措施。</w:t>
      </w:r>
    </w:p>
    <w:p>
      <w:pPr>
        <w:widowControl/>
        <w:spacing w:line="480" w:lineRule="exact"/>
        <w:rPr>
          <w:rFonts w:hint="eastAsia" w:ascii="Times New Roman" w:hAnsi="Times New Roman" w:eastAsia="宋体" w:cs="宋体"/>
          <w:color w:val="auto"/>
          <w:sz w:val="24"/>
          <w:szCs w:val="24"/>
          <w:lang w:bidi="ar"/>
        </w:rPr>
      </w:pPr>
      <w:r>
        <w:rPr>
          <w:rFonts w:hint="eastAsia" w:ascii="Times New Roman" w:hAnsi="Times New Roman" w:eastAsia="宋体" w:cs="Times New Roman"/>
          <w:b/>
          <w:sz w:val="24"/>
          <w:szCs w:val="22"/>
          <w:lang w:eastAsia="zh-CN" w:bidi="ar"/>
        </w:rPr>
        <w:t>1</w:t>
      </w:r>
      <w:r>
        <w:rPr>
          <w:rFonts w:hint="eastAsia" w:ascii="Times New Roman" w:hAnsi="Times New Roman" w:eastAsia="宋体" w:cs="Times New Roman"/>
          <w:b/>
          <w:color w:val="auto"/>
          <w:sz w:val="24"/>
          <w:szCs w:val="22"/>
          <w:lang w:eastAsia="zh-CN" w:bidi="ar"/>
        </w:rPr>
        <w:t>3</w:t>
      </w:r>
      <w:r>
        <w:rPr>
          <w:rFonts w:ascii="Times New Roman" w:hAnsi="Times New Roman" w:eastAsia="宋体" w:cs="Times New Roman"/>
          <w:b/>
          <w:color w:val="auto"/>
          <w:sz w:val="24"/>
          <w:szCs w:val="22"/>
          <w:lang w:bidi="ar"/>
        </w:rPr>
        <w:t>.</w:t>
      </w:r>
      <w:r>
        <w:rPr>
          <w:rFonts w:hint="eastAsia" w:ascii="Times New Roman" w:hAnsi="Times New Roman" w:eastAsia="宋体" w:cs="Times New Roman"/>
          <w:b/>
          <w:color w:val="auto"/>
          <w:sz w:val="24"/>
          <w:szCs w:val="22"/>
          <w:lang w:val="en-US" w:eastAsia="zh-CN" w:bidi="ar"/>
        </w:rPr>
        <w:t>4</w:t>
      </w:r>
      <w:r>
        <w:rPr>
          <w:rFonts w:ascii="Times New Roman" w:hAnsi="Times New Roman" w:eastAsia="宋体" w:cs="Times New Roman"/>
          <w:b/>
          <w:color w:val="auto"/>
          <w:sz w:val="24"/>
          <w:szCs w:val="22"/>
          <w:lang w:bidi="ar"/>
        </w:rPr>
        <w:t xml:space="preserve">.6 </w:t>
      </w:r>
      <w:r>
        <w:rPr>
          <w:rFonts w:hint="eastAsia" w:ascii="Times New Roman" w:hAnsi="Times New Roman" w:eastAsia="宋体" w:cs="宋体"/>
          <w:color w:val="auto"/>
          <w:sz w:val="24"/>
          <w:szCs w:val="24"/>
          <w:lang w:bidi="ar"/>
        </w:rPr>
        <w:t>抽水系统的使用期应满足主体结构的施工要求。当主体结构有抗浮要求时，停止降水的时间应满足主体结构施工期的抗浮要求。</w:t>
      </w:r>
    </w:p>
    <w:p>
      <w:pPr>
        <w:widowControl/>
        <w:spacing w:line="480" w:lineRule="exact"/>
        <w:rPr>
          <w:rFonts w:hint="eastAsia" w:ascii="Times New Roman" w:hAnsi="Times New Roman" w:eastAsia="宋体" w:cs="宋体"/>
          <w:strike w:val="0"/>
          <w:dstrike w:val="0"/>
          <w:color w:val="auto"/>
          <w:sz w:val="24"/>
          <w:szCs w:val="24"/>
          <w:lang w:bidi="ar"/>
        </w:rPr>
      </w:pPr>
      <w:r>
        <w:rPr>
          <w:rFonts w:hint="eastAsia" w:ascii="Times New Roman" w:hAnsi="Times New Roman" w:eastAsia="宋体" w:cs="宋体"/>
          <w:b/>
          <w:bCs/>
          <w:strike w:val="0"/>
          <w:dstrike w:val="0"/>
          <w:color w:val="auto"/>
          <w:sz w:val="24"/>
          <w:szCs w:val="24"/>
          <w:lang w:eastAsia="zh-CN" w:bidi="ar"/>
        </w:rPr>
        <w:t>13</w:t>
      </w:r>
      <w:r>
        <w:rPr>
          <w:rFonts w:ascii="Times New Roman" w:hAnsi="Times New Roman" w:eastAsia="宋体" w:cs="宋体"/>
          <w:b/>
          <w:bCs/>
          <w:strike w:val="0"/>
          <w:dstrike w:val="0"/>
          <w:color w:val="auto"/>
          <w:sz w:val="24"/>
          <w:szCs w:val="24"/>
          <w:lang w:bidi="ar"/>
        </w:rPr>
        <w:t>.</w:t>
      </w:r>
      <w:r>
        <w:rPr>
          <w:rFonts w:hint="eastAsia" w:ascii="Times New Roman" w:hAnsi="Times New Roman" w:eastAsia="宋体" w:cs="宋体"/>
          <w:b/>
          <w:bCs/>
          <w:strike w:val="0"/>
          <w:dstrike w:val="0"/>
          <w:color w:val="auto"/>
          <w:sz w:val="24"/>
          <w:szCs w:val="24"/>
          <w:lang w:val="en-US" w:eastAsia="zh-CN" w:bidi="ar"/>
        </w:rPr>
        <w:t>4.7</w:t>
      </w:r>
      <w:r>
        <w:rPr>
          <w:rFonts w:ascii="Times New Roman" w:hAnsi="Times New Roman" w:eastAsia="宋体" w:cs="宋体"/>
          <w:strike w:val="0"/>
          <w:dstrike w:val="0"/>
          <w:color w:val="auto"/>
          <w:sz w:val="24"/>
          <w:szCs w:val="24"/>
          <w:lang w:bidi="ar"/>
        </w:rPr>
        <w:t xml:space="preserve"> </w:t>
      </w:r>
      <w:r>
        <w:rPr>
          <w:rFonts w:hint="eastAsia" w:ascii="Times New Roman" w:hAnsi="Times New Roman" w:eastAsia="宋体" w:cs="宋体"/>
          <w:strike w:val="0"/>
          <w:dstrike w:val="0"/>
          <w:color w:val="auto"/>
          <w:sz w:val="24"/>
          <w:szCs w:val="24"/>
          <w:lang w:bidi="ar"/>
        </w:rPr>
        <w:t>对基坑周边地表汇水、基底表面汇水，可采用明沟及集水井排水；对坑底以下渗出的地下水，可采用盲沟排水；当建、构筑物基础底板与支护结构间不能设置明沟时，基坑坡脚处也可采用盲沟排水。</w:t>
      </w:r>
    </w:p>
    <w:p>
      <w:pPr>
        <w:widowControl/>
        <w:spacing w:line="480" w:lineRule="exact"/>
        <w:rPr>
          <w:rFonts w:ascii="Times New Roman" w:hAnsi="Times New Roman" w:eastAsia="宋体" w:cs="宋体"/>
          <w:strike w:val="0"/>
          <w:dstrike w:val="0"/>
          <w:color w:val="auto"/>
          <w:sz w:val="24"/>
          <w:szCs w:val="22"/>
          <w:lang w:bidi="ar"/>
        </w:rPr>
      </w:pPr>
      <w:r>
        <w:rPr>
          <w:rFonts w:hint="eastAsia" w:ascii="Times New Roman" w:hAnsi="Times New Roman" w:eastAsia="宋体" w:cs="宋体"/>
          <w:b/>
          <w:bCs/>
          <w:strike w:val="0"/>
          <w:dstrike w:val="0"/>
          <w:color w:val="auto"/>
          <w:sz w:val="24"/>
          <w:szCs w:val="24"/>
          <w:lang w:eastAsia="zh-CN" w:bidi="ar"/>
        </w:rPr>
        <w:t>13</w:t>
      </w:r>
      <w:r>
        <w:rPr>
          <w:rFonts w:hint="eastAsia" w:ascii="Times New Roman" w:hAnsi="Times New Roman" w:eastAsia="宋体" w:cs="宋体"/>
          <w:b/>
          <w:bCs/>
          <w:strike w:val="0"/>
          <w:dstrike w:val="0"/>
          <w:color w:val="auto"/>
          <w:sz w:val="24"/>
          <w:szCs w:val="24"/>
          <w:lang w:bidi="ar"/>
        </w:rPr>
        <w:t>.</w:t>
      </w:r>
      <w:r>
        <w:rPr>
          <w:rFonts w:hint="eastAsia" w:ascii="Times New Roman" w:hAnsi="Times New Roman" w:eastAsia="宋体" w:cs="宋体"/>
          <w:b/>
          <w:bCs/>
          <w:strike w:val="0"/>
          <w:dstrike w:val="0"/>
          <w:color w:val="auto"/>
          <w:sz w:val="24"/>
          <w:szCs w:val="24"/>
          <w:lang w:val="en-US" w:eastAsia="zh-CN" w:bidi="ar"/>
        </w:rPr>
        <w:t>4.8</w:t>
      </w:r>
      <w:r>
        <w:rPr>
          <w:rFonts w:ascii="Times New Roman" w:hAnsi="Times New Roman" w:eastAsia="宋体" w:cs="宋体"/>
          <w:strike w:val="0"/>
          <w:dstrike w:val="0"/>
          <w:color w:val="auto"/>
          <w:sz w:val="24"/>
          <w:szCs w:val="24"/>
          <w:lang w:bidi="ar"/>
        </w:rPr>
        <w:t xml:space="preserve"> </w:t>
      </w:r>
      <w:r>
        <w:rPr>
          <w:rFonts w:hint="eastAsia" w:ascii="Times New Roman" w:hAnsi="Times New Roman" w:eastAsia="宋体" w:cs="宋体"/>
          <w:strike w:val="0"/>
          <w:dstrike w:val="0"/>
          <w:color w:val="auto"/>
          <w:sz w:val="24"/>
          <w:szCs w:val="24"/>
          <w:lang w:bidi="ar"/>
        </w:rPr>
        <w:t>沿排水沟宜每隔</w:t>
      </w:r>
      <w:r>
        <w:rPr>
          <w:rFonts w:ascii="Times New Roman" w:hAnsi="Times New Roman" w:eastAsia="宋体" w:cs="宋体"/>
          <w:strike w:val="0"/>
          <w:dstrike w:val="0"/>
          <w:color w:val="auto"/>
          <w:sz w:val="24"/>
          <w:szCs w:val="24"/>
          <w:lang w:bidi="ar"/>
        </w:rPr>
        <w:t>20m</w:t>
      </w:r>
      <w:r>
        <w:rPr>
          <w:rFonts w:hint="eastAsia" w:ascii="Times New Roman" w:hAnsi="Times New Roman" w:eastAsia="宋体" w:cs="宋体"/>
          <w:strike w:val="0"/>
          <w:dstrike w:val="0"/>
          <w:color w:val="auto"/>
          <w:sz w:val="24"/>
          <w:szCs w:val="24"/>
          <w:lang w:bidi="ar"/>
        </w:rPr>
        <w:t>～</w:t>
      </w:r>
      <w:r>
        <w:rPr>
          <w:rFonts w:ascii="Times New Roman" w:hAnsi="Times New Roman" w:eastAsia="宋体" w:cs="宋体"/>
          <w:strike w:val="0"/>
          <w:dstrike w:val="0"/>
          <w:color w:val="auto"/>
          <w:sz w:val="24"/>
          <w:szCs w:val="24"/>
          <w:lang w:bidi="ar"/>
        </w:rPr>
        <w:t>40m</w:t>
      </w:r>
      <w:r>
        <w:rPr>
          <w:rFonts w:hint="eastAsia" w:ascii="Times New Roman" w:hAnsi="Times New Roman" w:eastAsia="宋体" w:cs="宋体"/>
          <w:strike w:val="0"/>
          <w:dstrike w:val="0"/>
          <w:color w:val="auto"/>
          <w:sz w:val="24"/>
          <w:szCs w:val="24"/>
          <w:lang w:bidi="ar"/>
        </w:rPr>
        <w:t>设置一口集水井；集水井的净截面尺寸应根据排水流量确定，集水井应采取防渗措施。</w:t>
      </w:r>
    </w:p>
    <w:p>
      <w:pPr>
        <w:widowControl/>
        <w:spacing w:line="480" w:lineRule="exact"/>
        <w:rPr>
          <w:rFonts w:hint="eastAsia" w:ascii="Times New Roman" w:hAnsi="Times New Roman" w:eastAsia="宋体" w:cs="宋体"/>
          <w:strike/>
          <w:dstrike w:val="0"/>
          <w:color w:val="1552D1"/>
          <w:sz w:val="24"/>
          <w:szCs w:val="24"/>
          <w:lang w:bidi="ar"/>
        </w:rPr>
      </w:pPr>
    </w:p>
    <w:p>
      <w:pPr>
        <w:pStyle w:val="3"/>
        <w:bidi w:val="0"/>
        <w:rPr>
          <w:lang w:val="en-US" w:eastAsia="zh-CN"/>
        </w:rPr>
      </w:pPr>
      <w:bookmarkStart w:id="732" w:name="_Toc21153"/>
      <w:r>
        <w:rPr>
          <w:rFonts w:hint="eastAsia"/>
          <w:lang w:val="en-US" w:eastAsia="zh-CN"/>
        </w:rPr>
        <w:t>13</w:t>
      </w:r>
      <w:r>
        <w:rPr>
          <w:lang w:val="en-US" w:eastAsia="zh-CN"/>
        </w:rPr>
        <w:t>.</w:t>
      </w:r>
      <w:r>
        <w:rPr>
          <w:rFonts w:hint="eastAsia"/>
          <w:lang w:val="en-US" w:eastAsia="zh-CN"/>
        </w:rPr>
        <w:t>5</w:t>
      </w:r>
      <w:r>
        <w:rPr>
          <w:lang w:val="en-US" w:eastAsia="zh-CN"/>
        </w:rPr>
        <w:t xml:space="preserve">  截水帷幕</w:t>
      </w:r>
      <w:bookmarkEnd w:id="732"/>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5</w:t>
      </w:r>
      <w:r>
        <w:rPr>
          <w:rFonts w:ascii="Times New Roman" w:hAnsi="Times New Roman" w:eastAsia="宋体" w:cs="Times New Roman"/>
          <w:b/>
          <w:sz w:val="24"/>
          <w:szCs w:val="22"/>
          <w:lang w:bidi="ar"/>
        </w:rPr>
        <w:t>.1</w:t>
      </w:r>
      <w:r>
        <w:rPr>
          <w:rFonts w:ascii="Times New Roman" w:hAnsi="Times New Roman" w:eastAsia="宋体" w:cs="Times New Roman"/>
          <w:sz w:val="24"/>
          <w:szCs w:val="24"/>
          <w:lang w:bidi="ar"/>
        </w:rPr>
        <w:t xml:space="preserve"> </w:t>
      </w:r>
      <w:r>
        <w:rPr>
          <w:rFonts w:hint="eastAsia" w:ascii="Times New Roman" w:hAnsi="Times New Roman" w:eastAsia="宋体" w:cs="宋体"/>
          <w:sz w:val="24"/>
          <w:szCs w:val="24"/>
          <w:lang w:bidi="ar"/>
        </w:rPr>
        <w:t>基坑截水应根据工程地质条件、水文地质条件及施工条件等，选用水泥土搅拌桩帷幕、高压旋喷或摆喷注浆帷幕、地下连续墙或咬合式排桩等。</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w:t>
      </w:r>
      <w:r>
        <w:rPr>
          <w:rFonts w:hint="eastAsia" w:ascii="Times New Roman" w:hAnsi="Times New Roman" w:eastAsia="宋体" w:cs="宋体"/>
          <w:b/>
          <w:bCs/>
          <w:sz w:val="24"/>
          <w:szCs w:val="24"/>
          <w:lang w:val="en-US" w:eastAsia="zh-CN" w:bidi="ar"/>
        </w:rPr>
        <w:t>5</w:t>
      </w:r>
      <w:r>
        <w:rPr>
          <w:rFonts w:hint="eastAsia" w:ascii="Times New Roman" w:hAnsi="Times New Roman" w:eastAsia="宋体" w:cs="宋体"/>
          <w:b/>
          <w:bCs/>
          <w:sz w:val="24"/>
          <w:szCs w:val="24"/>
          <w:lang w:bidi="ar"/>
        </w:rPr>
        <w:t>.2</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水泥土搅拌法帷幕施工符合下列规定：</w:t>
      </w:r>
    </w:p>
    <w:p>
      <w:pPr>
        <w:widowControl/>
        <w:spacing w:line="480" w:lineRule="exact"/>
        <w:ind w:firstLine="480" w:firstLineChars="200"/>
        <w:rPr>
          <w:rFonts w:ascii="Times New Roman" w:hAnsi="Times New Roman" w:eastAsia="宋体" w:cs="宋体"/>
          <w:sz w:val="24"/>
          <w:szCs w:val="22"/>
          <w:lang w:bidi="ar"/>
        </w:rPr>
      </w:pPr>
      <w:r>
        <w:rPr>
          <w:rFonts w:ascii="Times New Roman" w:hAnsi="Times New Roman" w:eastAsia="宋体" w:cs="宋体"/>
          <w:sz w:val="24"/>
          <w:szCs w:val="24"/>
          <w:lang w:bidi="ar"/>
        </w:rPr>
        <w:t xml:space="preserve">1 </w:t>
      </w:r>
      <w:r>
        <w:rPr>
          <w:rFonts w:hint="eastAsia" w:ascii="Times New Roman" w:hAnsi="Times New Roman" w:eastAsia="宋体" w:cs="宋体"/>
          <w:sz w:val="24"/>
          <w:szCs w:val="24"/>
          <w:lang w:bidi="ar"/>
        </w:rPr>
        <w:t>可采用单轴、双轴、多轴搅拌工艺施工，施工工艺参数应通过试验确定；</w:t>
      </w:r>
    </w:p>
    <w:p>
      <w:pPr>
        <w:widowControl/>
        <w:spacing w:line="480" w:lineRule="exact"/>
        <w:ind w:firstLine="480" w:firstLineChars="200"/>
        <w:rPr>
          <w:rFonts w:ascii="Times New Roman" w:hAnsi="Times New Roman" w:eastAsia="宋体" w:cs="Times New Roman"/>
          <w:sz w:val="24"/>
          <w:szCs w:val="24"/>
          <w:lang w:bidi="ar"/>
        </w:rPr>
      </w:pPr>
      <w:r>
        <w:rPr>
          <w:rFonts w:ascii="Times New Roman" w:hAnsi="Times New Roman" w:eastAsia="宋体" w:cs="Times New Roman"/>
          <w:sz w:val="24"/>
          <w:szCs w:val="24"/>
          <w:lang w:bidi="ar"/>
        </w:rPr>
        <w:t xml:space="preserve">2 </w:t>
      </w:r>
      <w:r>
        <w:rPr>
          <w:rFonts w:hint="eastAsia" w:ascii="Times New Roman" w:hAnsi="Times New Roman" w:eastAsia="宋体" w:cs="Times New Roman"/>
          <w:sz w:val="24"/>
          <w:szCs w:val="24"/>
          <w:lang w:bidi="ar"/>
        </w:rPr>
        <w:t>孔位偏差不应超过</w:t>
      </w:r>
      <w:r>
        <w:rPr>
          <w:rFonts w:ascii="Times New Roman" w:hAnsi="Times New Roman" w:eastAsia="宋体" w:cs="Times New Roman"/>
          <w:sz w:val="24"/>
          <w:szCs w:val="24"/>
          <w:lang w:bidi="ar"/>
        </w:rPr>
        <w:t>50mm</w:t>
      </w:r>
      <w:r>
        <w:rPr>
          <w:rFonts w:hint="eastAsia" w:ascii="Times New Roman" w:hAnsi="Times New Roman" w:eastAsia="宋体" w:cs="Times New Roman"/>
          <w:sz w:val="24"/>
          <w:szCs w:val="24"/>
          <w:lang w:bidi="ar"/>
        </w:rPr>
        <w:t>，垂直度偏差不应超过</w:t>
      </w:r>
      <w:r>
        <w:rPr>
          <w:rFonts w:ascii="Times New Roman" w:hAnsi="Times New Roman" w:eastAsia="宋体" w:cs="Times New Roman"/>
          <w:sz w:val="24"/>
          <w:szCs w:val="24"/>
          <w:lang w:bidi="ar"/>
        </w:rPr>
        <w:t>1%</w:t>
      </w:r>
      <w:r>
        <w:rPr>
          <w:rFonts w:hint="eastAsia" w:ascii="Times New Roman" w:hAnsi="Times New Roman" w:eastAsia="宋体" w:cs="Times New Roman"/>
          <w:sz w:val="24"/>
          <w:szCs w:val="24"/>
          <w:lang w:bidi="ar"/>
        </w:rPr>
        <w:t>；</w:t>
      </w:r>
    </w:p>
    <w:p>
      <w:pPr>
        <w:widowControl/>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sz w:val="24"/>
          <w:szCs w:val="24"/>
          <w:lang w:val="en-US" w:eastAsia="zh-CN" w:bidi="ar"/>
        </w:rPr>
        <w:t>3</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停止搅拌的位置高于帷幕设计顶面</w:t>
      </w:r>
      <w:r>
        <w:rPr>
          <w:rFonts w:ascii="Times New Roman" w:hAnsi="Times New Roman" w:eastAsia="宋体" w:cs="宋体"/>
          <w:sz w:val="24"/>
          <w:szCs w:val="24"/>
          <w:lang w:bidi="ar"/>
        </w:rPr>
        <w:t>0.5m</w:t>
      </w:r>
      <w:r>
        <w:rPr>
          <w:rFonts w:hint="eastAsia" w:ascii="Times New Roman" w:hAnsi="Times New Roman" w:eastAsia="宋体" w:cs="宋体"/>
          <w:sz w:val="24"/>
          <w:szCs w:val="24"/>
          <w:lang w:bidi="ar"/>
        </w:rPr>
        <w:t>，当水泥土搅拌因故中途停止，继续搅拌应与停止搅拌前的固结体搭接，其搭接长度不应小于</w:t>
      </w:r>
      <w:r>
        <w:rPr>
          <w:rFonts w:ascii="Times New Roman" w:hAnsi="Times New Roman" w:eastAsia="宋体" w:cs="宋体"/>
          <w:sz w:val="24"/>
          <w:szCs w:val="24"/>
          <w:lang w:bidi="ar"/>
        </w:rPr>
        <w:t>1.0m</w:t>
      </w:r>
      <w:r>
        <w:rPr>
          <w:rFonts w:hint="eastAsia" w:ascii="Times New Roman" w:hAnsi="Times New Roman" w:eastAsia="宋体" w:cs="宋体"/>
          <w:sz w:val="24"/>
          <w:szCs w:val="24"/>
          <w:lang w:bidi="ar"/>
        </w:rPr>
        <w:t>；</w:t>
      </w:r>
    </w:p>
    <w:p>
      <w:pPr>
        <w:widowControl/>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sz w:val="24"/>
          <w:szCs w:val="24"/>
          <w:lang w:val="en-US" w:eastAsia="zh-CN" w:bidi="ar"/>
        </w:rPr>
        <w:t>4</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喷浆搅拌下沉、提升速度和重复次数应符合设计和工艺要求，并有施工过程记录。</w:t>
      </w:r>
    </w:p>
    <w:p>
      <w:pPr>
        <w:widowControl/>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sz w:val="24"/>
          <w:szCs w:val="24"/>
          <w:lang w:val="en-US" w:eastAsia="zh-CN" w:bidi="ar"/>
        </w:rPr>
        <w:t>5</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搅拌桩水泥浆液的水灰比可根据含水层粒径大小确定，单轴宜取</w:t>
      </w:r>
      <w:r>
        <w:rPr>
          <w:rFonts w:ascii="Times New Roman" w:hAnsi="Times New Roman" w:eastAsia="宋体" w:cs="宋体"/>
          <w:sz w:val="24"/>
          <w:szCs w:val="24"/>
          <w:lang w:bidi="ar"/>
        </w:rPr>
        <w:t>0.45</w:t>
      </w:r>
      <w:r>
        <w:rPr>
          <w:rFonts w:hint="eastAsia" w:ascii="Times New Roman" w:hAnsi="Times New Roman" w:eastAsia="宋体" w:cs="宋体"/>
          <w:sz w:val="24"/>
          <w:szCs w:val="24"/>
          <w:lang w:bidi="ar"/>
        </w:rPr>
        <w:t>～</w:t>
      </w:r>
      <w:r>
        <w:rPr>
          <w:rFonts w:ascii="Times New Roman" w:hAnsi="Times New Roman" w:eastAsia="宋体" w:cs="宋体"/>
          <w:sz w:val="24"/>
          <w:szCs w:val="24"/>
          <w:lang w:bidi="ar"/>
        </w:rPr>
        <w:t>0.55</w:t>
      </w:r>
      <w:r>
        <w:rPr>
          <w:rFonts w:hint="eastAsia" w:ascii="Times New Roman" w:hAnsi="Times New Roman" w:eastAsia="宋体" w:cs="宋体"/>
          <w:sz w:val="24"/>
          <w:szCs w:val="24"/>
          <w:lang w:bidi="ar"/>
        </w:rPr>
        <w:t>，三轴宜取</w:t>
      </w:r>
      <w:r>
        <w:rPr>
          <w:rFonts w:ascii="Times New Roman" w:hAnsi="Times New Roman" w:eastAsia="宋体" w:cs="宋体"/>
          <w:sz w:val="24"/>
          <w:szCs w:val="24"/>
          <w:lang w:bidi="ar"/>
        </w:rPr>
        <w:t>1.2~2.0</w:t>
      </w:r>
      <w:r>
        <w:rPr>
          <w:rFonts w:hint="eastAsia" w:ascii="Times New Roman" w:hAnsi="Times New Roman" w:eastAsia="宋体" w:cs="宋体"/>
          <w:sz w:val="24"/>
          <w:szCs w:val="24"/>
          <w:lang w:bidi="ar"/>
        </w:rPr>
        <w:t>，粒径较粗时宜采用较大值。搅拌桩的水泥掺量宜取土的天然质量的</w:t>
      </w:r>
      <w:r>
        <w:rPr>
          <w:rFonts w:ascii="Times New Roman" w:hAnsi="Times New Roman" w:eastAsia="宋体" w:cs="宋体"/>
          <w:sz w:val="24"/>
          <w:szCs w:val="24"/>
          <w:lang w:bidi="ar"/>
        </w:rPr>
        <w:t>15%-20</w:t>
      </w:r>
      <w:r>
        <w:rPr>
          <w:rFonts w:hint="eastAsia" w:ascii="Times New Roman" w:hAnsi="Times New Roman" w:eastAsia="宋体" w:cs="宋体"/>
          <w:sz w:val="24"/>
          <w:szCs w:val="24"/>
          <w:lang w:bidi="ar"/>
        </w:rPr>
        <w:t>％。</w:t>
      </w:r>
    </w:p>
    <w:p>
      <w:pPr>
        <w:widowControl/>
        <w:spacing w:line="480" w:lineRule="exact"/>
        <w:rPr>
          <w:rFonts w:ascii="Times New Roman" w:hAnsi="Times New Roman" w:eastAsia="宋体" w:cs="宋体"/>
          <w:sz w:val="24"/>
          <w:szCs w:val="22"/>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w:t>
      </w:r>
      <w:r>
        <w:rPr>
          <w:rFonts w:hint="eastAsia" w:ascii="Times New Roman" w:hAnsi="Times New Roman" w:eastAsia="宋体" w:cs="宋体"/>
          <w:b/>
          <w:bCs/>
          <w:sz w:val="24"/>
          <w:szCs w:val="24"/>
          <w:lang w:val="en-US" w:eastAsia="zh-CN" w:bidi="ar"/>
        </w:rPr>
        <w:t>5</w:t>
      </w:r>
      <w:r>
        <w:rPr>
          <w:rFonts w:hint="eastAsia" w:ascii="Times New Roman" w:hAnsi="Times New Roman" w:eastAsia="宋体" w:cs="宋体"/>
          <w:b/>
          <w:bCs/>
          <w:sz w:val="24"/>
          <w:szCs w:val="24"/>
          <w:lang w:bidi="ar"/>
        </w:rPr>
        <w:t>.</w:t>
      </w:r>
      <w:r>
        <w:rPr>
          <w:rFonts w:hint="eastAsia" w:ascii="Times New Roman" w:hAnsi="Times New Roman" w:eastAsia="宋体" w:cs="宋体"/>
          <w:b/>
          <w:bCs/>
          <w:sz w:val="24"/>
          <w:szCs w:val="24"/>
          <w:lang w:val="en-US" w:eastAsia="zh-CN" w:bidi="ar"/>
        </w:rPr>
        <w:t>3</w:t>
      </w:r>
      <w:r>
        <w:rPr>
          <w:rFonts w:ascii="Times New Roman" w:hAnsi="Times New Roman" w:eastAsia="宋体" w:cs="宋体"/>
          <w:sz w:val="24"/>
          <w:szCs w:val="24"/>
          <w:lang w:bidi="ar"/>
        </w:rPr>
        <w:t xml:space="preserve"> </w:t>
      </w:r>
      <w:r>
        <w:rPr>
          <w:rFonts w:hint="eastAsia" w:ascii="Times New Roman" w:hAnsi="Times New Roman" w:eastAsia="宋体" w:cs="宋体"/>
          <w:sz w:val="24"/>
          <w:szCs w:val="24"/>
          <w:lang w:bidi="ar"/>
        </w:rPr>
        <w:t>水泥土</w:t>
      </w:r>
      <w:r>
        <w:rPr>
          <w:rFonts w:hint="eastAsia" w:ascii="Times New Roman" w:hAnsi="Times New Roman" w:eastAsia="宋体" w:cs="宋体"/>
          <w:color w:val="auto"/>
          <w:sz w:val="24"/>
          <w:szCs w:val="24"/>
          <w:lang w:bidi="ar"/>
        </w:rPr>
        <w:t>搅</w:t>
      </w:r>
      <w:r>
        <w:rPr>
          <w:rFonts w:hint="eastAsia" w:ascii="Times New Roman" w:hAnsi="Times New Roman" w:eastAsia="宋体" w:cs="宋体"/>
          <w:sz w:val="24"/>
          <w:szCs w:val="24"/>
          <w:lang w:bidi="ar"/>
        </w:rPr>
        <w:t>拌桩直径宜取</w:t>
      </w:r>
      <w:r>
        <w:rPr>
          <w:rFonts w:ascii="Times New Roman" w:hAnsi="Times New Roman" w:eastAsia="宋体" w:cs="宋体"/>
          <w:sz w:val="24"/>
          <w:szCs w:val="24"/>
          <w:lang w:bidi="ar"/>
        </w:rPr>
        <w:t>450mm</w:t>
      </w:r>
      <w:r>
        <w:rPr>
          <w:rFonts w:hint="eastAsia" w:ascii="Times New Roman" w:hAnsi="Times New Roman" w:eastAsia="宋体" w:cs="宋体"/>
          <w:sz w:val="24"/>
          <w:szCs w:val="24"/>
          <w:lang w:bidi="ar"/>
        </w:rPr>
        <w:t>～</w:t>
      </w:r>
      <w:r>
        <w:rPr>
          <w:rFonts w:ascii="Times New Roman" w:hAnsi="Times New Roman" w:eastAsia="宋体" w:cs="宋体"/>
          <w:sz w:val="24"/>
          <w:szCs w:val="24"/>
          <w:lang w:bidi="ar"/>
        </w:rPr>
        <w:t>1000mm</w:t>
      </w:r>
      <w:r>
        <w:rPr>
          <w:rFonts w:hint="eastAsia" w:ascii="Times New Roman" w:hAnsi="Times New Roman" w:eastAsia="宋体" w:cs="宋体"/>
          <w:sz w:val="24"/>
          <w:szCs w:val="24"/>
          <w:lang w:bidi="ar"/>
        </w:rPr>
        <w:t>，搅拌桩的搭接宽度应符合下列规定：</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t xml:space="preserve">1  </w:t>
      </w:r>
      <w:r>
        <w:rPr>
          <w:rFonts w:hint="eastAsia" w:ascii="Times New Roman" w:hAnsi="Times New Roman" w:eastAsia="宋体" w:cs="宋体"/>
          <w:sz w:val="24"/>
          <w:szCs w:val="24"/>
          <w:lang w:bidi="ar"/>
        </w:rPr>
        <w:t>单排搅拌桩帷幕的搭接宽度，当搅拌深度不大于</w:t>
      </w:r>
      <w:r>
        <w:rPr>
          <w:rFonts w:ascii="Times New Roman" w:hAnsi="Times New Roman" w:eastAsia="宋体" w:cs="宋体"/>
          <w:sz w:val="24"/>
          <w:szCs w:val="24"/>
          <w:lang w:bidi="ar"/>
        </w:rPr>
        <w:t xml:space="preserve">10m </w:t>
      </w:r>
      <w:r>
        <w:rPr>
          <w:rFonts w:hint="eastAsia" w:ascii="Times New Roman" w:hAnsi="Times New Roman" w:eastAsia="宋体" w:cs="宋体"/>
          <w:sz w:val="24"/>
          <w:szCs w:val="24"/>
          <w:lang w:bidi="ar"/>
        </w:rPr>
        <w:t>时，不应小于</w:t>
      </w:r>
      <w:r>
        <w:rPr>
          <w:rFonts w:ascii="Times New Roman" w:hAnsi="Times New Roman" w:eastAsia="宋体" w:cs="宋体"/>
          <w:sz w:val="24"/>
          <w:szCs w:val="24"/>
          <w:lang w:bidi="ar"/>
        </w:rPr>
        <w:t>150mm;</w:t>
      </w:r>
      <w:r>
        <w:rPr>
          <w:rFonts w:hint="eastAsia" w:ascii="Times New Roman" w:hAnsi="Times New Roman" w:eastAsia="宋体" w:cs="宋体"/>
          <w:sz w:val="24"/>
          <w:szCs w:val="24"/>
          <w:lang w:bidi="ar"/>
        </w:rPr>
        <w:t>当搅拌深度为</w:t>
      </w:r>
      <w:r>
        <w:rPr>
          <w:rFonts w:ascii="Times New Roman" w:hAnsi="Times New Roman" w:eastAsia="宋体" w:cs="宋体"/>
          <w:sz w:val="24"/>
          <w:szCs w:val="24"/>
          <w:lang w:bidi="ar"/>
        </w:rPr>
        <w:t>10m~15m</w:t>
      </w:r>
      <w:r>
        <w:rPr>
          <w:rFonts w:hint="eastAsia" w:ascii="Times New Roman" w:hAnsi="Times New Roman" w:eastAsia="宋体" w:cs="宋体"/>
          <w:sz w:val="24"/>
          <w:szCs w:val="24"/>
          <w:lang w:bidi="ar"/>
        </w:rPr>
        <w:t>时，不应小于</w:t>
      </w:r>
      <w:r>
        <w:rPr>
          <w:rFonts w:ascii="Times New Roman" w:hAnsi="Times New Roman" w:eastAsia="宋体" w:cs="宋体"/>
          <w:sz w:val="24"/>
          <w:szCs w:val="24"/>
          <w:lang w:bidi="ar"/>
        </w:rPr>
        <w:t>200mm</w:t>
      </w:r>
      <w:r>
        <w:rPr>
          <w:rFonts w:hint="eastAsia" w:ascii="Times New Roman" w:hAnsi="Times New Roman" w:eastAsia="宋体" w:cs="宋体"/>
          <w:sz w:val="24"/>
          <w:szCs w:val="24"/>
          <w:lang w:bidi="ar"/>
        </w:rPr>
        <w:t>；当搅拌深度大于</w:t>
      </w:r>
      <w:r>
        <w:rPr>
          <w:rFonts w:ascii="Times New Roman" w:hAnsi="Times New Roman" w:eastAsia="宋体" w:cs="宋体"/>
          <w:sz w:val="24"/>
          <w:szCs w:val="24"/>
          <w:lang w:bidi="ar"/>
        </w:rPr>
        <w:t>15m</w:t>
      </w:r>
      <w:r>
        <w:rPr>
          <w:rFonts w:hint="eastAsia" w:ascii="Times New Roman" w:hAnsi="Times New Roman" w:eastAsia="宋体" w:cs="宋体"/>
          <w:sz w:val="24"/>
          <w:szCs w:val="24"/>
          <w:lang w:bidi="ar"/>
        </w:rPr>
        <w:t>时，不应小于</w:t>
      </w:r>
      <w:r>
        <w:rPr>
          <w:rFonts w:ascii="Times New Roman" w:hAnsi="Times New Roman" w:eastAsia="宋体" w:cs="宋体"/>
          <w:sz w:val="24"/>
          <w:szCs w:val="24"/>
          <w:lang w:bidi="ar"/>
        </w:rPr>
        <w:t>250mm</w:t>
      </w:r>
      <w:r>
        <w:rPr>
          <w:rFonts w:hint="eastAsia" w:ascii="Times New Roman" w:hAnsi="Times New Roman" w:eastAsia="宋体" w:cs="宋体"/>
          <w:sz w:val="24"/>
          <w:szCs w:val="24"/>
          <w:lang w:bidi="ar"/>
        </w:rPr>
        <w:t>；</w:t>
      </w:r>
    </w:p>
    <w:p>
      <w:pPr>
        <w:widowControl/>
        <w:spacing w:line="480" w:lineRule="exact"/>
        <w:ind w:firstLine="720" w:firstLineChars="300"/>
        <w:rPr>
          <w:rFonts w:hint="eastAsia" w:ascii="Times New Roman" w:hAnsi="Times New Roman" w:eastAsia="宋体" w:cs="宋体"/>
          <w:sz w:val="24"/>
          <w:szCs w:val="22"/>
          <w:lang w:eastAsia="zh-CN" w:bidi="ar"/>
        </w:rPr>
      </w:pPr>
      <w:r>
        <w:rPr>
          <w:rFonts w:ascii="Times New Roman" w:hAnsi="Times New Roman" w:eastAsia="宋体" w:cs="宋体"/>
          <w:sz w:val="24"/>
          <w:szCs w:val="24"/>
          <w:lang w:bidi="ar"/>
        </w:rPr>
        <w:t xml:space="preserve">2  </w:t>
      </w:r>
      <w:r>
        <w:rPr>
          <w:rFonts w:hint="eastAsia" w:ascii="Times New Roman" w:hAnsi="Times New Roman" w:eastAsia="宋体" w:cs="宋体"/>
          <w:sz w:val="24"/>
          <w:szCs w:val="24"/>
          <w:lang w:bidi="ar"/>
        </w:rPr>
        <w:t>对地下水位较高、渗透性较强的地层，宜采用双排搅拌桩截水帷幕；搅拌桩的搭接宽度可比单排搅拌桩减少</w:t>
      </w:r>
      <w:r>
        <w:rPr>
          <w:rFonts w:ascii="Times New Roman" w:hAnsi="Times New Roman" w:eastAsia="宋体" w:cs="宋体"/>
          <w:sz w:val="24"/>
          <w:szCs w:val="24"/>
          <w:lang w:bidi="ar"/>
        </w:rPr>
        <w:t>50mm</w:t>
      </w:r>
      <w:r>
        <w:rPr>
          <w:rFonts w:hint="eastAsia" w:ascii="Times New Roman" w:hAnsi="Times New Roman" w:eastAsia="宋体" w:cs="宋体"/>
          <w:sz w:val="24"/>
          <w:szCs w:val="24"/>
          <w:lang w:eastAsia="zh-CN" w:bidi="ar"/>
        </w:rPr>
        <w:t>；</w:t>
      </w:r>
    </w:p>
    <w:p>
      <w:pPr>
        <w:widowControl/>
        <w:spacing w:line="480" w:lineRule="exact"/>
        <w:ind w:firstLine="720" w:firstLineChars="300"/>
        <w:rPr>
          <w:rFonts w:ascii="Times New Roman" w:hAnsi="Times New Roman" w:eastAsia="宋体" w:cs="宋体"/>
          <w:sz w:val="24"/>
          <w:szCs w:val="22"/>
          <w:lang w:bidi="ar"/>
        </w:rPr>
      </w:pPr>
      <w:r>
        <w:rPr>
          <w:rFonts w:ascii="Times New Roman" w:hAnsi="Times New Roman" w:eastAsia="宋体" w:cs="宋体"/>
          <w:sz w:val="24"/>
          <w:szCs w:val="24"/>
          <w:lang w:bidi="ar"/>
        </w:rPr>
        <w:t xml:space="preserve">3  </w:t>
      </w:r>
      <w:r>
        <w:rPr>
          <w:rFonts w:hint="eastAsia" w:ascii="Times New Roman" w:hAnsi="Times New Roman" w:eastAsia="宋体" w:cs="宋体"/>
          <w:sz w:val="24"/>
          <w:szCs w:val="24"/>
          <w:lang w:bidi="ar"/>
        </w:rPr>
        <w:t>多轴搅拌工艺宜采用套接一孔法施工。</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Times New Roman" w:hAnsi="Times New Roman" w:eastAsia="宋体" w:cs="Times New Roman"/>
          <w:color w:val="auto"/>
          <w:sz w:val="24"/>
          <w:szCs w:val="24"/>
          <w:lang w:bidi="ar"/>
        </w:rPr>
      </w:pPr>
      <w:r>
        <w:rPr>
          <w:rFonts w:hint="eastAsia" w:ascii="Times New Roman" w:hAnsi="Times New Roman" w:eastAsia="宋体" w:cs="宋体"/>
          <w:b/>
          <w:bCs/>
          <w:sz w:val="24"/>
          <w:szCs w:val="24"/>
          <w:lang w:eastAsia="zh-CN" w:bidi="ar"/>
        </w:rPr>
        <w:t>13</w:t>
      </w:r>
      <w:r>
        <w:rPr>
          <w:rFonts w:hint="eastAsia" w:ascii="Times New Roman" w:hAnsi="Times New Roman" w:eastAsia="宋体" w:cs="宋体"/>
          <w:b/>
          <w:bCs/>
          <w:sz w:val="24"/>
          <w:szCs w:val="24"/>
          <w:lang w:bidi="ar"/>
        </w:rPr>
        <w:t>.</w:t>
      </w:r>
      <w:r>
        <w:rPr>
          <w:rFonts w:hint="eastAsia" w:ascii="Times New Roman" w:hAnsi="Times New Roman" w:eastAsia="宋体" w:cs="宋体"/>
          <w:b/>
          <w:bCs/>
          <w:sz w:val="24"/>
          <w:szCs w:val="24"/>
          <w:lang w:val="en-US" w:eastAsia="zh-CN" w:bidi="ar"/>
        </w:rPr>
        <w:t>5</w:t>
      </w:r>
      <w:r>
        <w:rPr>
          <w:rFonts w:hint="eastAsia" w:ascii="Times New Roman" w:hAnsi="Times New Roman" w:eastAsia="宋体" w:cs="宋体"/>
          <w:b/>
          <w:bCs/>
          <w:sz w:val="24"/>
          <w:szCs w:val="24"/>
          <w:lang w:bidi="ar"/>
        </w:rPr>
        <w:t>.</w:t>
      </w:r>
      <w:r>
        <w:rPr>
          <w:rFonts w:hint="eastAsia" w:ascii="Times New Roman" w:hAnsi="Times New Roman" w:eastAsia="宋体" w:cs="宋体"/>
          <w:b/>
          <w:bCs/>
          <w:sz w:val="24"/>
          <w:szCs w:val="24"/>
          <w:lang w:val="en-US" w:eastAsia="zh-CN" w:bidi="ar"/>
        </w:rPr>
        <w:t>4</w:t>
      </w:r>
      <w:r>
        <w:rPr>
          <w:rFonts w:ascii="Times New Roman" w:hAnsi="Times New Roman" w:eastAsia="宋体" w:cs="宋体"/>
          <w:sz w:val="24"/>
          <w:szCs w:val="24"/>
          <w:lang w:bidi="ar"/>
        </w:rPr>
        <w:t xml:space="preserve"> </w:t>
      </w:r>
      <w:r>
        <w:rPr>
          <w:rFonts w:ascii="Times New Roman" w:hAnsi="Times New Roman" w:eastAsia="宋体" w:cs="Times New Roman"/>
          <w:color w:val="FF0000"/>
          <w:sz w:val="24"/>
          <w:szCs w:val="24"/>
          <w:lang w:bidi="ar"/>
        </w:rPr>
        <w:t xml:space="preserve"> </w:t>
      </w:r>
      <w:r>
        <w:rPr>
          <w:rFonts w:hint="eastAsia" w:ascii="Times New Roman" w:hAnsi="Times New Roman" w:eastAsia="宋体" w:cs="Times New Roman"/>
          <w:color w:val="auto"/>
          <w:sz w:val="24"/>
          <w:szCs w:val="24"/>
          <w:lang w:bidi="ar"/>
        </w:rPr>
        <w:t>三轴水泥土搅拌桩截水帷幕施工应符合下列规定：</w:t>
      </w:r>
    </w:p>
    <w:p>
      <w:pPr>
        <w:widowControl w:val="0"/>
        <w:numPr>
          <w:ilvl w:val="0"/>
          <w:numId w:val="0"/>
        </w:numPr>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color w:val="auto"/>
          <w:sz w:val="24"/>
          <w:szCs w:val="24"/>
          <w:lang w:val="en-US" w:eastAsia="zh-CN" w:bidi="ar"/>
        </w:rPr>
        <w:t xml:space="preserve">1  </w:t>
      </w:r>
      <w:r>
        <w:rPr>
          <w:rFonts w:hint="eastAsia" w:ascii="Times New Roman" w:hAnsi="Times New Roman" w:eastAsia="宋体" w:cs="宋体"/>
          <w:color w:val="auto"/>
          <w:sz w:val="24"/>
          <w:szCs w:val="24"/>
          <w:lang w:bidi="ar"/>
        </w:rPr>
        <w:t>应采</w:t>
      </w:r>
      <w:r>
        <w:rPr>
          <w:rFonts w:hint="eastAsia" w:ascii="Times New Roman" w:hAnsi="Times New Roman" w:eastAsia="宋体" w:cs="宋体"/>
          <w:sz w:val="24"/>
          <w:szCs w:val="24"/>
          <w:lang w:bidi="ar"/>
        </w:rPr>
        <w:t>用套接孔法施工，相邻桩的搭接时间间隔不宜大于</w:t>
      </w:r>
      <w:r>
        <w:rPr>
          <w:rFonts w:ascii="Times New Roman" w:hAnsi="Times New Roman" w:eastAsia="宋体" w:cs="宋体"/>
          <w:sz w:val="24"/>
          <w:szCs w:val="24"/>
          <w:lang w:bidi="ar"/>
        </w:rPr>
        <w:t>24h</w:t>
      </w:r>
      <w:r>
        <w:rPr>
          <w:rFonts w:hint="eastAsia" w:ascii="Times New Roman" w:hAnsi="Times New Roman" w:eastAsia="宋体" w:cs="宋体"/>
          <w:sz w:val="24"/>
          <w:szCs w:val="24"/>
          <w:lang w:bidi="ar"/>
        </w:rPr>
        <w:t>；</w:t>
      </w:r>
    </w:p>
    <w:p>
      <w:pPr>
        <w:widowControl w:val="0"/>
        <w:numPr>
          <w:ilvl w:val="0"/>
          <w:numId w:val="0"/>
        </w:numPr>
        <w:spacing w:line="480" w:lineRule="exact"/>
        <w:ind w:firstLine="480" w:firstLineChars="200"/>
        <w:rPr>
          <w:rFonts w:ascii="Times New Roman" w:hAnsi="Times New Roman" w:eastAsia="宋体" w:cs="宋体"/>
          <w:sz w:val="24"/>
          <w:szCs w:val="22"/>
          <w:lang w:bidi="ar"/>
        </w:rPr>
      </w:pPr>
      <w:r>
        <w:rPr>
          <w:rFonts w:hint="eastAsia" w:ascii="Times New Roman" w:hAnsi="Times New Roman" w:eastAsia="宋体" w:cs="宋体"/>
          <w:sz w:val="24"/>
          <w:szCs w:val="24"/>
          <w:lang w:val="en-US" w:eastAsia="zh-CN" w:bidi="ar"/>
        </w:rPr>
        <w:t xml:space="preserve">2  </w:t>
      </w:r>
      <w:r>
        <w:rPr>
          <w:rFonts w:hint="eastAsia" w:ascii="Times New Roman" w:hAnsi="Times New Roman" w:eastAsia="宋体" w:cs="宋体"/>
          <w:sz w:val="24"/>
          <w:szCs w:val="24"/>
          <w:lang w:bidi="ar"/>
        </w:rPr>
        <w:t>当帷幕墙前设置混凝土排桩时，</w:t>
      </w:r>
      <w:r>
        <w:rPr>
          <w:rFonts w:hint="eastAsia" w:ascii="Times New Roman" w:hAnsi="Times New Roman" w:eastAsia="宋体" w:cs="宋体"/>
          <w:sz w:val="24"/>
          <w:szCs w:val="24"/>
          <w:lang w:eastAsia="zh-CN" w:bidi="ar"/>
        </w:rPr>
        <w:t>宜</w:t>
      </w:r>
      <w:r>
        <w:rPr>
          <w:rFonts w:hint="eastAsia" w:ascii="Times New Roman" w:hAnsi="Times New Roman" w:eastAsia="宋体" w:cs="宋体"/>
          <w:sz w:val="24"/>
          <w:szCs w:val="24"/>
          <w:lang w:bidi="ar"/>
        </w:rPr>
        <w:t>先施工截水帷幕，后施工灌注排桩；</w:t>
      </w:r>
    </w:p>
    <w:p>
      <w:pPr>
        <w:widowControl/>
        <w:spacing w:line="480" w:lineRule="exact"/>
        <w:ind w:firstLine="480" w:firstLineChars="200"/>
        <w:rPr>
          <w:rFonts w:hint="eastAsia" w:ascii="Times New Roman" w:hAnsi="Times New Roman" w:eastAsia="宋体" w:cs="Times New Roman"/>
          <w:b/>
          <w:sz w:val="24"/>
          <w:szCs w:val="22"/>
          <w:lang w:eastAsia="zh-CN" w:bidi="ar"/>
        </w:rPr>
      </w:pPr>
      <w:r>
        <w:rPr>
          <w:rFonts w:hint="eastAsia" w:ascii="Times New Roman" w:hAnsi="Times New Roman" w:eastAsia="宋体" w:cs="宋体"/>
          <w:sz w:val="24"/>
          <w:szCs w:val="24"/>
          <w:lang w:val="en-US" w:eastAsia="zh-CN" w:bidi="ar"/>
        </w:rPr>
        <w:t xml:space="preserve">3  </w:t>
      </w:r>
      <w:r>
        <w:rPr>
          <w:rFonts w:hint="eastAsia" w:ascii="Times New Roman" w:hAnsi="Times New Roman" w:eastAsia="宋体" w:cs="宋体"/>
          <w:sz w:val="24"/>
          <w:szCs w:val="24"/>
          <w:lang w:bidi="ar"/>
        </w:rPr>
        <w:t>当采用多排三轴水泥土搅拌桩内套挡土桩墙方案时，应控制三轴搅拌桩施工对基坑周边环境的影响。</w:t>
      </w:r>
    </w:p>
    <w:p>
      <w:pPr>
        <w:widowControl/>
        <w:spacing w:line="480" w:lineRule="exact"/>
        <w:rPr>
          <w:rFonts w:ascii="Times New Roman" w:hAnsi="Times New Roman" w:eastAsia="宋体" w:cs="Times New Roman"/>
          <w:sz w:val="24"/>
          <w:szCs w:val="22"/>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5</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 xml:space="preserve">5 </w:t>
      </w:r>
      <w:r>
        <w:rPr>
          <w:rFonts w:ascii="Times New Roman" w:hAnsi="Times New Roman" w:eastAsia="宋体" w:cs="Times New Roman"/>
          <w:b/>
          <w:sz w:val="24"/>
          <w:szCs w:val="22"/>
          <w:lang w:bidi="ar"/>
        </w:rPr>
        <w:t xml:space="preserve"> </w:t>
      </w:r>
      <w:r>
        <w:rPr>
          <w:rFonts w:hint="eastAsia" w:ascii="Times New Roman" w:hAnsi="Times New Roman" w:eastAsia="宋体" w:cs="宋体"/>
          <w:sz w:val="24"/>
          <w:szCs w:val="24"/>
          <w:lang w:bidi="ar"/>
        </w:rPr>
        <w:t>采用高压旋喷、摆喷注浆帷幕时，注浆固结体的有效半径宜通过试验确定；缺少试验时，可根据土的类别及其密实程度、高压喷射注浆工艺，按工程经验采用；摆喷注浆的喷射方向与摆喷点连线的夹角宜取</w:t>
      </w:r>
      <w:r>
        <w:rPr>
          <w:rFonts w:ascii="Times New Roman" w:hAnsi="Times New Roman" w:eastAsia="宋体" w:cs="Times New Roman"/>
          <w:sz w:val="24"/>
          <w:szCs w:val="24"/>
          <w:lang w:bidi="ar"/>
        </w:rPr>
        <w:t>10</w:t>
      </w:r>
      <w:r>
        <w:rPr>
          <w:rFonts w:hint="eastAsia" w:ascii="Times New Roman" w:hAnsi="Times New Roman" w:eastAsia="宋体" w:cs="宋体"/>
          <w:sz w:val="24"/>
          <w:szCs w:val="24"/>
          <w:lang w:bidi="ar"/>
        </w:rPr>
        <w:t>°～</w:t>
      </w:r>
      <w:r>
        <w:rPr>
          <w:rFonts w:ascii="Times New Roman" w:hAnsi="Times New Roman" w:eastAsia="宋体" w:cs="Times New Roman"/>
          <w:sz w:val="24"/>
          <w:szCs w:val="24"/>
          <w:lang w:bidi="ar"/>
        </w:rPr>
        <w:t>25</w:t>
      </w:r>
      <w:r>
        <w:rPr>
          <w:rFonts w:hint="eastAsia" w:ascii="Times New Roman" w:hAnsi="Times New Roman" w:eastAsia="宋体" w:cs="宋体"/>
          <w:sz w:val="24"/>
          <w:szCs w:val="24"/>
          <w:lang w:bidi="ar"/>
        </w:rPr>
        <w:t>°，摆动角度宜取</w:t>
      </w:r>
      <w:r>
        <w:rPr>
          <w:rFonts w:ascii="Times New Roman" w:hAnsi="Times New Roman" w:eastAsia="宋体" w:cs="Times New Roman"/>
          <w:sz w:val="24"/>
          <w:szCs w:val="24"/>
          <w:lang w:bidi="ar"/>
        </w:rPr>
        <w:t>20</w:t>
      </w:r>
      <w:r>
        <w:rPr>
          <w:rFonts w:hint="eastAsia" w:ascii="Times New Roman" w:hAnsi="Times New Roman" w:eastAsia="宋体" w:cs="宋体"/>
          <w:sz w:val="24"/>
          <w:szCs w:val="24"/>
          <w:lang w:bidi="ar"/>
        </w:rPr>
        <w:t>°～</w:t>
      </w:r>
      <w:r>
        <w:rPr>
          <w:rFonts w:ascii="Times New Roman" w:hAnsi="Times New Roman" w:eastAsia="宋体" w:cs="Times New Roman"/>
          <w:sz w:val="24"/>
          <w:szCs w:val="24"/>
          <w:lang w:bidi="ar"/>
        </w:rPr>
        <w:t>30</w:t>
      </w:r>
      <w:r>
        <w:rPr>
          <w:rFonts w:hint="eastAsia" w:ascii="Times New Roman" w:hAnsi="Times New Roman" w:eastAsia="宋体" w:cs="宋体"/>
          <w:sz w:val="24"/>
          <w:szCs w:val="24"/>
          <w:lang w:bidi="ar"/>
        </w:rPr>
        <w:t>°。水泥土固结体的搭接宽度，当注浆孔深度不大于</w:t>
      </w:r>
      <w:r>
        <w:rPr>
          <w:rFonts w:ascii="Times New Roman" w:hAnsi="Times New Roman" w:eastAsia="宋体" w:cs="Times New Roman"/>
          <w:sz w:val="24"/>
          <w:szCs w:val="24"/>
          <w:lang w:bidi="ar"/>
        </w:rPr>
        <w:t>10m</w:t>
      </w:r>
      <w:r>
        <w:rPr>
          <w:rFonts w:hint="eastAsia" w:ascii="Times New Roman" w:hAnsi="Times New Roman" w:eastAsia="宋体" w:cs="宋体"/>
          <w:sz w:val="24"/>
          <w:szCs w:val="24"/>
          <w:lang w:bidi="ar"/>
        </w:rPr>
        <w:t>时，不应小于</w:t>
      </w:r>
      <w:r>
        <w:rPr>
          <w:rFonts w:ascii="Times New Roman" w:hAnsi="Times New Roman" w:eastAsia="宋体" w:cs="Times New Roman"/>
          <w:sz w:val="24"/>
          <w:szCs w:val="24"/>
          <w:lang w:bidi="ar"/>
        </w:rPr>
        <w:t>150mm</w:t>
      </w:r>
      <w:r>
        <w:rPr>
          <w:rFonts w:hint="eastAsia" w:ascii="Times New Roman" w:hAnsi="Times New Roman" w:eastAsia="宋体" w:cs="宋体"/>
          <w:sz w:val="24"/>
          <w:szCs w:val="24"/>
          <w:lang w:bidi="ar"/>
        </w:rPr>
        <w:t>；当注浆孔深度为</w:t>
      </w:r>
      <w:r>
        <w:rPr>
          <w:rFonts w:ascii="Times New Roman" w:hAnsi="Times New Roman" w:eastAsia="宋体" w:cs="Times New Roman"/>
          <w:sz w:val="24"/>
          <w:szCs w:val="24"/>
          <w:lang w:bidi="ar"/>
        </w:rPr>
        <w:t>10m</w:t>
      </w:r>
      <w:r>
        <w:rPr>
          <w:rFonts w:hint="eastAsia" w:ascii="Times New Roman" w:hAnsi="Times New Roman" w:eastAsia="宋体" w:cs="宋体"/>
          <w:sz w:val="24"/>
          <w:szCs w:val="24"/>
          <w:lang w:bidi="ar"/>
        </w:rPr>
        <w:t>～</w:t>
      </w:r>
      <w:r>
        <w:rPr>
          <w:rFonts w:ascii="Times New Roman" w:hAnsi="Times New Roman" w:eastAsia="宋体" w:cs="Times New Roman"/>
          <w:sz w:val="24"/>
          <w:szCs w:val="24"/>
          <w:lang w:bidi="ar"/>
        </w:rPr>
        <w:t>20m</w:t>
      </w:r>
      <w:r>
        <w:rPr>
          <w:rFonts w:hint="eastAsia" w:ascii="Times New Roman" w:hAnsi="Times New Roman" w:eastAsia="宋体" w:cs="宋体"/>
          <w:sz w:val="24"/>
          <w:szCs w:val="24"/>
          <w:lang w:bidi="ar"/>
        </w:rPr>
        <w:t>时，不应小于</w:t>
      </w:r>
      <w:r>
        <w:rPr>
          <w:rFonts w:ascii="Times New Roman" w:hAnsi="Times New Roman" w:eastAsia="宋体" w:cs="Times New Roman"/>
          <w:sz w:val="24"/>
          <w:szCs w:val="24"/>
          <w:lang w:bidi="ar"/>
        </w:rPr>
        <w:t>250mm</w:t>
      </w:r>
      <w:r>
        <w:rPr>
          <w:rFonts w:hint="eastAsia" w:ascii="Times New Roman" w:hAnsi="Times New Roman" w:eastAsia="宋体" w:cs="宋体"/>
          <w:sz w:val="24"/>
          <w:szCs w:val="24"/>
          <w:lang w:bidi="ar"/>
        </w:rPr>
        <w:t>；当注浆孔深度为</w:t>
      </w:r>
      <w:r>
        <w:rPr>
          <w:rFonts w:ascii="Times New Roman" w:hAnsi="Times New Roman" w:eastAsia="宋体" w:cs="Times New Roman"/>
          <w:sz w:val="24"/>
          <w:szCs w:val="24"/>
          <w:lang w:bidi="ar"/>
        </w:rPr>
        <w:t>20m</w:t>
      </w:r>
      <w:r>
        <w:rPr>
          <w:rFonts w:hint="eastAsia" w:ascii="Times New Roman" w:hAnsi="Times New Roman" w:eastAsia="宋体" w:cs="宋体"/>
          <w:sz w:val="24"/>
          <w:szCs w:val="24"/>
          <w:lang w:bidi="ar"/>
        </w:rPr>
        <w:t>～</w:t>
      </w:r>
      <w:r>
        <w:rPr>
          <w:rFonts w:ascii="Times New Roman" w:hAnsi="Times New Roman" w:eastAsia="宋体" w:cs="Times New Roman"/>
          <w:sz w:val="24"/>
          <w:szCs w:val="24"/>
          <w:lang w:bidi="ar"/>
        </w:rPr>
        <w:t>30m</w:t>
      </w:r>
      <w:r>
        <w:rPr>
          <w:rFonts w:hint="eastAsia" w:ascii="Times New Roman" w:hAnsi="Times New Roman" w:eastAsia="宋体" w:cs="宋体"/>
          <w:sz w:val="24"/>
          <w:szCs w:val="24"/>
          <w:lang w:bidi="ar"/>
        </w:rPr>
        <w:t>时，不应小于</w:t>
      </w:r>
      <w:r>
        <w:rPr>
          <w:rFonts w:ascii="Times New Roman" w:hAnsi="Times New Roman" w:eastAsia="宋体" w:cs="Times New Roman"/>
          <w:sz w:val="24"/>
          <w:szCs w:val="24"/>
          <w:lang w:bidi="ar"/>
        </w:rPr>
        <w:t>350mm</w:t>
      </w:r>
      <w:r>
        <w:rPr>
          <w:rFonts w:hint="eastAsia" w:ascii="Times New Roman" w:hAnsi="Times New Roman" w:eastAsia="宋体" w:cs="宋体"/>
          <w:sz w:val="24"/>
          <w:szCs w:val="24"/>
          <w:lang w:bidi="ar"/>
        </w:rPr>
        <w:t>。对地下水位较高、渗透性较强的地层，可采用双排高压喷射注浆帷幕。</w:t>
      </w:r>
    </w:p>
    <w:p>
      <w:pPr>
        <w:widowControl/>
        <w:spacing w:line="480" w:lineRule="exact"/>
        <w:rPr>
          <w:rFonts w:hint="eastAsia" w:ascii="Times New Roman" w:hAnsi="Times New Roman" w:eastAsia="宋体" w:cs="宋体"/>
          <w:sz w:val="24"/>
          <w:szCs w:val="24"/>
          <w:lang w:bidi="ar"/>
        </w:rPr>
      </w:pPr>
      <w:r>
        <w:rPr>
          <w:rFonts w:hint="eastAsia" w:ascii="Times New Roman" w:hAnsi="Times New Roman" w:eastAsia="宋体" w:cs="Times New Roman"/>
          <w:b/>
          <w:sz w:val="24"/>
          <w:szCs w:val="22"/>
          <w:lang w:eastAsia="zh-CN" w:bidi="ar"/>
        </w:rPr>
        <w:t>13</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5</w:t>
      </w:r>
      <w:r>
        <w:rPr>
          <w:rFonts w:ascii="Times New Roman" w:hAnsi="Times New Roman" w:eastAsia="宋体" w:cs="Times New Roman"/>
          <w:b/>
          <w:sz w:val="24"/>
          <w:szCs w:val="22"/>
          <w:lang w:bidi="ar"/>
        </w:rPr>
        <w:t>.</w:t>
      </w:r>
      <w:r>
        <w:rPr>
          <w:rFonts w:hint="eastAsia" w:ascii="Times New Roman" w:hAnsi="Times New Roman" w:eastAsia="宋体" w:cs="Times New Roman"/>
          <w:b/>
          <w:sz w:val="24"/>
          <w:szCs w:val="22"/>
          <w:lang w:val="en-US" w:eastAsia="zh-CN" w:bidi="ar"/>
        </w:rPr>
        <w:t xml:space="preserve">6 </w:t>
      </w:r>
      <w:r>
        <w:rPr>
          <w:rFonts w:ascii="Times New Roman" w:hAnsi="Times New Roman" w:eastAsia="宋体" w:cs="Times New Roman"/>
          <w:sz w:val="24"/>
          <w:szCs w:val="24"/>
          <w:lang w:bidi="ar"/>
        </w:rPr>
        <w:t xml:space="preserve"> </w:t>
      </w:r>
      <w:r>
        <w:rPr>
          <w:rFonts w:hint="eastAsia" w:ascii="Times New Roman" w:hAnsi="Times New Roman" w:eastAsia="宋体" w:cs="宋体"/>
          <w:sz w:val="24"/>
          <w:szCs w:val="24"/>
          <w:lang w:bidi="ar"/>
        </w:rPr>
        <w:t>高压喷射注浆应按水泥土固结体的设计有效半径与土的性状确定喷射压力、注浆流量、提升速度、旋转速度等工艺参数，对较硬的黏性土、密实的砂土和碎石土宜取较小提升速度、较大喷射压力；当缺少类似土层条件下的施工经验时，应通过现场试验确定施工工艺参数。</w:t>
      </w:r>
    </w:p>
    <w:p>
      <w:pPr>
        <w:rPr>
          <w:rFonts w:ascii="Times New Roman" w:hAnsi="Times New Roman" w:cs="宋体"/>
          <w:szCs w:val="24"/>
          <w:lang w:bidi="ar"/>
        </w:rPr>
      </w:pPr>
      <w:r>
        <w:rPr>
          <w:rFonts w:hint="eastAsia" w:ascii="Times New Roman" w:hAnsi="Times New Roman" w:cs="宋体"/>
          <w:szCs w:val="24"/>
          <w:lang w:bidi="ar"/>
        </w:rPr>
        <w:br w:type="page"/>
      </w:r>
    </w:p>
    <w:p>
      <w:pPr>
        <w:pStyle w:val="2"/>
        <w:rPr>
          <w:b w:val="0"/>
          <w:bCs w:val="0"/>
          <w:i/>
          <w:iCs/>
        </w:rPr>
      </w:pPr>
      <w:bookmarkStart w:id="733" w:name="_Toc385576947"/>
      <w:bookmarkStart w:id="734" w:name="_Toc382559755"/>
      <w:bookmarkStart w:id="735" w:name="_Toc384309869"/>
      <w:bookmarkStart w:id="736" w:name="_Toc381951032"/>
      <w:bookmarkStart w:id="737" w:name="_Toc388643454"/>
      <w:bookmarkStart w:id="738" w:name="_Toc382559917"/>
      <w:bookmarkStart w:id="739" w:name="_Toc384300297"/>
      <w:bookmarkStart w:id="740" w:name="_Toc384310090"/>
      <w:bookmarkStart w:id="741" w:name="_Toc388643571"/>
      <w:bookmarkStart w:id="742" w:name="_Toc384300149"/>
      <w:bookmarkStart w:id="743" w:name="_Toc381951611"/>
      <w:bookmarkStart w:id="744" w:name="_Toc381950776"/>
      <w:bookmarkStart w:id="745" w:name="_Toc375039713"/>
      <w:bookmarkStart w:id="746" w:name="_Toc384304377"/>
      <w:bookmarkStart w:id="747" w:name="_Toc381951416"/>
      <w:bookmarkStart w:id="748" w:name="_Toc385518850"/>
      <w:bookmarkStart w:id="749" w:name="_Toc385581723"/>
      <w:bookmarkStart w:id="750" w:name="_Toc27646"/>
      <w:bookmarkStart w:id="751" w:name="_Toc1516"/>
      <w:bookmarkStart w:id="752" w:name="_Toc23459"/>
      <w:bookmarkStart w:id="753" w:name="_Toc13631"/>
      <w:bookmarkStart w:id="754" w:name="_Toc7492"/>
      <w:r>
        <w:rPr>
          <w:rFonts w:hint="eastAsia"/>
          <w:b w:val="0"/>
          <w:bCs w:val="0"/>
        </w:rPr>
        <w:t>14  基坑开挖</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Pr>
          <w:rFonts w:hint="eastAsia"/>
          <w:b w:val="0"/>
          <w:bCs w:val="0"/>
        </w:rPr>
        <w:t>和回填</w:t>
      </w:r>
      <w:bookmarkEnd w:id="750"/>
      <w:bookmarkEnd w:id="751"/>
    </w:p>
    <w:p>
      <w:pPr>
        <w:pStyle w:val="3"/>
      </w:pPr>
      <w:bookmarkStart w:id="755" w:name="_Toc388643572"/>
      <w:bookmarkStart w:id="756" w:name="_Toc384300150"/>
      <w:bookmarkStart w:id="757" w:name="_Toc384310091"/>
      <w:bookmarkStart w:id="758" w:name="_Toc384300298"/>
      <w:bookmarkStart w:id="759" w:name="_Toc388643455"/>
      <w:bookmarkStart w:id="760" w:name="_Toc385576948"/>
      <w:bookmarkStart w:id="761" w:name="_Toc384304378"/>
      <w:bookmarkStart w:id="762" w:name="_Toc382559918"/>
      <w:bookmarkStart w:id="763" w:name="_Toc382559756"/>
      <w:bookmarkStart w:id="764" w:name="_Toc375039714"/>
      <w:bookmarkStart w:id="765" w:name="_Toc385581724"/>
      <w:bookmarkStart w:id="766" w:name="_Toc381951033"/>
      <w:bookmarkStart w:id="767" w:name="_Toc13937"/>
      <w:bookmarkStart w:id="768" w:name="_Toc20575"/>
      <w:bookmarkStart w:id="769" w:name="_Toc385518851"/>
      <w:bookmarkStart w:id="770" w:name="_Toc381951612"/>
      <w:bookmarkStart w:id="771" w:name="_Toc381950777"/>
      <w:bookmarkStart w:id="772" w:name="_Toc384309870"/>
      <w:bookmarkStart w:id="773" w:name="_Toc381951417"/>
      <w:r>
        <w:rPr>
          <w:rFonts w:hint="eastAsia"/>
        </w:rPr>
        <w:t>14.1  一般规定</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pPr>
        <w:widowControl w:val="0"/>
        <w:spacing w:line="480" w:lineRule="exact"/>
        <w:rPr>
          <w:rFonts w:ascii="Times New Roman" w:hAnsi="Times New Roman"/>
          <w:szCs w:val="24"/>
        </w:rPr>
      </w:pPr>
      <w:r>
        <w:rPr>
          <w:rFonts w:hint="eastAsia" w:ascii="Times New Roman" w:hAnsi="Times New Roman"/>
          <w:b/>
        </w:rPr>
        <w:t xml:space="preserve">14.1.1 </w:t>
      </w:r>
      <w:r>
        <w:rPr>
          <w:rFonts w:hint="eastAsia" w:ascii="Times New Roman" w:hAnsi="Times New Roman"/>
          <w:szCs w:val="24"/>
        </w:rPr>
        <w:t>基坑开挖前，应具备工程地质与水文地质勘察资料，了解气象、环境等相关信息，查明施工场地影响范围内原有建（构）筑物及地下管线等情况。</w:t>
      </w:r>
    </w:p>
    <w:p>
      <w:pPr>
        <w:widowControl w:val="0"/>
        <w:spacing w:line="480" w:lineRule="exact"/>
        <w:rPr>
          <w:rFonts w:ascii="Times New Roman" w:hAnsi="Times New Roman"/>
          <w:szCs w:val="24"/>
        </w:rPr>
      </w:pPr>
      <w:r>
        <w:rPr>
          <w:rFonts w:hint="eastAsia" w:ascii="Times New Roman" w:hAnsi="Times New Roman"/>
          <w:b/>
        </w:rPr>
        <w:t>14.1.2</w:t>
      </w:r>
      <w:r>
        <w:rPr>
          <w:rFonts w:hint="eastAsia" w:ascii="Times New Roman" w:hAnsi="Times New Roman"/>
          <w:szCs w:val="24"/>
        </w:rPr>
        <w:t xml:space="preserve"> 基坑开挖前，对施工场地及其周边可能发生崩塌、滑坡、泥石流等危及安全的情况，建设单位应组织进行地质灾害危险性评估，并制定处理措施。</w:t>
      </w:r>
    </w:p>
    <w:p>
      <w:pPr>
        <w:widowControl w:val="0"/>
        <w:spacing w:line="480" w:lineRule="exact"/>
        <w:rPr>
          <w:rFonts w:ascii="Times New Roman" w:hAnsi="Times New Roman"/>
          <w:szCs w:val="24"/>
        </w:rPr>
      </w:pPr>
      <w:r>
        <w:rPr>
          <w:rFonts w:hint="eastAsia" w:ascii="Times New Roman" w:hAnsi="Times New Roman"/>
          <w:b/>
        </w:rPr>
        <w:t>14.1.3</w:t>
      </w:r>
      <w:r>
        <w:rPr>
          <w:rFonts w:hint="eastAsia" w:ascii="Times New Roman" w:hAnsi="Times New Roman"/>
          <w:szCs w:val="24"/>
        </w:rPr>
        <w:t xml:space="preserve"> 基坑工程施工场地存在地上或地下管线及设施时，建设单位应事先取得相关管理部门或单位的同意，并在施工中采取保护措施。</w:t>
      </w:r>
    </w:p>
    <w:p>
      <w:pPr>
        <w:widowControl w:val="0"/>
        <w:spacing w:line="480" w:lineRule="exact"/>
        <w:rPr>
          <w:rFonts w:ascii="Times New Roman" w:hAnsi="Times New Roman"/>
          <w:szCs w:val="24"/>
        </w:rPr>
      </w:pPr>
      <w:r>
        <w:rPr>
          <w:rFonts w:hint="eastAsia" w:ascii="Times New Roman" w:hAnsi="Times New Roman"/>
          <w:b/>
        </w:rPr>
        <w:t xml:space="preserve">14.1.4 </w:t>
      </w:r>
      <w:r>
        <w:rPr>
          <w:rFonts w:hint="eastAsia" w:ascii="Times New Roman" w:hAnsi="Times New Roman"/>
          <w:szCs w:val="24"/>
        </w:rPr>
        <w:t>开挖过程中发现有文物、古墓、古迹遗址或古化石、爆炸物或危险化学品等，应妥善保护，并立刻报有关主管部门处理后，再继续开挖。</w:t>
      </w:r>
    </w:p>
    <w:p>
      <w:pPr>
        <w:widowControl w:val="0"/>
        <w:spacing w:line="480" w:lineRule="exact"/>
        <w:rPr>
          <w:rFonts w:ascii="Times New Roman" w:hAnsi="Times New Roman"/>
          <w:szCs w:val="24"/>
        </w:rPr>
      </w:pPr>
      <w:r>
        <w:rPr>
          <w:rFonts w:hint="eastAsia" w:ascii="Times New Roman" w:hAnsi="Times New Roman"/>
          <w:b/>
        </w:rPr>
        <w:t xml:space="preserve">14.1.5 </w:t>
      </w:r>
      <w:r>
        <w:rPr>
          <w:rFonts w:hint="eastAsia" w:ascii="Times New Roman" w:hAnsi="Times New Roman"/>
          <w:szCs w:val="24"/>
        </w:rPr>
        <w:t>在开挖区域及上开挖线以外2倍基坑深度范围内，有测量用的永久性标桩或地质、地震部门设置的长期观测设施，或存在有碍开挖施工的既有建（构）筑物、道路、管线、沟渠、塘堰、墓穴、树木等，应加以保护或妥善处理。当因施工必须损毁时，必须事先取得其归属或管理权所在单位或个人的书面同意。</w:t>
      </w:r>
    </w:p>
    <w:p>
      <w:pPr>
        <w:widowControl w:val="0"/>
        <w:spacing w:line="480" w:lineRule="exact"/>
        <w:rPr>
          <w:rFonts w:ascii="Times New Roman" w:hAnsi="Times New Roman"/>
          <w:szCs w:val="24"/>
        </w:rPr>
      </w:pPr>
      <w:r>
        <w:rPr>
          <w:rFonts w:hint="eastAsia" w:ascii="Times New Roman" w:hAnsi="Times New Roman"/>
          <w:b/>
        </w:rPr>
        <w:t>14.1.6</w:t>
      </w:r>
      <w:r>
        <w:rPr>
          <w:rFonts w:hint="eastAsia" w:ascii="Times New Roman" w:hAnsi="Times New Roman"/>
          <w:szCs w:val="24"/>
        </w:rPr>
        <w:t xml:space="preserve"> 基坑开挖应有妥善的截排水措施。坡顶、坡面、坡脚可设置截水墙、排水沟、引水槽等有效防止地表水、地下水对基坑造成的不利影响。当地下水位高于开挖基底高程时，应采取有效降水措施，并在水位降至基底不小于0.5m时再开挖。</w:t>
      </w:r>
    </w:p>
    <w:p>
      <w:pPr>
        <w:widowControl w:val="0"/>
        <w:spacing w:line="480" w:lineRule="exact"/>
        <w:rPr>
          <w:rFonts w:ascii="Times New Roman" w:hAnsi="Times New Roman"/>
          <w:szCs w:val="24"/>
        </w:rPr>
      </w:pPr>
      <w:r>
        <w:rPr>
          <w:rFonts w:hint="eastAsia" w:ascii="Times New Roman" w:hAnsi="Times New Roman"/>
          <w:b/>
        </w:rPr>
        <w:t xml:space="preserve">14.1.7 </w:t>
      </w:r>
      <w:r>
        <w:rPr>
          <w:rFonts w:hint="eastAsia" w:ascii="Times New Roman" w:hAnsi="Times New Roman"/>
          <w:szCs w:val="24"/>
        </w:rPr>
        <w:t>基坑周边施工材料、设施或车辆荷载严禁超过设计允许的地面荷载限值。</w:t>
      </w:r>
    </w:p>
    <w:p>
      <w:pPr>
        <w:widowControl w:val="0"/>
        <w:spacing w:line="480" w:lineRule="exact"/>
        <w:rPr>
          <w:rFonts w:ascii="Times New Roman" w:hAnsi="Times New Roman"/>
          <w:szCs w:val="24"/>
        </w:rPr>
      </w:pPr>
      <w:r>
        <w:rPr>
          <w:rFonts w:hint="eastAsia" w:ascii="Times New Roman" w:hAnsi="Times New Roman"/>
          <w:b/>
        </w:rPr>
        <w:t xml:space="preserve">14.1.8 </w:t>
      </w:r>
      <w:r>
        <w:rPr>
          <w:rFonts w:hint="eastAsia" w:ascii="Times New Roman" w:hAnsi="Times New Roman"/>
          <w:szCs w:val="24"/>
        </w:rPr>
        <w:t>基坑周边路面宜硬化处理，地面设置防渗排水措施。</w:t>
      </w:r>
    </w:p>
    <w:p>
      <w:pPr>
        <w:widowControl w:val="0"/>
        <w:spacing w:line="480" w:lineRule="exact"/>
        <w:rPr>
          <w:rFonts w:ascii="Times New Roman" w:hAnsi="Times New Roman"/>
        </w:rPr>
      </w:pPr>
      <w:r>
        <w:rPr>
          <w:rFonts w:hint="eastAsia" w:ascii="Times New Roman" w:hAnsi="Times New Roman"/>
          <w:b/>
        </w:rPr>
        <w:t xml:space="preserve">14.1.9 </w:t>
      </w:r>
      <w:r>
        <w:rPr>
          <w:rFonts w:hint="eastAsia" w:ascii="Times New Roman" w:hAnsi="Times New Roman"/>
          <w:szCs w:val="24"/>
        </w:rPr>
        <w:t>基坑回填应排除积水，清除虚土和建筑垃圾，填土应按设计要求选料，分层填土压实，对称进行，且压实系数应满足设计要求。</w:t>
      </w:r>
      <w:bookmarkStart w:id="774" w:name="_Toc388643573"/>
      <w:bookmarkStart w:id="775" w:name="_Toc384309871"/>
      <w:bookmarkStart w:id="776" w:name="_Toc382559919"/>
      <w:bookmarkStart w:id="777" w:name="_Toc381951034"/>
      <w:bookmarkStart w:id="778" w:name="_Toc385576949"/>
      <w:bookmarkStart w:id="779" w:name="_Toc384310092"/>
      <w:bookmarkStart w:id="780" w:name="_Toc381950778"/>
      <w:bookmarkStart w:id="781" w:name="_Toc381951613"/>
      <w:bookmarkStart w:id="782" w:name="_Toc384300299"/>
      <w:bookmarkStart w:id="783" w:name="_Toc382559757"/>
      <w:bookmarkStart w:id="784" w:name="_Toc385581725"/>
      <w:bookmarkStart w:id="785" w:name="_Toc375039715"/>
      <w:bookmarkStart w:id="786" w:name="_Toc384300151"/>
      <w:bookmarkStart w:id="787" w:name="_Toc384304379"/>
      <w:bookmarkStart w:id="788" w:name="_Toc385518852"/>
      <w:bookmarkStart w:id="789" w:name="_Toc388643456"/>
      <w:bookmarkStart w:id="790" w:name="_Toc381951418"/>
    </w:p>
    <w:p>
      <w:pPr>
        <w:pStyle w:val="3"/>
      </w:pPr>
      <w:bookmarkStart w:id="791" w:name="_Toc24625"/>
      <w:bookmarkStart w:id="792" w:name="_Toc9319"/>
      <w:r>
        <w:rPr>
          <w:rFonts w:hint="eastAsia"/>
        </w:rPr>
        <w:t>14.2  开挖方案</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widowControl w:val="0"/>
        <w:spacing w:line="480" w:lineRule="exact"/>
        <w:rPr>
          <w:rFonts w:ascii="Times New Roman" w:hAnsi="Times New Roman"/>
          <w:szCs w:val="24"/>
        </w:rPr>
      </w:pPr>
      <w:r>
        <w:rPr>
          <w:rFonts w:hint="eastAsia" w:ascii="Times New Roman" w:hAnsi="Times New Roman"/>
          <w:b/>
        </w:rPr>
        <w:t>14.2.1</w:t>
      </w:r>
      <w:r>
        <w:rPr>
          <w:rFonts w:hint="eastAsia" w:ascii="Times New Roman" w:hAnsi="Times New Roman"/>
          <w:szCs w:val="24"/>
        </w:rPr>
        <w:t xml:space="preserve"> 基坑开挖应根据支护结构形式、降排水要求、周边环境、施工工期及气候条件等，编制专项开挖方案。</w:t>
      </w:r>
    </w:p>
    <w:p>
      <w:pPr>
        <w:widowControl w:val="0"/>
        <w:spacing w:line="480" w:lineRule="exact"/>
        <w:rPr>
          <w:rFonts w:ascii="Times New Roman" w:hAnsi="Times New Roman"/>
          <w:szCs w:val="24"/>
        </w:rPr>
      </w:pPr>
      <w:r>
        <w:rPr>
          <w:rFonts w:hint="eastAsia" w:ascii="Times New Roman" w:hAnsi="Times New Roman"/>
          <w:b/>
        </w:rPr>
        <w:t xml:space="preserve">14.2.2 </w:t>
      </w:r>
      <w:r>
        <w:rPr>
          <w:rFonts w:hint="eastAsia" w:ascii="Times New Roman" w:hAnsi="Times New Roman"/>
          <w:szCs w:val="24"/>
        </w:rPr>
        <w:t>开挖方案应包括开挖方法、开挖时间、开挖顺序、分段长度、分层深度、坡道位置设定、车辆行走路线、安全措施、环境保护措施、监测方案、应急预案和抢险措施等内容，根据施工周期还应包括雨期、冬期施工措施。</w:t>
      </w:r>
    </w:p>
    <w:p>
      <w:pPr>
        <w:widowControl w:val="0"/>
        <w:spacing w:line="480" w:lineRule="exact"/>
        <w:rPr>
          <w:rFonts w:ascii="Times New Roman" w:hAnsi="Times New Roman"/>
        </w:rPr>
      </w:pPr>
      <w:r>
        <w:rPr>
          <w:rFonts w:hint="eastAsia" w:ascii="Times New Roman" w:hAnsi="Times New Roman"/>
          <w:b/>
        </w:rPr>
        <w:t xml:space="preserve">14.2.3 </w:t>
      </w:r>
      <w:r>
        <w:rPr>
          <w:rFonts w:hint="eastAsia" w:ascii="Times New Roman" w:hAnsi="Times New Roman"/>
          <w:szCs w:val="24"/>
        </w:rPr>
        <w:t>支护分层开挖深度和施工的作业顺序应保证修整后的外露边坡能在规定的时间内保持自立，并在限定的时间内完成支护，且应尽量缩短边壁土体的外露时间。</w:t>
      </w:r>
      <w:bookmarkStart w:id="793" w:name="_Toc382559920"/>
      <w:bookmarkStart w:id="794" w:name="_Toc381950779"/>
      <w:bookmarkStart w:id="795" w:name="_Toc388643574"/>
      <w:bookmarkStart w:id="796" w:name="_Toc384300152"/>
      <w:bookmarkStart w:id="797" w:name="_Toc384309872"/>
      <w:bookmarkStart w:id="798" w:name="_Toc385518853"/>
      <w:bookmarkStart w:id="799" w:name="_Toc385576950"/>
      <w:bookmarkStart w:id="800" w:name="_Toc381951419"/>
      <w:bookmarkStart w:id="801" w:name="_Toc381951035"/>
      <w:bookmarkStart w:id="802" w:name="_Toc388643457"/>
      <w:bookmarkStart w:id="803" w:name="_Toc384300300"/>
      <w:bookmarkStart w:id="804" w:name="_Toc384310093"/>
      <w:bookmarkStart w:id="805" w:name="_Toc382559758"/>
      <w:bookmarkStart w:id="806" w:name="_Toc384304380"/>
      <w:bookmarkStart w:id="807" w:name="_Toc375039716"/>
      <w:bookmarkStart w:id="808" w:name="_Toc385581726"/>
      <w:bookmarkStart w:id="809" w:name="_Toc381951614"/>
    </w:p>
    <w:p>
      <w:pPr>
        <w:pStyle w:val="3"/>
      </w:pPr>
      <w:bookmarkStart w:id="810" w:name="_Toc231"/>
      <w:bookmarkStart w:id="811" w:name="_Toc26311"/>
      <w:r>
        <w:rPr>
          <w:rFonts w:hint="eastAsia"/>
        </w:rPr>
        <w:t>14.3  土方开挖</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widowControl w:val="0"/>
        <w:spacing w:line="480" w:lineRule="exact"/>
        <w:rPr>
          <w:rFonts w:ascii="Times New Roman" w:hAnsi="Times New Roman"/>
          <w:szCs w:val="24"/>
        </w:rPr>
      </w:pPr>
      <w:r>
        <w:rPr>
          <w:rFonts w:hint="eastAsia" w:ascii="Times New Roman" w:hAnsi="Times New Roman"/>
          <w:b/>
        </w:rPr>
        <w:t>14.3.1</w:t>
      </w:r>
      <w:r>
        <w:rPr>
          <w:rFonts w:hint="eastAsia" w:ascii="Times New Roman" w:hAnsi="Times New Roman"/>
          <w:szCs w:val="24"/>
        </w:rPr>
        <w:t xml:space="preserve"> 土方开挖前应进行定位放线，确定预留坡道类型。开挖坡度应通过计算确定。</w:t>
      </w:r>
    </w:p>
    <w:p>
      <w:pPr>
        <w:widowControl w:val="0"/>
        <w:spacing w:line="480" w:lineRule="exact"/>
        <w:rPr>
          <w:rFonts w:ascii="Times New Roman" w:hAnsi="Times New Roman"/>
          <w:szCs w:val="24"/>
        </w:rPr>
      </w:pPr>
      <w:r>
        <w:rPr>
          <w:rFonts w:hint="eastAsia" w:ascii="Times New Roman" w:hAnsi="Times New Roman"/>
          <w:b/>
        </w:rPr>
        <w:t>14.3.2</w:t>
      </w:r>
      <w:r>
        <w:rPr>
          <w:rFonts w:hint="eastAsia" w:ascii="Times New Roman" w:hAnsi="Times New Roman"/>
          <w:szCs w:val="24"/>
        </w:rPr>
        <w:t xml:space="preserve"> 基坑开挖应按设计要求的施工顺序分层、分段、适时、均衡开挖。</w:t>
      </w:r>
    </w:p>
    <w:p>
      <w:pPr>
        <w:widowControl w:val="0"/>
        <w:spacing w:line="480" w:lineRule="exact"/>
        <w:rPr>
          <w:rFonts w:ascii="Times New Roman" w:hAnsi="Times New Roman"/>
          <w:szCs w:val="24"/>
        </w:rPr>
      </w:pPr>
      <w:r>
        <w:rPr>
          <w:rFonts w:hint="eastAsia" w:ascii="Times New Roman" w:hAnsi="Times New Roman"/>
          <w:b/>
        </w:rPr>
        <w:t xml:space="preserve">14.3.3 </w:t>
      </w:r>
      <w:r>
        <w:rPr>
          <w:rFonts w:hint="eastAsia" w:ascii="Times New Roman" w:hAnsi="Times New Roman"/>
          <w:szCs w:val="24"/>
        </w:rPr>
        <w:t>土方开挖过程中，应定期观测开挖深度、标高和边坡坡度，验证其是否符合设计要求。地下水埋深小于基坑开挖深度时，应随时观测水位标高。</w:t>
      </w:r>
    </w:p>
    <w:p>
      <w:pPr>
        <w:widowControl w:val="0"/>
        <w:spacing w:line="480" w:lineRule="exact"/>
        <w:rPr>
          <w:rFonts w:ascii="Times New Roman" w:hAnsi="Times New Roman"/>
          <w:szCs w:val="24"/>
        </w:rPr>
      </w:pPr>
      <w:r>
        <w:rPr>
          <w:rFonts w:hint="eastAsia" w:ascii="Times New Roman" w:hAnsi="Times New Roman"/>
          <w:b/>
        </w:rPr>
        <w:t>14.3.4</w:t>
      </w:r>
      <w:r>
        <w:rPr>
          <w:rFonts w:hint="eastAsia" w:ascii="Times New Roman" w:hAnsi="Times New Roman"/>
          <w:szCs w:val="24"/>
        </w:rPr>
        <w:t xml:space="preserve"> 土方开挖应有专人负责，并应符合下列规定：</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1 严格按开挖方案执行；</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土方开挖应结合支护、降水方案，紧密配合；</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边开挖、边测量，确保分层深度、分段长度、基坑坡度等；</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4 开挖至锚杆、土钉施工作业面时，开挖面与锚杆、土钉的高差不宜大于500mm，严禁超挖；</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5 基坑开挖过程中应采取有效措施防止碰撞支护结构、工程桩、降水井、监测点等或扰动基底原状土。</w:t>
      </w:r>
    </w:p>
    <w:p>
      <w:pPr>
        <w:widowControl w:val="0"/>
        <w:spacing w:line="480" w:lineRule="exact"/>
        <w:rPr>
          <w:rFonts w:ascii="Times New Roman" w:hAnsi="Times New Roman"/>
          <w:szCs w:val="24"/>
        </w:rPr>
      </w:pPr>
      <w:r>
        <w:rPr>
          <w:rFonts w:hint="eastAsia" w:ascii="Times New Roman" w:hAnsi="Times New Roman"/>
          <w:b/>
        </w:rPr>
        <w:t>14.3.5</w:t>
      </w:r>
      <w:r>
        <w:rPr>
          <w:rFonts w:hint="eastAsia" w:ascii="Times New Roman" w:hAnsi="Times New Roman"/>
          <w:szCs w:val="24"/>
        </w:rPr>
        <w:t xml:space="preserve"> 软弱土开挖时，宜选用接地比压小的施工机械，当场地土不能满足机械行走要求时，可采用铺设工具式路基箱板等措施。</w:t>
      </w:r>
    </w:p>
    <w:p>
      <w:pPr>
        <w:widowControl w:val="0"/>
        <w:spacing w:line="480" w:lineRule="exact"/>
        <w:rPr>
          <w:rFonts w:ascii="Times New Roman" w:hAnsi="Times New Roman"/>
          <w:szCs w:val="24"/>
        </w:rPr>
      </w:pPr>
      <w:r>
        <w:rPr>
          <w:rFonts w:hint="eastAsia" w:ascii="Times New Roman" w:hAnsi="Times New Roman"/>
          <w:b/>
        </w:rPr>
        <w:t xml:space="preserve">14.3.6 </w:t>
      </w:r>
      <w:r>
        <w:rPr>
          <w:rFonts w:hint="eastAsia" w:ascii="Times New Roman" w:hAnsi="Times New Roman"/>
          <w:szCs w:val="24"/>
        </w:rPr>
        <w:t>开挖时土方不宜堆放在基坑边缘，应随挖随运。如确实需要临时性堆放，应视挖土边坡处的土质情况、边坡坡度和高度，由设计确定堆放的安全距离，确保基坑的稳定。</w:t>
      </w:r>
    </w:p>
    <w:p>
      <w:pPr>
        <w:widowControl w:val="0"/>
        <w:spacing w:line="480" w:lineRule="exact"/>
        <w:rPr>
          <w:rFonts w:ascii="Times New Roman" w:hAnsi="Times New Roman"/>
          <w:szCs w:val="24"/>
        </w:rPr>
      </w:pPr>
      <w:r>
        <w:rPr>
          <w:rFonts w:hint="eastAsia" w:ascii="Times New Roman" w:hAnsi="Times New Roman"/>
          <w:b/>
        </w:rPr>
        <w:t xml:space="preserve">14.3.7 </w:t>
      </w:r>
      <w:r>
        <w:rPr>
          <w:rFonts w:hint="eastAsia" w:ascii="Times New Roman" w:hAnsi="Times New Roman"/>
          <w:szCs w:val="24"/>
        </w:rPr>
        <w:t>石方开挖应根据岩石的类别、风化程度和节理发育程度等确定开挖方式：</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1 对软质岩石和强风化岩石，可以采用机械开挖或人工开挖；</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2 对于坚硬岩石宜采取爆破开挖；</w:t>
      </w:r>
    </w:p>
    <w:p>
      <w:pPr>
        <w:widowControl w:val="0"/>
        <w:spacing w:line="480" w:lineRule="exact"/>
        <w:ind w:firstLine="480" w:firstLineChars="200"/>
        <w:rPr>
          <w:rFonts w:ascii="Times New Roman" w:hAnsi="Times New Roman"/>
          <w:szCs w:val="24"/>
        </w:rPr>
      </w:pPr>
      <w:r>
        <w:rPr>
          <w:rFonts w:hint="eastAsia" w:ascii="Times New Roman" w:hAnsi="Times New Roman"/>
          <w:szCs w:val="24"/>
        </w:rPr>
        <w:t>3 对开挖区周边有防震要求的重要结构或设施的地区进行开挖，宜采取机械和人工开挖或控制爆破。</w:t>
      </w:r>
    </w:p>
    <w:p>
      <w:pPr>
        <w:widowControl w:val="0"/>
        <w:spacing w:line="480" w:lineRule="exact"/>
        <w:rPr>
          <w:rFonts w:ascii="Times New Roman" w:hAnsi="Times New Roman"/>
          <w:szCs w:val="24"/>
        </w:rPr>
      </w:pPr>
      <w:r>
        <w:rPr>
          <w:rFonts w:hint="eastAsia" w:ascii="Times New Roman" w:hAnsi="Times New Roman"/>
          <w:b/>
        </w:rPr>
        <w:t xml:space="preserve">14.3.8 </w:t>
      </w:r>
      <w:r>
        <w:rPr>
          <w:rFonts w:hint="eastAsia" w:ascii="Times New Roman" w:hAnsi="Times New Roman"/>
          <w:szCs w:val="24"/>
        </w:rPr>
        <w:t>基坑的四周应设置安全围栏并应牢固可靠。围栏的高度不应低于1.2m，并应设置明显的安全警告标识牌。当基坑较深时，应设置人员上下的专用通道。</w:t>
      </w:r>
    </w:p>
    <w:p>
      <w:pPr>
        <w:widowControl w:val="0"/>
        <w:spacing w:line="480" w:lineRule="exact"/>
        <w:rPr>
          <w:rFonts w:ascii="Times New Roman" w:hAnsi="Times New Roman"/>
          <w:szCs w:val="24"/>
        </w:rPr>
      </w:pPr>
      <w:r>
        <w:rPr>
          <w:rFonts w:hint="eastAsia" w:ascii="Times New Roman" w:hAnsi="Times New Roman"/>
          <w:b/>
        </w:rPr>
        <w:t>14.3.9</w:t>
      </w:r>
      <w:r>
        <w:rPr>
          <w:rFonts w:hint="eastAsia" w:ascii="Times New Roman" w:hAnsi="Times New Roman"/>
          <w:szCs w:val="24"/>
        </w:rPr>
        <w:t xml:space="preserve"> 施工现场出入口，应设置车辆清洗装置及场地。土方清运车辆应采取封闭措施，严禁沿途抛撒。</w:t>
      </w:r>
    </w:p>
    <w:p>
      <w:pPr>
        <w:widowControl w:val="0"/>
        <w:spacing w:line="480" w:lineRule="exact"/>
        <w:rPr>
          <w:rFonts w:ascii="Times New Roman" w:hAnsi="Times New Roman"/>
          <w:szCs w:val="24"/>
        </w:rPr>
      </w:pPr>
      <w:r>
        <w:rPr>
          <w:rFonts w:hint="eastAsia" w:ascii="Times New Roman" w:hAnsi="Times New Roman"/>
          <w:b/>
        </w:rPr>
        <w:t>14.3.10</w:t>
      </w:r>
      <w:r>
        <w:rPr>
          <w:rFonts w:hint="eastAsia" w:ascii="Times New Roman" w:hAnsi="Times New Roman"/>
          <w:szCs w:val="24"/>
        </w:rPr>
        <w:t xml:space="preserve"> 夜间施工时，现场应具备充足的照明条件，不得留有照明死角。电源线应采用架空设置；当不具备架空条件时，可采用地沟埋设，在车辆的通行地段，电源线埋置前应加装护管。</w:t>
      </w:r>
    </w:p>
    <w:p>
      <w:pPr>
        <w:widowControl w:val="0"/>
        <w:spacing w:line="480" w:lineRule="exact"/>
        <w:rPr>
          <w:rFonts w:ascii="Times New Roman" w:hAnsi="Times New Roman"/>
          <w:szCs w:val="24"/>
        </w:rPr>
      </w:pPr>
      <w:r>
        <w:rPr>
          <w:rFonts w:hint="eastAsia" w:ascii="Times New Roman" w:hAnsi="Times New Roman"/>
          <w:b/>
        </w:rPr>
        <w:t>14.3.11</w:t>
      </w:r>
      <w:r>
        <w:rPr>
          <w:rFonts w:hint="eastAsia" w:ascii="Times New Roman" w:hAnsi="Times New Roman"/>
          <w:szCs w:val="24"/>
        </w:rPr>
        <w:t xml:space="preserve"> 安排在雨期开挖的工作面不宜过大，应逐段、逐片的分期完成。重要的或特殊的基坑工程，不宜安排在雨期开挖。</w:t>
      </w:r>
    </w:p>
    <w:p>
      <w:pPr>
        <w:widowControl w:val="0"/>
        <w:spacing w:line="480" w:lineRule="exact"/>
        <w:rPr>
          <w:rFonts w:ascii="Times New Roman" w:hAnsi="Times New Roman"/>
          <w:szCs w:val="24"/>
        </w:rPr>
      </w:pPr>
      <w:r>
        <w:rPr>
          <w:rFonts w:hint="eastAsia" w:ascii="Times New Roman" w:hAnsi="Times New Roman"/>
          <w:b/>
        </w:rPr>
        <w:t>14.3.12</w:t>
      </w:r>
      <w:r>
        <w:rPr>
          <w:rFonts w:hint="eastAsia" w:ascii="Times New Roman" w:hAnsi="Times New Roman"/>
          <w:szCs w:val="24"/>
        </w:rPr>
        <w:t xml:space="preserve"> 冬期开挖土方时，当可能引起邻近建（构）筑物的地基或其它地下设施产生冻结破坏时，应采取相应的防冻措施。</w:t>
      </w:r>
    </w:p>
    <w:p>
      <w:pPr>
        <w:widowControl w:val="0"/>
        <w:spacing w:line="480" w:lineRule="exact"/>
        <w:rPr>
          <w:rFonts w:ascii="Times New Roman" w:hAnsi="Times New Roman"/>
          <w:szCs w:val="24"/>
        </w:rPr>
      </w:pPr>
      <w:r>
        <w:rPr>
          <w:rFonts w:hint="eastAsia" w:ascii="Times New Roman" w:hAnsi="Times New Roman"/>
          <w:b/>
        </w:rPr>
        <w:t>14.3.13</w:t>
      </w:r>
      <w:r>
        <w:rPr>
          <w:rFonts w:hint="eastAsia" w:ascii="Times New Roman" w:hAnsi="Times New Roman"/>
          <w:szCs w:val="24"/>
        </w:rPr>
        <w:t xml:space="preserve"> 开挖至基底标高后，应及时进行地下结构施工。</w:t>
      </w:r>
    </w:p>
    <w:p>
      <w:pPr>
        <w:widowControl w:val="0"/>
        <w:spacing w:line="480" w:lineRule="exact"/>
        <w:rPr>
          <w:rFonts w:ascii="Times New Roman" w:hAnsi="Times New Roman"/>
          <w:szCs w:val="24"/>
        </w:rPr>
      </w:pPr>
      <w:r>
        <w:rPr>
          <w:rFonts w:hint="eastAsia" w:ascii="Times New Roman" w:hAnsi="Times New Roman"/>
          <w:b/>
        </w:rPr>
        <w:t>14.3.14</w:t>
      </w:r>
      <w:r>
        <w:rPr>
          <w:rFonts w:hint="eastAsia" w:ascii="Times New Roman" w:hAnsi="Times New Roman"/>
          <w:szCs w:val="24"/>
        </w:rPr>
        <w:t xml:space="preserve"> 当开挖揭露的实际土层性状或地下水情况与设计依据的勘察资料不符，或出现异常情况、不明物体时，应立即停止挖土并采取相应措施。</w:t>
      </w:r>
    </w:p>
    <w:p>
      <w:pPr>
        <w:widowControl w:val="0"/>
        <w:spacing w:line="480" w:lineRule="exact"/>
        <w:rPr>
          <w:rFonts w:ascii="Times New Roman" w:hAnsi="Times New Roman"/>
          <w:szCs w:val="24"/>
        </w:rPr>
      </w:pPr>
      <w:r>
        <w:rPr>
          <w:rFonts w:hint="eastAsia" w:ascii="Times New Roman" w:hAnsi="Times New Roman"/>
          <w:b/>
        </w:rPr>
        <w:t>14.3.15</w:t>
      </w:r>
      <w:r>
        <w:rPr>
          <w:rFonts w:hint="eastAsia" w:ascii="Times New Roman" w:hAnsi="Times New Roman"/>
          <w:szCs w:val="24"/>
        </w:rPr>
        <w:t xml:space="preserve"> 支护结构或基坑周边环境出现本规范（）条规定的报警情况或其它险情时，应立即停止开挖，并应根据危险产生的原因和进一步发展的破坏形式，采取控制或加固措施。</w:t>
      </w:r>
    </w:p>
    <w:p>
      <w:pPr>
        <w:widowControl w:val="0"/>
        <w:spacing w:line="480" w:lineRule="exact"/>
        <w:rPr>
          <w:rFonts w:ascii="Times New Roman" w:hAnsi="Times New Roman"/>
        </w:rPr>
      </w:pPr>
      <w:r>
        <w:rPr>
          <w:rFonts w:hint="eastAsia" w:ascii="Times New Roman" w:hAnsi="Times New Roman"/>
          <w:b/>
        </w:rPr>
        <w:t>14.3.16</w:t>
      </w:r>
      <w:r>
        <w:rPr>
          <w:rFonts w:hint="eastAsia" w:ascii="Times New Roman" w:hAnsi="Times New Roman"/>
          <w:szCs w:val="24"/>
        </w:rPr>
        <w:t xml:space="preserve"> 基坑变形超过报警值时应加强观测，必要时采取堆土反压、临时斜支撑、竖向微型桩、地面卸土、基坑回填等应急措施。</w:t>
      </w:r>
    </w:p>
    <w:p>
      <w:pPr>
        <w:pStyle w:val="3"/>
      </w:pPr>
      <w:bookmarkStart w:id="812" w:name="_Toc18800"/>
      <w:bookmarkStart w:id="813" w:name="_Toc10767"/>
      <w:r>
        <w:rPr>
          <w:rFonts w:hint="eastAsia"/>
        </w:rPr>
        <w:t>14.4  土方回填</w:t>
      </w:r>
      <w:bookmarkEnd w:id="812"/>
      <w:bookmarkEnd w:id="813"/>
    </w:p>
    <w:p>
      <w:pPr>
        <w:widowControl w:val="0"/>
        <w:spacing w:line="480" w:lineRule="exact"/>
        <w:rPr>
          <w:rFonts w:ascii="Times New Roman" w:hAnsi="Times New Roman"/>
          <w:b/>
        </w:rPr>
      </w:pPr>
      <w:r>
        <w:rPr>
          <w:rFonts w:hint="eastAsia" w:ascii="Times New Roman" w:hAnsi="Times New Roman"/>
          <w:b/>
        </w:rPr>
        <w:t xml:space="preserve">14.4.1 </w:t>
      </w:r>
      <w:r>
        <w:rPr>
          <w:rFonts w:hint="eastAsia" w:ascii="Times New Roman" w:hAnsi="Times New Roman"/>
        </w:rPr>
        <w:t>地下结构施工完成，结构外墙与基坑侧壁间肥槽应及时回填。宜对称、均衡地进行土方回填，回填面积较大的区域,应采取分层、分块(段)回填压实的方法。</w:t>
      </w:r>
    </w:p>
    <w:p>
      <w:pPr>
        <w:widowControl w:val="0"/>
        <w:spacing w:line="480" w:lineRule="exact"/>
        <w:rPr>
          <w:rFonts w:ascii="Times New Roman" w:hAnsi="Times New Roman"/>
          <w:color w:val="FF0000"/>
        </w:rPr>
      </w:pPr>
      <w:r>
        <w:rPr>
          <w:rFonts w:hint="eastAsia" w:ascii="Times New Roman" w:hAnsi="Times New Roman"/>
          <w:b/>
        </w:rPr>
        <w:t>14.4.2</w:t>
      </w:r>
      <w:r>
        <w:rPr>
          <w:rFonts w:hint="eastAsia" w:ascii="Times New Roman" w:hAnsi="Times New Roman"/>
          <w:szCs w:val="24"/>
        </w:rPr>
        <w:t>基础外墙有防水要求的,应在外墙防水施工完毕且验收合格后方可回填,防水层外侧宜设置保护层。</w:t>
      </w:r>
    </w:p>
    <w:p>
      <w:pPr>
        <w:widowControl w:val="0"/>
        <w:spacing w:line="480" w:lineRule="exact"/>
        <w:rPr>
          <w:rFonts w:ascii="Times New Roman" w:hAnsi="Times New Roman"/>
          <w:b/>
          <w:color w:val="FF0000"/>
        </w:rPr>
      </w:pPr>
      <w:r>
        <w:rPr>
          <w:rFonts w:hint="eastAsia" w:ascii="Times New Roman" w:hAnsi="Times New Roman"/>
          <w:b/>
        </w:rPr>
        <w:t>14.4.3</w:t>
      </w:r>
      <w:r>
        <w:rPr>
          <w:rFonts w:hint="eastAsia" w:ascii="Times New Roman" w:hAnsi="Times New Roman"/>
          <w:szCs w:val="24"/>
        </w:rPr>
        <w:t>基坑边坡或围护墙与基础外墙之间的土方回填,应与基础结构及基坑换撑施工工况保持一致,以回填作为基坑换撑的,应根据地下结构层数、设计工况分阶段进行土方回填,基坑设置混凝土或钢换撑带的,换撑带底部应采取保证回填密实的措施。</w:t>
      </w:r>
    </w:p>
    <w:p>
      <w:pPr>
        <w:widowControl w:val="0"/>
        <w:spacing w:line="480" w:lineRule="exact"/>
        <w:rPr>
          <w:rFonts w:ascii="Times New Roman" w:hAnsi="Times New Roman"/>
          <w:b/>
          <w:color w:val="FF0000"/>
        </w:rPr>
      </w:pPr>
      <w:r>
        <w:rPr>
          <w:rFonts w:hint="eastAsia" w:ascii="Times New Roman" w:hAnsi="Times New Roman"/>
          <w:b/>
        </w:rPr>
        <w:t>14.4.4</w:t>
      </w:r>
      <w:r>
        <w:rPr>
          <w:rFonts w:hint="eastAsia" w:ascii="Times New Roman" w:hAnsi="Times New Roman"/>
          <w:szCs w:val="24"/>
        </w:rPr>
        <w:t>回填较深的基坑,土方回填应控制降落高度。</w:t>
      </w:r>
    </w:p>
    <w:p>
      <w:pPr>
        <w:widowControl w:val="0"/>
        <w:spacing w:line="480" w:lineRule="exact"/>
        <w:rPr>
          <w:rFonts w:ascii="Times New Roman" w:hAnsi="Times New Roman"/>
          <w:szCs w:val="24"/>
        </w:rPr>
      </w:pPr>
      <w:r>
        <w:rPr>
          <w:rFonts w:hint="eastAsia" w:ascii="Times New Roman" w:hAnsi="Times New Roman"/>
          <w:b/>
        </w:rPr>
        <w:t xml:space="preserve">14.4.5 </w:t>
      </w:r>
      <w:r>
        <w:rPr>
          <w:rFonts w:hint="eastAsia" w:ascii="Times New Roman" w:hAnsi="Times New Roman"/>
          <w:szCs w:val="24"/>
        </w:rPr>
        <w:t>永久性土方回填的边坡坡度应符合设计要求。使用时间较长的临时性土方回填的边坡坡度,应根据当地经验或通过稳定性计算确定。</w:t>
      </w:r>
    </w:p>
    <w:p>
      <w:pPr>
        <w:widowControl w:val="0"/>
        <w:spacing w:line="480" w:lineRule="exact"/>
        <w:rPr>
          <w:rFonts w:ascii="Times New Roman" w:hAnsi="Times New Roman"/>
          <w:szCs w:val="24"/>
        </w:rPr>
      </w:pPr>
      <w:r>
        <w:rPr>
          <w:rFonts w:hint="eastAsia" w:ascii="Times New Roman" w:hAnsi="Times New Roman"/>
          <w:b/>
        </w:rPr>
        <w:t>14.4.6</w:t>
      </w:r>
      <w:r>
        <w:rPr>
          <w:rFonts w:hint="eastAsia" w:ascii="Times New Roman" w:hAnsi="Times New Roman"/>
          <w:szCs w:val="24"/>
        </w:rPr>
        <w:t>回填土料应符合设计要求。</w:t>
      </w:r>
    </w:p>
    <w:p>
      <w:pPr>
        <w:widowControl w:val="0"/>
        <w:spacing w:line="480" w:lineRule="exact"/>
        <w:rPr>
          <w:rFonts w:ascii="Times New Roman" w:hAnsi="Times New Roman"/>
          <w:szCs w:val="24"/>
        </w:rPr>
      </w:pPr>
      <w:r>
        <w:rPr>
          <w:rFonts w:hint="eastAsia" w:ascii="Times New Roman" w:hAnsi="Times New Roman"/>
          <w:b/>
        </w:rPr>
        <w:t>14.4.7</w:t>
      </w:r>
      <w:r>
        <w:rPr>
          <w:rFonts w:hint="eastAsia" w:ascii="Times New Roman" w:hAnsi="Times New Roman"/>
          <w:szCs w:val="24"/>
        </w:rPr>
        <w:t>土方回填前,应根据工程特点、土料性质、设计压实系数、施工条件等合理选择压实机具,并确定回填土料含水量控制范围、铺土厚度、压实遍数等施工参数。重要土方回填工程或采用新型压实机具的,应通过填土压实试验确定施工参数。</w:t>
      </w:r>
    </w:p>
    <w:p>
      <w:pPr>
        <w:widowControl w:val="0"/>
        <w:spacing w:line="480" w:lineRule="exact"/>
        <w:rPr>
          <w:rFonts w:ascii="Times New Roman" w:hAnsi="Times New Roman"/>
          <w:bCs/>
        </w:rPr>
      </w:pPr>
      <w:bookmarkStart w:id="814" w:name="_Toc8748"/>
      <w:r>
        <w:rPr>
          <w:rFonts w:hint="eastAsia" w:ascii="Times New Roman" w:hAnsi="Times New Roman"/>
          <w:b/>
        </w:rPr>
        <w:t xml:space="preserve">14.4.8 </w:t>
      </w:r>
      <w:r>
        <w:rPr>
          <w:rFonts w:hint="eastAsia" w:ascii="Times New Roman" w:hAnsi="Times New Roman"/>
          <w:bCs/>
        </w:rPr>
        <w:t>在建筑物转角、空间狭小等机械压实不能作业的区域,可采用人工压实的方法或者流态固化土、自密实回填土技术，流态固化土、自密实回填土材料先期确定配比和物理力学技术指标。</w:t>
      </w:r>
      <w:bookmarkEnd w:id="814"/>
    </w:p>
    <w:p>
      <w:pPr>
        <w:jc w:val="left"/>
        <w:rPr>
          <w:rFonts w:ascii="Times New Roman" w:hAnsi="Times New Roman" w:cs="宋体"/>
          <w:szCs w:val="24"/>
        </w:rPr>
      </w:pPr>
    </w:p>
    <w:p>
      <w:pPr>
        <w:rPr>
          <w:rFonts w:ascii="Times New Roman" w:hAnsi="Times New Roman"/>
        </w:rPr>
      </w:pPr>
      <w:r>
        <w:rPr>
          <w:rFonts w:hint="eastAsia" w:ascii="Times New Roman" w:hAnsi="Times New Roman"/>
        </w:rPr>
        <w:br w:type="page"/>
      </w:r>
    </w:p>
    <w:p>
      <w:pPr>
        <w:pStyle w:val="2"/>
        <w:bidi w:val="0"/>
        <w:rPr>
          <w:rFonts w:ascii="Times New Roman" w:hAnsi="Times New Roman"/>
        </w:rPr>
      </w:pPr>
      <w:r>
        <w:rPr>
          <w:rFonts w:hint="eastAsia" w:ascii="Times New Roman" w:hAnsi="Times New Roman"/>
          <w:lang w:eastAsia="zh-CN"/>
        </w:rPr>
        <w:t>15</w:t>
      </w:r>
      <w:r>
        <w:rPr>
          <w:rFonts w:hint="eastAsia" w:ascii="Times New Roman" w:hAnsi="Times New Roman"/>
        </w:rPr>
        <w:t xml:space="preserve">  环境影响评价及</w:t>
      </w:r>
      <w:r>
        <w:rPr>
          <w:rFonts w:hint="eastAsia" w:ascii="Times New Roman" w:hAnsi="Times New Roman"/>
          <w:lang w:val="en-US" w:eastAsia="zh-CN"/>
        </w:rPr>
        <w:t>保护</w:t>
      </w:r>
      <w:r>
        <w:rPr>
          <w:rFonts w:hint="eastAsia" w:ascii="Times New Roman" w:hAnsi="Times New Roman"/>
        </w:rPr>
        <w:t>措施</w:t>
      </w:r>
      <w:bookmarkEnd w:id="752"/>
      <w:bookmarkEnd w:id="753"/>
      <w:bookmarkEnd w:id="754"/>
    </w:p>
    <w:p>
      <w:pPr>
        <w:pStyle w:val="3"/>
        <w:bidi w:val="0"/>
      </w:pPr>
      <w:bookmarkStart w:id="815" w:name="_Toc16553"/>
      <w:bookmarkStart w:id="816" w:name="_Toc5164"/>
      <w:bookmarkStart w:id="817" w:name="_Toc13390"/>
      <w:r>
        <w:rPr>
          <w:rFonts w:hint="eastAsia"/>
          <w:lang w:eastAsia="zh-CN"/>
        </w:rPr>
        <w:t>15</w:t>
      </w:r>
      <w:r>
        <w:rPr>
          <w:rFonts w:hint="eastAsia"/>
        </w:rPr>
        <w:t>.1  一般规定</w:t>
      </w:r>
      <w:bookmarkEnd w:id="815"/>
      <w:bookmarkEnd w:id="816"/>
      <w:bookmarkEnd w:id="817"/>
    </w:p>
    <w:p>
      <w:pPr>
        <w:widowControl w:val="0"/>
        <w:spacing w:line="480" w:lineRule="atLeast"/>
        <w:rPr>
          <w:rFonts w:ascii="Times New Roman" w:hAnsi="Times New Roman"/>
          <w:b/>
          <w:bCs/>
          <w:szCs w:val="24"/>
        </w:rPr>
      </w:pPr>
      <w:r>
        <w:rPr>
          <w:rFonts w:hint="eastAsia" w:ascii="Times New Roman" w:hAnsi="Times New Roman"/>
          <w:b/>
          <w:lang w:eastAsia="zh-CN"/>
        </w:rPr>
        <w:t>15</w:t>
      </w:r>
      <w:r>
        <w:rPr>
          <w:rFonts w:hint="eastAsia" w:ascii="Times New Roman" w:hAnsi="Times New Roman"/>
          <w:b/>
        </w:rPr>
        <w:t>.1.1</w:t>
      </w:r>
      <w:r>
        <w:rPr>
          <w:rFonts w:hint="eastAsia" w:ascii="Times New Roman" w:hAnsi="Times New Roman"/>
          <w:szCs w:val="24"/>
        </w:rPr>
        <w:t>基坑工程施工前应调查距基坑边</w:t>
      </w:r>
      <w:r>
        <w:rPr>
          <w:rFonts w:hint="eastAsia" w:ascii="Times New Roman" w:hAnsi="Times New Roman"/>
          <w:szCs w:val="24"/>
          <w:lang w:val="en-US" w:eastAsia="zh-CN"/>
        </w:rPr>
        <w:t>2</w:t>
      </w:r>
      <w:r>
        <w:rPr>
          <w:rFonts w:hint="eastAsia" w:ascii="Times New Roman" w:hAnsi="Times New Roman"/>
          <w:szCs w:val="24"/>
        </w:rPr>
        <w:t>倍</w:t>
      </w:r>
      <w:r>
        <w:rPr>
          <w:rFonts w:hint="eastAsia" w:ascii="Times New Roman" w:hAnsi="Times New Roman"/>
          <w:szCs w:val="24"/>
          <w:lang w:val="en-US" w:eastAsia="zh-CN"/>
        </w:rPr>
        <w:t>~3</w:t>
      </w:r>
      <w:r>
        <w:rPr>
          <w:rFonts w:hint="eastAsia" w:ascii="Times New Roman" w:hAnsi="Times New Roman"/>
          <w:szCs w:val="24"/>
        </w:rPr>
        <w:t>倍基坑深度范围内各保护对象的现状。调查内容：建（构）筑物的建造年代，建筑类别，层数，结构形式，材料强度，基础</w:t>
      </w:r>
      <w:r>
        <w:rPr>
          <w:rFonts w:hint="eastAsia" w:ascii="Times New Roman" w:hAnsi="Times New Roman"/>
          <w:szCs w:val="24"/>
          <w:lang w:val="en-US" w:eastAsia="zh-CN"/>
        </w:rPr>
        <w:t>形式</w:t>
      </w:r>
      <w:r>
        <w:rPr>
          <w:rFonts w:hint="eastAsia" w:ascii="Times New Roman" w:hAnsi="Times New Roman"/>
          <w:szCs w:val="24"/>
        </w:rPr>
        <w:t>及埋深，地基处理及桩基设计，建筑物沉降及质量现状；地下管线及设施的平面位置，埋深，结构型式，保护要求等。</w:t>
      </w:r>
    </w:p>
    <w:p>
      <w:pPr>
        <w:widowControl w:val="0"/>
        <w:spacing w:line="480" w:lineRule="atLeast"/>
        <w:rPr>
          <w:rFonts w:ascii="Times New Roman" w:hAnsi="Times New Roman"/>
          <w:szCs w:val="24"/>
        </w:rPr>
      </w:pPr>
      <w:r>
        <w:rPr>
          <w:rFonts w:hint="eastAsia" w:ascii="Times New Roman" w:hAnsi="Times New Roman"/>
          <w:b/>
          <w:lang w:eastAsia="zh-CN"/>
        </w:rPr>
        <w:t>15</w:t>
      </w:r>
      <w:r>
        <w:rPr>
          <w:rFonts w:hint="eastAsia" w:ascii="Times New Roman" w:hAnsi="Times New Roman"/>
          <w:b/>
        </w:rPr>
        <w:t>.1.</w:t>
      </w:r>
      <w:r>
        <w:rPr>
          <w:rFonts w:hint="eastAsia" w:ascii="Times New Roman" w:hAnsi="Times New Roman"/>
          <w:b/>
          <w:lang w:val="en-US" w:eastAsia="zh-CN"/>
        </w:rPr>
        <w:t>2</w:t>
      </w:r>
      <w:r>
        <w:rPr>
          <w:rFonts w:hint="eastAsia" w:ascii="Times New Roman" w:hAnsi="Times New Roman"/>
          <w:b/>
        </w:rPr>
        <w:t xml:space="preserve"> </w:t>
      </w:r>
      <w:r>
        <w:rPr>
          <w:rFonts w:hint="eastAsia" w:ascii="Times New Roman" w:hAnsi="Times New Roman"/>
          <w:szCs w:val="24"/>
        </w:rPr>
        <w:t>基坑工程的环境保护等级可按表</w:t>
      </w:r>
      <w:r>
        <w:rPr>
          <w:rFonts w:hint="eastAsia" w:ascii="Times New Roman" w:hAnsi="Times New Roman"/>
          <w:szCs w:val="24"/>
          <w:lang w:eastAsia="zh-CN"/>
        </w:rPr>
        <w:t>15</w:t>
      </w:r>
      <w:r>
        <w:rPr>
          <w:rFonts w:hint="eastAsia" w:ascii="Times New Roman" w:hAnsi="Times New Roman"/>
          <w:szCs w:val="24"/>
        </w:rPr>
        <w:t>.1.</w:t>
      </w:r>
      <w:r>
        <w:rPr>
          <w:rFonts w:hint="eastAsia" w:ascii="Times New Roman" w:hAnsi="Times New Roman"/>
          <w:szCs w:val="24"/>
          <w:lang w:val="en-US" w:eastAsia="zh-CN"/>
        </w:rPr>
        <w:t>2</w:t>
      </w:r>
      <w:r>
        <w:rPr>
          <w:rFonts w:hint="eastAsia" w:ascii="Times New Roman" w:hAnsi="Times New Roman"/>
          <w:szCs w:val="24"/>
        </w:rPr>
        <w:t>分为三级；</w:t>
      </w:r>
    </w:p>
    <w:p>
      <w:pPr>
        <w:widowControl w:val="0"/>
        <w:spacing w:line="480" w:lineRule="atLeast"/>
        <w:jc w:val="center"/>
        <w:rPr>
          <w:rFonts w:ascii="Times New Roman" w:hAnsi="Times New Roman"/>
          <w:b/>
        </w:rPr>
      </w:pPr>
      <w:r>
        <w:rPr>
          <w:rFonts w:hint="eastAsia" w:ascii="Times New Roman" w:hAnsi="Times New Roman"/>
          <w:b/>
          <w:sz w:val="22"/>
          <w:szCs w:val="24"/>
        </w:rPr>
        <w:t>表</w:t>
      </w:r>
      <w:r>
        <w:rPr>
          <w:rFonts w:hint="eastAsia" w:ascii="Times New Roman" w:hAnsi="Times New Roman"/>
          <w:b/>
          <w:sz w:val="22"/>
          <w:szCs w:val="24"/>
          <w:lang w:eastAsia="zh-CN"/>
        </w:rPr>
        <w:t>15</w:t>
      </w:r>
      <w:r>
        <w:rPr>
          <w:rFonts w:hint="eastAsia" w:ascii="Times New Roman" w:hAnsi="Times New Roman"/>
          <w:b/>
          <w:sz w:val="22"/>
          <w:szCs w:val="24"/>
        </w:rPr>
        <w:t>.1.</w:t>
      </w:r>
      <w:r>
        <w:rPr>
          <w:rFonts w:hint="eastAsia" w:ascii="Times New Roman" w:hAnsi="Times New Roman"/>
          <w:b/>
          <w:sz w:val="22"/>
          <w:szCs w:val="24"/>
          <w:lang w:val="en-US" w:eastAsia="zh-CN"/>
        </w:rPr>
        <w:t>2</w:t>
      </w:r>
      <w:r>
        <w:rPr>
          <w:rFonts w:hint="eastAsia" w:ascii="Times New Roman" w:hAnsi="Times New Roman"/>
          <w:b/>
          <w:sz w:val="22"/>
          <w:szCs w:val="24"/>
        </w:rPr>
        <w:t xml:space="preserve">  基坑工程的环境保护等级</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8"/>
        <w:gridCol w:w="2400"/>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8" w:type="dxa"/>
            <w:vAlign w:val="center"/>
          </w:tcPr>
          <w:p>
            <w:pPr>
              <w:widowControl w:val="0"/>
              <w:spacing w:line="480" w:lineRule="atLeast"/>
              <w:jc w:val="center"/>
              <w:rPr>
                <w:rFonts w:ascii="Times New Roman" w:hAnsi="Times New Roman"/>
                <w:sz w:val="21"/>
                <w:szCs w:val="21"/>
              </w:rPr>
            </w:pPr>
            <w:r>
              <w:rPr>
                <w:rFonts w:hint="eastAsia" w:ascii="Times New Roman" w:hAnsi="Times New Roman"/>
                <w:sz w:val="21"/>
                <w:szCs w:val="21"/>
              </w:rPr>
              <w:t>环境保护对象</w:t>
            </w:r>
          </w:p>
        </w:tc>
        <w:tc>
          <w:tcPr>
            <w:tcW w:w="2400" w:type="dxa"/>
          </w:tcPr>
          <w:p>
            <w:pPr>
              <w:widowControl w:val="0"/>
              <w:spacing w:line="360" w:lineRule="atLeast"/>
              <w:jc w:val="center"/>
              <w:rPr>
                <w:rFonts w:ascii="Times New Roman" w:hAnsi="Times New Roman"/>
                <w:sz w:val="21"/>
                <w:szCs w:val="21"/>
              </w:rPr>
            </w:pPr>
            <w:r>
              <w:rPr>
                <w:rFonts w:hint="eastAsia" w:ascii="Times New Roman" w:hAnsi="Times New Roman"/>
                <w:sz w:val="21"/>
                <w:szCs w:val="21"/>
              </w:rPr>
              <w:t>保护对象与基坑</w:t>
            </w:r>
          </w:p>
          <w:p>
            <w:pPr>
              <w:widowControl w:val="0"/>
              <w:spacing w:line="360" w:lineRule="atLeast"/>
              <w:jc w:val="center"/>
              <w:rPr>
                <w:rFonts w:ascii="Times New Roman" w:hAnsi="Times New Roman"/>
                <w:sz w:val="21"/>
                <w:szCs w:val="21"/>
              </w:rPr>
            </w:pPr>
            <w:r>
              <w:rPr>
                <w:rFonts w:hint="eastAsia" w:ascii="Times New Roman" w:hAnsi="Times New Roman"/>
                <w:sz w:val="21"/>
                <w:szCs w:val="21"/>
              </w:rPr>
              <w:t>的距离关系</w:t>
            </w:r>
          </w:p>
        </w:tc>
        <w:tc>
          <w:tcPr>
            <w:tcW w:w="2186" w:type="dxa"/>
          </w:tcPr>
          <w:p>
            <w:pPr>
              <w:widowControl w:val="0"/>
              <w:spacing w:line="360" w:lineRule="atLeast"/>
              <w:jc w:val="center"/>
              <w:rPr>
                <w:rFonts w:ascii="Times New Roman" w:hAnsi="Times New Roman"/>
                <w:sz w:val="21"/>
                <w:szCs w:val="21"/>
              </w:rPr>
            </w:pPr>
            <w:r>
              <w:rPr>
                <w:rFonts w:hint="eastAsia" w:ascii="Times New Roman" w:hAnsi="Times New Roman"/>
                <w:sz w:val="21"/>
                <w:szCs w:val="21"/>
              </w:rPr>
              <w:t>基坑工程的环境</w:t>
            </w:r>
          </w:p>
          <w:p>
            <w:pPr>
              <w:widowControl w:val="0"/>
              <w:spacing w:line="360" w:lineRule="atLeast"/>
              <w:jc w:val="center"/>
              <w:rPr>
                <w:rFonts w:ascii="Times New Roman" w:hAnsi="Times New Roman"/>
                <w:sz w:val="21"/>
                <w:szCs w:val="21"/>
              </w:rPr>
            </w:pPr>
            <w:r>
              <w:rPr>
                <w:rFonts w:hint="eastAsia" w:ascii="Times New Roman" w:hAnsi="Times New Roman"/>
                <w:sz w:val="21"/>
                <w:szCs w:val="21"/>
              </w:rPr>
              <w:t>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8" w:type="dxa"/>
            <w:vMerge w:val="restart"/>
          </w:tcPr>
          <w:p>
            <w:pPr>
              <w:widowControl w:val="0"/>
              <w:spacing w:line="360" w:lineRule="exact"/>
              <w:rPr>
                <w:rFonts w:ascii="Times New Roman" w:hAnsi="Times New Roman"/>
                <w:sz w:val="21"/>
                <w:szCs w:val="21"/>
              </w:rPr>
            </w:pPr>
            <w:r>
              <w:rPr>
                <w:rFonts w:hint="eastAsia" w:ascii="Times New Roman" w:hAnsi="Times New Roman"/>
                <w:sz w:val="21"/>
                <w:szCs w:val="21"/>
              </w:rPr>
              <w:t>优秀历史建筑、有精密仪器与设备的厂房、其它采用天然地基或短桩基础的重要建筑物、轨道交通设施、隧道、防汛墙、污水管、自来水总管、煤气总管、共同沟等重要建（构）筑物或设施</w:t>
            </w:r>
          </w:p>
        </w:tc>
        <w:tc>
          <w:tcPr>
            <w:tcW w:w="240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s</w:t>
            </w:r>
            <w:r>
              <w:rPr>
                <w:rFonts w:hint="eastAsia" w:ascii="宋体" w:hAnsi="宋体"/>
                <w:sz w:val="21"/>
                <w:szCs w:val="21"/>
              </w:rPr>
              <w:t>≤</w:t>
            </w:r>
            <w:r>
              <w:rPr>
                <w:rFonts w:hint="eastAsia" w:ascii="Times New Roman" w:hAnsi="Times New Roman"/>
                <w:sz w:val="21"/>
                <w:szCs w:val="21"/>
              </w:rPr>
              <w:t>H</w:t>
            </w:r>
          </w:p>
        </w:tc>
        <w:tc>
          <w:tcPr>
            <w:tcW w:w="2186"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8" w:type="dxa"/>
            <w:vMerge w:val="continue"/>
          </w:tcPr>
          <w:p>
            <w:pPr>
              <w:widowControl w:val="0"/>
              <w:spacing w:line="360" w:lineRule="exact"/>
              <w:rPr>
                <w:rFonts w:ascii="Times New Roman" w:hAnsi="Times New Roman"/>
                <w:sz w:val="21"/>
                <w:szCs w:val="21"/>
              </w:rPr>
            </w:pPr>
          </w:p>
        </w:tc>
        <w:tc>
          <w:tcPr>
            <w:tcW w:w="240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H&lt;s</w:t>
            </w:r>
            <w:r>
              <w:rPr>
                <w:rFonts w:hint="eastAsia" w:ascii="宋体" w:hAnsi="宋体"/>
                <w:sz w:val="21"/>
                <w:szCs w:val="21"/>
              </w:rPr>
              <w:t>≤2</w:t>
            </w:r>
            <w:r>
              <w:rPr>
                <w:rFonts w:hint="eastAsia" w:ascii="Times New Roman" w:hAnsi="Times New Roman"/>
                <w:sz w:val="21"/>
                <w:szCs w:val="21"/>
              </w:rPr>
              <w:t>H</w:t>
            </w:r>
          </w:p>
        </w:tc>
        <w:tc>
          <w:tcPr>
            <w:tcW w:w="2186"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68" w:type="dxa"/>
            <w:vMerge w:val="continue"/>
          </w:tcPr>
          <w:p>
            <w:pPr>
              <w:widowControl w:val="0"/>
              <w:spacing w:line="360" w:lineRule="exact"/>
              <w:rPr>
                <w:rFonts w:ascii="Times New Roman" w:hAnsi="Times New Roman"/>
                <w:sz w:val="21"/>
                <w:szCs w:val="21"/>
              </w:rPr>
            </w:pPr>
          </w:p>
        </w:tc>
        <w:tc>
          <w:tcPr>
            <w:tcW w:w="240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2H&lt;s</w:t>
            </w:r>
            <w:r>
              <w:rPr>
                <w:rFonts w:hint="eastAsia" w:ascii="宋体" w:hAnsi="宋体"/>
                <w:sz w:val="21"/>
                <w:szCs w:val="21"/>
              </w:rPr>
              <w:t>≤4</w:t>
            </w:r>
            <w:r>
              <w:rPr>
                <w:rFonts w:hint="eastAsia" w:ascii="Times New Roman" w:hAnsi="Times New Roman"/>
                <w:sz w:val="21"/>
                <w:szCs w:val="21"/>
              </w:rPr>
              <w:t>H</w:t>
            </w:r>
          </w:p>
        </w:tc>
        <w:tc>
          <w:tcPr>
            <w:tcW w:w="2186"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8" w:type="dxa"/>
            <w:vMerge w:val="restart"/>
          </w:tcPr>
          <w:p>
            <w:pPr>
              <w:widowControl w:val="0"/>
              <w:spacing w:line="360" w:lineRule="exact"/>
              <w:rPr>
                <w:rFonts w:ascii="Times New Roman" w:hAnsi="Times New Roman"/>
                <w:sz w:val="21"/>
                <w:szCs w:val="21"/>
              </w:rPr>
            </w:pPr>
            <w:r>
              <w:rPr>
                <w:rFonts w:hint="eastAsia" w:ascii="Times New Roman" w:hAnsi="Times New Roman"/>
                <w:sz w:val="21"/>
                <w:szCs w:val="21"/>
              </w:rPr>
              <w:t>较重要的自来水管、煤气管、污水管等市政管线、采用天然地基或短桩基础的建筑物等</w:t>
            </w:r>
          </w:p>
        </w:tc>
        <w:tc>
          <w:tcPr>
            <w:tcW w:w="240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s</w:t>
            </w:r>
            <w:r>
              <w:rPr>
                <w:rFonts w:hint="eastAsia" w:ascii="宋体" w:hAnsi="宋体"/>
                <w:sz w:val="21"/>
                <w:szCs w:val="21"/>
              </w:rPr>
              <w:t>≤</w:t>
            </w:r>
            <w:r>
              <w:rPr>
                <w:rFonts w:hint="eastAsia" w:ascii="Times New Roman" w:hAnsi="Times New Roman"/>
                <w:sz w:val="21"/>
                <w:szCs w:val="21"/>
              </w:rPr>
              <w:t>H</w:t>
            </w:r>
          </w:p>
        </w:tc>
        <w:tc>
          <w:tcPr>
            <w:tcW w:w="2186"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8" w:type="dxa"/>
            <w:vMerge w:val="continue"/>
          </w:tcPr>
          <w:p>
            <w:pPr>
              <w:widowControl w:val="0"/>
              <w:spacing w:line="400" w:lineRule="exact"/>
              <w:rPr>
                <w:rFonts w:ascii="Times New Roman" w:hAnsi="Times New Roman"/>
                <w:sz w:val="21"/>
                <w:szCs w:val="21"/>
              </w:rPr>
            </w:pPr>
          </w:p>
        </w:tc>
        <w:tc>
          <w:tcPr>
            <w:tcW w:w="2400"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H&lt;s</w:t>
            </w:r>
            <w:r>
              <w:rPr>
                <w:rFonts w:hint="eastAsia" w:ascii="宋体" w:hAnsi="宋体"/>
                <w:sz w:val="21"/>
                <w:szCs w:val="21"/>
              </w:rPr>
              <w:t>≤2</w:t>
            </w:r>
            <w:r>
              <w:rPr>
                <w:rFonts w:hint="eastAsia" w:ascii="Times New Roman" w:hAnsi="Times New Roman"/>
                <w:sz w:val="21"/>
                <w:szCs w:val="21"/>
              </w:rPr>
              <w:t>H</w:t>
            </w:r>
          </w:p>
        </w:tc>
        <w:tc>
          <w:tcPr>
            <w:tcW w:w="2186" w:type="dxa"/>
            <w:vAlign w:val="center"/>
          </w:tcPr>
          <w:p>
            <w:pPr>
              <w:widowControl w:val="0"/>
              <w:spacing w:line="400" w:lineRule="exact"/>
              <w:jc w:val="center"/>
              <w:rPr>
                <w:rFonts w:ascii="Times New Roman" w:hAnsi="Times New Roman"/>
                <w:sz w:val="21"/>
                <w:szCs w:val="21"/>
              </w:rPr>
            </w:pPr>
            <w:r>
              <w:rPr>
                <w:rFonts w:hint="eastAsia" w:ascii="Times New Roman" w:hAnsi="Times New Roman"/>
                <w:sz w:val="21"/>
                <w:szCs w:val="21"/>
              </w:rPr>
              <w:t>三级</w:t>
            </w:r>
          </w:p>
        </w:tc>
      </w:tr>
    </w:tbl>
    <w:p>
      <w:pPr>
        <w:widowControl w:val="0"/>
        <w:spacing w:line="480" w:lineRule="atLeast"/>
        <w:jc w:val="left"/>
        <w:rPr>
          <w:rFonts w:ascii="Times New Roman" w:hAnsi="Times New Roman"/>
          <w:sz w:val="22"/>
        </w:rPr>
      </w:pPr>
      <w:r>
        <w:rPr>
          <w:rFonts w:hint="eastAsia" w:ascii="Times New Roman" w:hAnsi="Times New Roman"/>
          <w:sz w:val="22"/>
        </w:rPr>
        <w:t xml:space="preserve">注：1 </w:t>
      </w:r>
      <w:r>
        <w:rPr>
          <w:rFonts w:hint="eastAsia" w:ascii="Times New Roman" w:hAnsi="Times New Roman"/>
          <w:sz w:val="22"/>
          <w:lang w:val="en-US" w:eastAsia="zh-CN"/>
        </w:rPr>
        <w:t xml:space="preserve"> </w:t>
      </w:r>
      <w:r>
        <w:rPr>
          <w:rFonts w:hint="eastAsia" w:ascii="Times New Roman" w:hAnsi="Times New Roman"/>
          <w:sz w:val="22"/>
        </w:rPr>
        <w:t>H为基坑开挖深度；s为保护对象与基坑开挖边线的净距；</w:t>
      </w:r>
    </w:p>
    <w:p>
      <w:pPr>
        <w:widowControl w:val="0"/>
        <w:spacing w:line="480" w:lineRule="atLeast"/>
        <w:ind w:firstLine="480"/>
        <w:jc w:val="left"/>
        <w:rPr>
          <w:rFonts w:ascii="Times New Roman" w:hAnsi="Times New Roman"/>
          <w:sz w:val="22"/>
        </w:rPr>
      </w:pPr>
      <w:r>
        <w:rPr>
          <w:rFonts w:hint="eastAsia" w:ascii="Times New Roman" w:hAnsi="Times New Roman"/>
          <w:sz w:val="22"/>
        </w:rPr>
        <w:t>2 基坑工程环境保护等级可根据基坑各边的不同环境情况分别确定；</w:t>
      </w:r>
    </w:p>
    <w:p>
      <w:pPr>
        <w:widowControl w:val="0"/>
        <w:spacing w:line="480" w:lineRule="atLeast"/>
        <w:ind w:firstLine="480"/>
        <w:jc w:val="left"/>
        <w:rPr>
          <w:rFonts w:ascii="Times New Roman" w:hAnsi="Times New Roman"/>
          <w:sz w:val="22"/>
        </w:rPr>
      </w:pPr>
      <w:r>
        <w:rPr>
          <w:rFonts w:hint="eastAsia" w:ascii="Times New Roman" w:hAnsi="Times New Roman"/>
          <w:sz w:val="22"/>
        </w:rPr>
        <w:t>3 位于轨道交通设施、优秀历史建筑、重要管线等环境保护对象周边的建筑工程，应遵照政府有关文件和规定执行。</w:t>
      </w:r>
    </w:p>
    <w:p>
      <w:pPr>
        <w:widowControl w:val="0"/>
        <w:spacing w:line="480" w:lineRule="atLeast"/>
        <w:rPr>
          <w:rFonts w:ascii="Times New Roman" w:hAnsi="Times New Roman"/>
          <w:szCs w:val="24"/>
        </w:rPr>
      </w:pPr>
      <w:r>
        <w:rPr>
          <w:rFonts w:hint="eastAsia" w:ascii="Times New Roman" w:hAnsi="Times New Roman"/>
          <w:b/>
          <w:lang w:eastAsia="zh-CN"/>
        </w:rPr>
        <w:t>15</w:t>
      </w:r>
      <w:r>
        <w:rPr>
          <w:rFonts w:hint="eastAsia" w:ascii="Times New Roman" w:hAnsi="Times New Roman"/>
          <w:b/>
        </w:rPr>
        <w:t>.1.</w:t>
      </w:r>
      <w:r>
        <w:rPr>
          <w:rFonts w:hint="eastAsia" w:ascii="Times New Roman" w:hAnsi="Times New Roman"/>
          <w:b/>
          <w:lang w:val="en-US" w:eastAsia="zh-CN"/>
        </w:rPr>
        <w:t>3</w:t>
      </w:r>
      <w:r>
        <w:rPr>
          <w:rFonts w:hint="eastAsia" w:ascii="Times New Roman" w:hAnsi="Times New Roman"/>
          <w:szCs w:val="24"/>
        </w:rPr>
        <w:t>基坑工程的设计应根据基坑工程的环境保护等级进行变形控制设计，并采取相应的保护措施。基坑周边地面沉降不得影响相邻建（构）筑物的正常使用，基坑周边的土体变形不得影响各类管线的正常使用。</w:t>
      </w:r>
    </w:p>
    <w:p>
      <w:pPr>
        <w:widowControl w:val="0"/>
        <w:spacing w:line="480" w:lineRule="atLeast"/>
        <w:rPr>
          <w:rFonts w:hint="eastAsia" w:ascii="Times New Roman" w:hAnsi="Times New Roman"/>
          <w:szCs w:val="24"/>
        </w:rPr>
      </w:pPr>
      <w:r>
        <w:rPr>
          <w:rFonts w:hint="eastAsia" w:ascii="Times New Roman" w:hAnsi="Times New Roman"/>
          <w:b/>
          <w:lang w:eastAsia="zh-CN"/>
        </w:rPr>
        <w:t>15</w:t>
      </w:r>
      <w:r>
        <w:rPr>
          <w:rFonts w:hint="eastAsia" w:ascii="Times New Roman" w:hAnsi="Times New Roman"/>
          <w:b/>
        </w:rPr>
        <w:t>.1.</w:t>
      </w:r>
      <w:r>
        <w:rPr>
          <w:rFonts w:hint="eastAsia" w:ascii="Times New Roman" w:hAnsi="Times New Roman"/>
          <w:b/>
          <w:lang w:val="en-US" w:eastAsia="zh-CN"/>
        </w:rPr>
        <w:t>4</w:t>
      </w:r>
      <w:r>
        <w:rPr>
          <w:rFonts w:hint="eastAsia" w:ascii="Times New Roman" w:hAnsi="Times New Roman"/>
          <w:szCs w:val="24"/>
        </w:rPr>
        <w:t>基坑工程</w:t>
      </w:r>
      <w:r>
        <w:rPr>
          <w:rFonts w:hint="eastAsia" w:ascii="Times New Roman" w:hAnsi="Times New Roman"/>
          <w:szCs w:val="24"/>
          <w:lang w:val="en-US" w:eastAsia="zh-CN"/>
        </w:rPr>
        <w:t>回填结束前</w:t>
      </w:r>
      <w:r>
        <w:rPr>
          <w:rFonts w:hint="eastAsia" w:ascii="Times New Roman" w:hAnsi="Times New Roman"/>
          <w:szCs w:val="24"/>
        </w:rPr>
        <w:t>，应对周围环境进行监测，并根据监测实时提供的数据对设计和施工进行动态调整。</w:t>
      </w:r>
    </w:p>
    <w:p>
      <w:pPr>
        <w:pStyle w:val="3"/>
        <w:bidi w:val="0"/>
      </w:pPr>
      <w:bookmarkStart w:id="818" w:name="_Toc27637"/>
      <w:bookmarkStart w:id="819" w:name="_Toc28756"/>
      <w:bookmarkStart w:id="820" w:name="_Toc1753"/>
      <w:r>
        <w:rPr>
          <w:rFonts w:hint="eastAsia"/>
          <w:lang w:eastAsia="zh-CN"/>
        </w:rPr>
        <w:t>15</w:t>
      </w:r>
      <w:r>
        <w:rPr>
          <w:rFonts w:hint="eastAsia"/>
        </w:rPr>
        <w:t>.2  评估内容</w:t>
      </w:r>
      <w:bookmarkEnd w:id="818"/>
      <w:bookmarkEnd w:id="819"/>
      <w:bookmarkEnd w:id="820"/>
    </w:p>
    <w:p>
      <w:pPr>
        <w:widowControl w:val="0"/>
        <w:spacing w:line="480" w:lineRule="atLeast"/>
        <w:rPr>
          <w:rFonts w:ascii="Times New Roman" w:hAnsi="Times New Roman"/>
          <w:szCs w:val="24"/>
        </w:rPr>
      </w:pPr>
      <w:r>
        <w:rPr>
          <w:rFonts w:hint="eastAsia" w:ascii="Times New Roman" w:hAnsi="Times New Roman"/>
          <w:b/>
          <w:lang w:eastAsia="zh-CN"/>
        </w:rPr>
        <w:t>15</w:t>
      </w:r>
      <w:r>
        <w:rPr>
          <w:rFonts w:hint="eastAsia" w:ascii="Times New Roman" w:hAnsi="Times New Roman"/>
          <w:b/>
        </w:rPr>
        <w:t>.2.1</w:t>
      </w:r>
      <w:r>
        <w:rPr>
          <w:rFonts w:hint="eastAsia" w:ascii="Times New Roman" w:hAnsi="Times New Roman"/>
          <w:szCs w:val="24"/>
        </w:rPr>
        <w:t xml:space="preserve"> 基坑工程对环境的影响评估</w:t>
      </w:r>
      <w:r>
        <w:rPr>
          <w:rFonts w:hint="eastAsia" w:ascii="Times New Roman" w:hAnsi="Times New Roman"/>
          <w:szCs w:val="24"/>
          <w:lang w:val="en-US" w:eastAsia="zh-CN"/>
        </w:rPr>
        <w:t>应</w:t>
      </w:r>
      <w:r>
        <w:rPr>
          <w:rFonts w:hint="eastAsia" w:ascii="Times New Roman" w:hAnsi="Times New Roman"/>
          <w:szCs w:val="24"/>
        </w:rPr>
        <w:t>分为坑内环境与周边环境。</w:t>
      </w:r>
    </w:p>
    <w:p>
      <w:pPr>
        <w:widowControl w:val="0"/>
        <w:spacing w:line="480" w:lineRule="atLeast"/>
        <w:rPr>
          <w:rFonts w:hint="eastAsia" w:ascii="Times New Roman" w:hAnsi="Times New Roman"/>
          <w:szCs w:val="24"/>
        </w:rPr>
      </w:pPr>
      <w:r>
        <w:rPr>
          <w:rFonts w:hint="eastAsia" w:ascii="Times New Roman" w:hAnsi="Times New Roman"/>
          <w:b/>
          <w:lang w:val="en-US" w:eastAsia="zh-CN"/>
        </w:rPr>
        <w:t>15.2.2</w:t>
      </w:r>
      <w:r>
        <w:rPr>
          <w:rFonts w:hint="eastAsia" w:ascii="Times New Roman" w:hAnsi="Times New Roman"/>
          <w:b/>
          <w:bCs/>
          <w:color w:val="4472C4" w:themeColor="accent5"/>
          <w:szCs w:val="24"/>
          <w:lang w:val="en-US" w:eastAsia="zh-CN"/>
          <w14:textFill>
            <w14:solidFill>
              <w14:schemeClr w14:val="accent5"/>
            </w14:solidFill>
          </w14:textFill>
        </w:rPr>
        <w:t xml:space="preserve"> </w:t>
      </w:r>
      <w:r>
        <w:rPr>
          <w:rFonts w:hint="eastAsia" w:ascii="Times New Roman" w:hAnsi="Times New Roman"/>
          <w:szCs w:val="24"/>
        </w:rPr>
        <w:t>坑内环境的评估</w:t>
      </w:r>
      <w:r>
        <w:rPr>
          <w:rFonts w:hint="eastAsia" w:ascii="Times New Roman" w:hAnsi="Times New Roman"/>
          <w:szCs w:val="24"/>
          <w:lang w:val="en-US" w:eastAsia="zh-CN"/>
        </w:rPr>
        <w:t>包括以下</w:t>
      </w:r>
      <w:r>
        <w:rPr>
          <w:rFonts w:hint="eastAsia" w:ascii="Times New Roman" w:hAnsi="Times New Roman"/>
          <w:szCs w:val="24"/>
        </w:rPr>
        <w:t>内容：</w:t>
      </w:r>
    </w:p>
    <w:p>
      <w:pPr>
        <w:widowControl w:val="0"/>
        <w:spacing w:line="480" w:lineRule="atLeast"/>
        <w:ind w:firstLine="480" w:firstLineChars="200"/>
        <w:rPr>
          <w:rFonts w:hint="eastAsia" w:ascii="Times New Roman" w:hAnsi="Times New Roman"/>
          <w:szCs w:val="24"/>
        </w:rPr>
      </w:pPr>
      <w:r>
        <w:rPr>
          <w:rFonts w:hint="eastAsia" w:ascii="Times New Roman" w:hAnsi="Times New Roman"/>
          <w:szCs w:val="24"/>
        </w:rPr>
        <w:t>1基坑工程支护结构变形或基底隆起使坑内已有工程桩受到横向挤推作用而造成倾斜、偏位及断桩等不良影响；</w:t>
      </w:r>
    </w:p>
    <w:p>
      <w:pPr>
        <w:widowControl w:val="0"/>
        <w:spacing w:line="480" w:lineRule="atLeast"/>
        <w:ind w:firstLine="480" w:firstLineChars="200"/>
        <w:rPr>
          <w:rFonts w:hint="eastAsia" w:ascii="Times New Roman" w:hAnsi="Times New Roman"/>
          <w:szCs w:val="24"/>
        </w:rPr>
      </w:pPr>
      <w:r>
        <w:rPr>
          <w:rFonts w:hint="eastAsia" w:ascii="Times New Roman" w:hAnsi="Times New Roman"/>
          <w:szCs w:val="24"/>
        </w:rPr>
        <w:t>2基坑工程支护结构变形使坑内降水、排水系统、内支撑立柱等设施破坏破坏；</w:t>
      </w:r>
    </w:p>
    <w:p>
      <w:pPr>
        <w:widowControl w:val="0"/>
        <w:spacing w:line="480" w:lineRule="atLeast"/>
        <w:ind w:firstLine="480" w:firstLineChars="200"/>
        <w:rPr>
          <w:rFonts w:hint="eastAsia" w:ascii="Times New Roman" w:hAnsi="Times New Roman"/>
          <w:szCs w:val="24"/>
        </w:rPr>
      </w:pPr>
      <w:r>
        <w:rPr>
          <w:rFonts w:hint="eastAsia" w:ascii="Times New Roman" w:hAnsi="Times New Roman"/>
          <w:szCs w:val="24"/>
        </w:rPr>
        <w:t>3挖土机械类型选用不当，机械停放位置和行车路线不合理，挖土方式和顺序安排不当，以及挖出土方临时堆放位置和数量控制不严等对坑内已有工程桩的完整性产生不利影响；</w:t>
      </w:r>
    </w:p>
    <w:p>
      <w:pPr>
        <w:widowControl w:val="0"/>
        <w:spacing w:line="480" w:lineRule="atLeast"/>
        <w:ind w:firstLine="480" w:firstLineChars="200"/>
        <w:rPr>
          <w:rFonts w:hint="eastAsia" w:ascii="Times New Roman" w:hAnsi="Times New Roman"/>
          <w:szCs w:val="24"/>
        </w:rPr>
      </w:pPr>
      <w:r>
        <w:rPr>
          <w:rFonts w:hint="eastAsia" w:ascii="Times New Roman" w:hAnsi="Times New Roman"/>
          <w:szCs w:val="24"/>
        </w:rPr>
        <w:t>4基坑支护结构施工先于工程桩施工时，工程桩桩型选择和沉桩方式不当对已建基坑支护结构产生推挤和振动等不利影响。</w:t>
      </w:r>
    </w:p>
    <w:p>
      <w:pPr>
        <w:widowControl w:val="0"/>
        <w:spacing w:line="480" w:lineRule="atLeast"/>
        <w:rPr>
          <w:rFonts w:ascii="Times New Roman" w:hAnsi="Times New Roman"/>
          <w:szCs w:val="24"/>
        </w:rPr>
      </w:pPr>
      <w:r>
        <w:rPr>
          <w:rFonts w:hint="eastAsia" w:ascii="Times New Roman" w:hAnsi="Times New Roman"/>
          <w:b/>
          <w:lang w:eastAsia="zh-CN"/>
        </w:rPr>
        <w:t>15</w:t>
      </w:r>
      <w:r>
        <w:rPr>
          <w:rFonts w:hint="eastAsia" w:ascii="Times New Roman" w:hAnsi="Times New Roman"/>
          <w:b/>
        </w:rPr>
        <w:t>.2.</w:t>
      </w:r>
      <w:r>
        <w:rPr>
          <w:rFonts w:hint="eastAsia" w:ascii="Times New Roman" w:hAnsi="Times New Roman"/>
          <w:b/>
          <w:lang w:val="en-US" w:eastAsia="zh-CN"/>
        </w:rPr>
        <w:t>3</w:t>
      </w:r>
      <w:r>
        <w:rPr>
          <w:rFonts w:hint="eastAsia" w:ascii="Times New Roman" w:hAnsi="Times New Roman"/>
          <w:b/>
        </w:rPr>
        <w:t xml:space="preserve"> </w:t>
      </w:r>
      <w:r>
        <w:rPr>
          <w:rFonts w:hint="eastAsia" w:ascii="Times New Roman" w:hAnsi="Times New Roman"/>
          <w:szCs w:val="24"/>
        </w:rPr>
        <w:t>基坑工程对周边环境影响的评估</w:t>
      </w:r>
      <w:r>
        <w:rPr>
          <w:rFonts w:hint="eastAsia" w:ascii="Times New Roman" w:hAnsi="Times New Roman"/>
          <w:szCs w:val="24"/>
          <w:lang w:val="en-US" w:eastAsia="zh-CN"/>
        </w:rPr>
        <w:t>包括以下</w:t>
      </w:r>
      <w:r>
        <w:rPr>
          <w:rFonts w:hint="eastAsia" w:ascii="Times New Roman" w:hAnsi="Times New Roman"/>
          <w:szCs w:val="24"/>
        </w:rPr>
        <w:t>内容：</w:t>
      </w:r>
    </w:p>
    <w:p>
      <w:pPr>
        <w:widowControl w:val="0"/>
        <w:spacing w:line="480" w:lineRule="atLeast"/>
        <w:ind w:firstLine="480" w:firstLineChars="200"/>
        <w:rPr>
          <w:rFonts w:ascii="Times New Roman" w:hAnsi="Times New Roman"/>
          <w:szCs w:val="24"/>
        </w:rPr>
      </w:pPr>
      <w:r>
        <w:rPr>
          <w:rFonts w:hint="eastAsia" w:ascii="Times New Roman" w:hAnsi="Times New Roman"/>
          <w:szCs w:val="24"/>
        </w:rPr>
        <w:t>1 支护结构的施工和坑内土方开挖，使基坑侧壁发生局部破坏或整体失稳滑移，引起邻近建（构）筑物的变形；</w:t>
      </w:r>
    </w:p>
    <w:p>
      <w:pPr>
        <w:widowControl w:val="0"/>
        <w:spacing w:line="480" w:lineRule="atLeast"/>
        <w:ind w:firstLine="480" w:firstLineChars="200"/>
        <w:rPr>
          <w:rFonts w:ascii="Times New Roman" w:hAnsi="Times New Roman"/>
          <w:szCs w:val="24"/>
        </w:rPr>
      </w:pPr>
      <w:r>
        <w:rPr>
          <w:rFonts w:hint="eastAsia" w:ascii="Times New Roman" w:hAnsi="Times New Roman"/>
          <w:szCs w:val="24"/>
        </w:rPr>
        <w:t>2 长时间、大幅度的基坑降水引起的建（构）筑物变形开裂及大范围地面沉降；</w:t>
      </w:r>
    </w:p>
    <w:p>
      <w:pPr>
        <w:widowControl w:val="0"/>
        <w:spacing w:line="480" w:lineRule="atLeast"/>
        <w:ind w:firstLine="480" w:firstLineChars="200"/>
        <w:rPr>
          <w:rFonts w:hint="eastAsia" w:ascii="Times New Roman" w:hAnsi="Times New Roman"/>
          <w:szCs w:val="24"/>
        </w:rPr>
      </w:pPr>
      <w:bookmarkStart w:id="821" w:name="_Toc4731"/>
      <w:bookmarkStart w:id="822" w:name="_Toc4060"/>
      <w:r>
        <w:rPr>
          <w:rFonts w:hint="eastAsia" w:ascii="Times New Roman" w:hAnsi="Times New Roman"/>
          <w:szCs w:val="24"/>
        </w:rPr>
        <w:t>3 时间效应与季节因素对基坑变形的影响；</w:t>
      </w:r>
      <w:bookmarkEnd w:id="821"/>
      <w:bookmarkEnd w:id="822"/>
    </w:p>
    <w:p>
      <w:pPr>
        <w:widowControl w:val="0"/>
        <w:spacing w:line="480" w:lineRule="atLeast"/>
        <w:ind w:firstLine="480" w:firstLineChars="200"/>
        <w:rPr>
          <w:rFonts w:ascii="Times New Roman" w:hAnsi="Times New Roman"/>
          <w:szCs w:val="24"/>
        </w:rPr>
      </w:pPr>
      <w:r>
        <w:rPr>
          <w:rFonts w:hint="eastAsia" w:ascii="Times New Roman" w:hAnsi="Times New Roman"/>
          <w:szCs w:val="24"/>
        </w:rPr>
        <w:t>4 基坑边坡突发的局部浸水引起边坡失稳，造成地下管网及建筑物的破坏；</w:t>
      </w:r>
    </w:p>
    <w:p>
      <w:pPr>
        <w:widowControl w:val="0"/>
        <w:spacing w:line="480" w:lineRule="atLeast"/>
        <w:ind w:firstLine="480" w:firstLineChars="200"/>
        <w:rPr>
          <w:rFonts w:ascii="Times New Roman" w:hAnsi="Times New Roman"/>
          <w:szCs w:val="24"/>
        </w:rPr>
      </w:pPr>
      <w:r>
        <w:rPr>
          <w:rFonts w:hint="eastAsia" w:ascii="Times New Roman" w:hAnsi="Times New Roman"/>
          <w:szCs w:val="24"/>
        </w:rPr>
        <w:t>5 防渗措施失效、侧壁水土流失，土层淘空，引起相邻建（构）筑物变形，地面沉降，地下管线断裂；</w:t>
      </w:r>
    </w:p>
    <w:p>
      <w:pPr>
        <w:widowControl w:val="0"/>
        <w:spacing w:line="480" w:lineRule="atLeast"/>
        <w:ind w:firstLine="480" w:firstLineChars="200"/>
        <w:rPr>
          <w:rFonts w:hint="eastAsia" w:ascii="Times New Roman" w:hAnsi="Times New Roman"/>
        </w:rPr>
      </w:pPr>
      <w:r>
        <w:rPr>
          <w:rFonts w:hint="eastAsia" w:ascii="Times New Roman" w:hAnsi="Times New Roman"/>
          <w:szCs w:val="24"/>
        </w:rPr>
        <w:t>6 基坑施工的噪声、振动等对周边环境和居民生活产生的不利影响。</w:t>
      </w:r>
    </w:p>
    <w:p>
      <w:pPr>
        <w:pStyle w:val="3"/>
        <w:bidi w:val="0"/>
        <w:rPr>
          <w:rFonts w:hint="eastAsia"/>
          <w:lang w:eastAsia="zh-CN"/>
        </w:rPr>
      </w:pPr>
      <w:bookmarkStart w:id="823" w:name="_Toc21525"/>
      <w:bookmarkStart w:id="824" w:name="_Toc971"/>
      <w:bookmarkStart w:id="825" w:name="_Toc20015"/>
      <w:r>
        <w:rPr>
          <w:rFonts w:hint="eastAsia"/>
          <w:lang w:eastAsia="zh-CN"/>
        </w:rPr>
        <w:t>15</w:t>
      </w:r>
      <w:r>
        <w:rPr>
          <w:rFonts w:hint="eastAsia"/>
        </w:rPr>
        <w:t>.3  基坑变形预估</w:t>
      </w:r>
      <w:bookmarkEnd w:id="823"/>
      <w:bookmarkEnd w:id="824"/>
      <w:bookmarkEnd w:id="825"/>
    </w:p>
    <w:p>
      <w:pPr>
        <w:widowControl w:val="0"/>
        <w:spacing w:line="480" w:lineRule="atLeast"/>
        <w:rPr>
          <w:rFonts w:hint="eastAsia" w:ascii="Times New Roman" w:hAnsi="Times New Roman"/>
          <w:color w:val="auto"/>
          <w:szCs w:val="24"/>
        </w:rPr>
      </w:pPr>
      <w:r>
        <w:rPr>
          <w:rFonts w:hint="eastAsia" w:ascii="Times New Roman" w:hAnsi="Times New Roman"/>
          <w:b/>
          <w:color w:val="auto"/>
          <w:lang w:eastAsia="zh-CN"/>
        </w:rPr>
        <w:t>15</w:t>
      </w:r>
      <w:r>
        <w:rPr>
          <w:rFonts w:hint="eastAsia" w:ascii="Times New Roman" w:hAnsi="Times New Roman"/>
          <w:b/>
          <w:color w:val="auto"/>
        </w:rPr>
        <w:t xml:space="preserve">.3.1 </w:t>
      </w:r>
      <w:r>
        <w:rPr>
          <w:rFonts w:hint="eastAsia" w:ascii="Times New Roman" w:hAnsi="Times New Roman"/>
          <w:color w:val="auto"/>
          <w:szCs w:val="24"/>
        </w:rPr>
        <w:t>对于板式支护体系，基坑变形估算可采用经验方法预估基坑开挖引起的围护墙后的地表沉降。可根据图</w:t>
      </w:r>
      <w:r>
        <w:rPr>
          <w:rFonts w:hint="eastAsia" w:ascii="Times New Roman" w:hAnsi="Times New Roman"/>
          <w:color w:val="auto"/>
          <w:szCs w:val="24"/>
          <w:lang w:eastAsia="zh-CN"/>
        </w:rPr>
        <w:t>15</w:t>
      </w:r>
      <w:r>
        <w:rPr>
          <w:rFonts w:hint="eastAsia" w:ascii="Times New Roman" w:hAnsi="Times New Roman"/>
          <w:color w:val="auto"/>
          <w:szCs w:val="24"/>
        </w:rPr>
        <w:t>.3.1确定沉降的影响范围、最大沉降的位置及沉降曲线分布；其中最大地表沉降可</w:t>
      </w:r>
      <w:r>
        <w:rPr>
          <w:rFonts w:hint="eastAsia" w:ascii="Times New Roman" w:hAnsi="Times New Roman"/>
          <w:color w:val="auto"/>
          <w:szCs w:val="24"/>
          <w:lang w:val="en-US" w:eastAsia="zh-CN"/>
        </w:rPr>
        <w:t>按</w:t>
      </w:r>
      <w:r>
        <w:rPr>
          <w:rFonts w:hint="eastAsia" w:ascii="Times New Roman" w:hAnsi="Times New Roman"/>
          <w:color w:val="auto"/>
          <w:szCs w:val="24"/>
        </w:rPr>
        <w:t>δvm=0.8δhm</w:t>
      </w:r>
      <w:r>
        <w:rPr>
          <w:rFonts w:ascii="Times New Roman" w:hAnsi="Times New Roman"/>
          <w:color w:val="auto"/>
          <w:szCs w:val="24"/>
        </w:rPr>
        <w:t>(</w:t>
      </w:r>
      <w:r>
        <w:rPr>
          <w:rFonts w:hint="eastAsia" w:ascii="Times New Roman" w:hAnsi="Times New Roman"/>
          <w:color w:val="auto"/>
          <w:szCs w:val="24"/>
        </w:rPr>
        <w:t>δhm为围护结构最大侧移</w:t>
      </w:r>
      <w:r>
        <w:rPr>
          <w:rFonts w:ascii="Times New Roman" w:hAnsi="Times New Roman"/>
          <w:color w:val="auto"/>
          <w:szCs w:val="24"/>
        </w:rPr>
        <w:t>)</w:t>
      </w:r>
      <w:r>
        <w:rPr>
          <w:rFonts w:hint="eastAsia" w:ascii="Times New Roman" w:hAnsi="Times New Roman"/>
          <w:color w:val="auto"/>
          <w:szCs w:val="24"/>
          <w:lang w:val="en-US" w:eastAsia="zh-CN"/>
        </w:rPr>
        <w:t>计算</w:t>
      </w:r>
      <w:r>
        <w:rPr>
          <w:rFonts w:hint="eastAsia" w:ascii="Times New Roman" w:hAnsi="Times New Roman"/>
          <w:color w:val="auto"/>
          <w:szCs w:val="24"/>
        </w:rPr>
        <w:t>。</w:t>
      </w:r>
    </w:p>
    <w:p>
      <w:pPr>
        <w:widowControl w:val="0"/>
        <w:spacing w:line="480" w:lineRule="atLeast"/>
        <w:rPr>
          <w:rFonts w:hint="eastAsia" w:ascii="Times New Roman" w:hAnsi="Times New Roman"/>
          <w:color w:val="auto"/>
          <w:szCs w:val="24"/>
        </w:rPr>
      </w:pPr>
    </w:p>
    <w:p>
      <w:pPr>
        <w:widowControl w:val="0"/>
        <w:spacing w:line="480" w:lineRule="atLeast"/>
        <w:rPr>
          <w:rFonts w:hint="eastAsia" w:ascii="Times New Roman" w:hAnsi="Times New Roman"/>
          <w:color w:val="FF0000"/>
          <w:szCs w:val="24"/>
        </w:rPr>
      </w:pPr>
    </w:p>
    <w:p>
      <w:pPr>
        <w:widowControl w:val="0"/>
        <w:spacing w:line="480" w:lineRule="atLeast"/>
        <w:jc w:val="center"/>
        <w:rPr>
          <w:rFonts w:ascii="Times New Roman" w:hAnsi="Times New Roman"/>
          <w:sz w:val="21"/>
          <w:szCs w:val="21"/>
        </w:rPr>
      </w:pPr>
      <w:r>
        <w:rPr>
          <w:rFonts w:ascii="Times New Roman" w:hAnsi="Times New Roman"/>
          <w:sz w:val="21"/>
          <w:szCs w:val="21"/>
        </w:rPr>
        <w:drawing>
          <wp:inline distT="0" distB="0" distL="114300" distR="114300">
            <wp:extent cx="3761740" cy="2837815"/>
            <wp:effectExtent l="0" t="0" r="2540" b="12065"/>
            <wp:docPr id="366" name="图片 3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true"/>
                    </pic:cNvPicPr>
                  </pic:nvPicPr>
                  <pic:blipFill>
                    <a:blip r:embed="rId698"/>
                    <a:stretch>
                      <a:fillRect/>
                    </a:stretch>
                  </pic:blipFill>
                  <pic:spPr>
                    <a:xfrm>
                      <a:off x="0" y="0"/>
                      <a:ext cx="3761740" cy="2837815"/>
                    </a:xfrm>
                    <a:prstGeom prst="rect">
                      <a:avLst/>
                    </a:prstGeom>
                    <a:noFill/>
                    <a:ln>
                      <a:noFill/>
                    </a:ln>
                  </pic:spPr>
                </pic:pic>
              </a:graphicData>
            </a:graphic>
          </wp:inline>
        </w:drawing>
      </w:r>
    </w:p>
    <w:p>
      <w:pPr>
        <w:widowControl w:val="0"/>
        <w:spacing w:line="480" w:lineRule="atLeast"/>
        <w:jc w:val="center"/>
        <w:rPr>
          <w:rFonts w:ascii="Times New Roman" w:hAnsi="Times New Roman"/>
          <w:color w:val="auto"/>
          <w:sz w:val="21"/>
          <w:szCs w:val="21"/>
        </w:rPr>
      </w:pPr>
      <w:r>
        <w:rPr>
          <w:rFonts w:hint="eastAsia" w:ascii="Times New Roman" w:hAnsi="Times New Roman"/>
          <w:color w:val="auto"/>
          <w:sz w:val="21"/>
          <w:szCs w:val="21"/>
        </w:rPr>
        <w:t>坑外地表某点距围护墙外侧的距离/基坑开挖深度，</w:t>
      </w:r>
      <w:r>
        <w:rPr>
          <w:rFonts w:hint="eastAsia" w:ascii="Times New Roman" w:hAnsi="Times New Roman"/>
          <w:i/>
          <w:color w:val="auto"/>
          <w:sz w:val="21"/>
          <w:szCs w:val="21"/>
        </w:rPr>
        <w:t>d/H</w:t>
      </w:r>
    </w:p>
    <w:p>
      <w:pPr>
        <w:widowControl w:val="0"/>
        <w:spacing w:line="480" w:lineRule="atLeast"/>
        <w:jc w:val="center"/>
        <w:rPr>
          <w:rFonts w:ascii="Times New Roman" w:hAnsi="Times New Roman"/>
          <w:sz w:val="21"/>
          <w:szCs w:val="21"/>
        </w:rPr>
      </w:pPr>
      <w:r>
        <w:rPr>
          <w:rFonts w:hint="eastAsia" w:ascii="Times New Roman" w:hAnsi="Times New Roman"/>
          <w:sz w:val="21"/>
          <w:szCs w:val="21"/>
        </w:rPr>
        <w:t>图</w:t>
      </w:r>
      <w:r>
        <w:rPr>
          <w:rFonts w:hint="eastAsia" w:ascii="Times New Roman" w:hAnsi="Times New Roman"/>
          <w:sz w:val="21"/>
          <w:szCs w:val="21"/>
          <w:lang w:eastAsia="zh-CN"/>
        </w:rPr>
        <w:t>15</w:t>
      </w:r>
      <w:r>
        <w:rPr>
          <w:rFonts w:hint="eastAsia" w:ascii="Times New Roman" w:hAnsi="Times New Roman"/>
          <w:sz w:val="21"/>
          <w:szCs w:val="21"/>
        </w:rPr>
        <w:t>.3.1围护墙后地表沉降预估曲线</w:t>
      </w:r>
    </w:p>
    <w:p>
      <w:pPr>
        <w:widowControl w:val="0"/>
        <w:ind w:left="900" w:leftChars="200" w:hanging="420" w:hangingChars="200"/>
        <w:rPr>
          <w:rFonts w:ascii="Times New Roman" w:hAnsi="Times New Roman"/>
          <w:sz w:val="21"/>
          <w:szCs w:val="21"/>
        </w:rPr>
      </w:pPr>
      <w:r>
        <w:rPr>
          <w:rFonts w:hint="eastAsia" w:ascii="Times New Roman" w:hAnsi="Times New Roman"/>
          <w:sz w:val="21"/>
          <w:szCs w:val="21"/>
        </w:rPr>
        <w:t>注：</w:t>
      </w:r>
      <w:r>
        <w:rPr>
          <w:rFonts w:hint="eastAsia" w:ascii="Times New Roman" w:hAnsi="Times New Roman"/>
          <w:i/>
          <w:sz w:val="21"/>
          <w:szCs w:val="21"/>
        </w:rPr>
        <w:t>δ</w:t>
      </w:r>
      <w:r>
        <w:rPr>
          <w:rFonts w:hint="eastAsia" w:ascii="Times New Roman" w:hAnsi="Times New Roman"/>
          <w:i/>
          <w:sz w:val="21"/>
          <w:szCs w:val="21"/>
          <w:vertAlign w:val="subscript"/>
        </w:rPr>
        <w:t>hm</w:t>
      </w:r>
      <w:r>
        <w:rPr>
          <w:rFonts w:hint="eastAsia" w:ascii="Times New Roman" w:hAnsi="Times New Roman"/>
          <w:sz w:val="21"/>
          <w:szCs w:val="21"/>
        </w:rPr>
        <w:t>可根据板式支护体系围护墙的内力和变形宜采用竖向弹性地基梁法计算，计算时应考虑支撑或锚拉点的位移、施工工况、支撑刚度及周边基底深坑等对围护结构内力与变形的影响或其他方法确定。</w:t>
      </w:r>
    </w:p>
    <w:p>
      <w:pPr>
        <w:widowControl w:val="0"/>
        <w:spacing w:line="480" w:lineRule="atLeast"/>
        <w:rPr>
          <w:rFonts w:hint="eastAsia" w:ascii="Times New Roman" w:hAnsi="Times New Roman" w:eastAsia="宋体"/>
          <w:szCs w:val="24"/>
          <w:lang w:eastAsia="zh-CN"/>
        </w:rPr>
      </w:pPr>
      <w:r>
        <w:rPr>
          <w:rFonts w:hint="eastAsia" w:ascii="Times New Roman" w:hAnsi="Times New Roman"/>
          <w:b/>
          <w:lang w:eastAsia="zh-CN"/>
        </w:rPr>
        <w:t>15</w:t>
      </w:r>
      <w:r>
        <w:rPr>
          <w:rFonts w:hint="eastAsia" w:ascii="Times New Roman" w:hAnsi="Times New Roman"/>
          <w:b/>
        </w:rPr>
        <w:t xml:space="preserve">.3.2 </w:t>
      </w:r>
      <w:r>
        <w:rPr>
          <w:rFonts w:hint="eastAsia" w:ascii="Times New Roman" w:hAnsi="Times New Roman"/>
          <w:szCs w:val="24"/>
        </w:rPr>
        <w:t>因降水引起的地层变形可按下式估算</w:t>
      </w:r>
      <w:r>
        <w:rPr>
          <w:rFonts w:hint="eastAsia" w:ascii="Times New Roman" w:hAnsi="Times New Roman"/>
          <w:szCs w:val="24"/>
          <w:lang w:eastAsia="zh-CN"/>
        </w:rPr>
        <w:t>。</w:t>
      </w:r>
    </w:p>
    <w:p>
      <w:pPr>
        <w:widowControl w:val="0"/>
        <w:shd w:val="clear" w:color="auto" w:fill="FFFFFF"/>
        <w:snapToGrid w:val="0"/>
        <w:spacing w:line="480" w:lineRule="exact"/>
        <w:ind w:firstLine="720" w:firstLineChars="300"/>
        <w:rPr>
          <w:kern w:val="0"/>
          <w:szCs w:val="28"/>
        </w:rPr>
      </w:pPr>
      <w:r>
        <w:rPr>
          <w:rFonts w:hint="eastAsia" w:hAnsi="宋体" w:cs="宋体"/>
          <w:kern w:val="0"/>
          <w:szCs w:val="28"/>
        </w:rPr>
        <w:t>粘性土层：</w:t>
      </w:r>
      <w:r>
        <w:rPr>
          <w:rFonts w:hAnsi="宋体" w:cs="宋体"/>
          <w:kern w:val="0"/>
          <w:position w:val="-12"/>
          <w:szCs w:val="28"/>
        </w:rPr>
        <w:drawing>
          <wp:inline distT="0" distB="0" distL="114300" distR="114300">
            <wp:extent cx="1498600" cy="228600"/>
            <wp:effectExtent l="0" t="0" r="10160" b="0"/>
            <wp:docPr id="36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7" name="图片 2"/>
                    <pic:cNvPicPr>
                      <a:picLocks noChangeAspect="true"/>
                    </pic:cNvPicPr>
                  </pic:nvPicPr>
                  <pic:blipFill>
                    <a:blip r:embed="rId699"/>
                    <a:stretch>
                      <a:fillRect/>
                    </a:stretch>
                  </pic:blipFill>
                  <pic:spPr>
                    <a:xfrm>
                      <a:off x="0" y="0"/>
                      <a:ext cx="1498600" cy="228600"/>
                    </a:xfrm>
                    <a:prstGeom prst="rect">
                      <a:avLst/>
                    </a:prstGeom>
                    <a:noFill/>
                    <a:ln>
                      <a:noFill/>
                    </a:ln>
                  </pic:spPr>
                </pic:pic>
              </a:graphicData>
            </a:graphic>
          </wp:inline>
        </w:drawing>
      </w:r>
      <w:r>
        <w:rPr>
          <w:kern w:val="0"/>
          <w:szCs w:val="28"/>
        </w:rPr>
        <w:t xml:space="preserve"> </w:t>
      </w:r>
    </w:p>
    <w:p>
      <w:pPr>
        <w:widowControl w:val="0"/>
        <w:shd w:val="clear" w:color="auto" w:fill="FFFFFF"/>
        <w:snapToGrid w:val="0"/>
        <w:spacing w:line="480" w:lineRule="exact"/>
        <w:rPr>
          <w:kern w:val="0"/>
          <w:szCs w:val="28"/>
        </w:rPr>
      </w:pPr>
      <w:r>
        <w:rPr>
          <w:kern w:val="0"/>
          <w:szCs w:val="28"/>
        </w:rPr>
        <w:t xml:space="preserve">      </w:t>
      </w:r>
      <w:r>
        <w:rPr>
          <w:rFonts w:hint="eastAsia"/>
          <w:kern w:val="0"/>
          <w:szCs w:val="28"/>
        </w:rPr>
        <w:t xml:space="preserve">    </w:t>
      </w:r>
      <w:r>
        <w:rPr>
          <w:kern w:val="0"/>
          <w:szCs w:val="28"/>
        </w:rPr>
        <w:t xml:space="preserve">式中： </w:t>
      </w:r>
      <w:r>
        <w:rPr>
          <w:kern w:val="0"/>
          <w:position w:val="-6"/>
          <w:szCs w:val="28"/>
        </w:rPr>
        <w:drawing>
          <wp:inline distT="0" distB="0" distL="114300" distR="114300">
            <wp:extent cx="152400" cy="139700"/>
            <wp:effectExtent l="0" t="0" r="0" b="13335"/>
            <wp:docPr id="36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8" name="图片 3"/>
                    <pic:cNvPicPr>
                      <a:picLocks noChangeAspect="true"/>
                    </pic:cNvPicPr>
                  </pic:nvPicPr>
                  <pic:blipFill>
                    <a:blip r:embed="rId700"/>
                    <a:stretch>
                      <a:fillRect/>
                    </a:stretch>
                  </pic:blipFill>
                  <pic:spPr>
                    <a:xfrm>
                      <a:off x="0" y="0"/>
                      <a:ext cx="152400" cy="139700"/>
                    </a:xfrm>
                    <a:prstGeom prst="rect">
                      <a:avLst/>
                    </a:prstGeom>
                    <a:noFill/>
                    <a:ln>
                      <a:noFill/>
                    </a:ln>
                  </pic:spPr>
                </pic:pic>
              </a:graphicData>
            </a:graphic>
          </wp:inline>
        </w:drawing>
      </w:r>
      <w:r>
        <w:rPr>
          <w:rFonts w:ascii="Times New Roman" w:hAnsi="Times New Roman"/>
        </w:rPr>
        <w:t>——</w:t>
      </w:r>
      <w:r>
        <w:rPr>
          <w:kern w:val="0"/>
          <w:szCs w:val="28"/>
        </w:rPr>
        <w:t>压缩系数</w:t>
      </w:r>
      <w:r>
        <w:rPr>
          <w:rFonts w:hint="eastAsia"/>
          <w:kern w:val="0"/>
          <w:szCs w:val="28"/>
        </w:rPr>
        <w:t>；</w:t>
      </w:r>
    </w:p>
    <w:p>
      <w:pPr>
        <w:widowControl w:val="0"/>
        <w:shd w:val="clear" w:color="auto" w:fill="FFFFFF"/>
        <w:snapToGrid w:val="0"/>
        <w:spacing w:line="480" w:lineRule="exact"/>
        <w:rPr>
          <w:kern w:val="0"/>
          <w:szCs w:val="28"/>
        </w:rPr>
      </w:pPr>
      <w:r>
        <w:rPr>
          <w:kern w:val="0"/>
          <w:szCs w:val="28"/>
        </w:rPr>
        <w:t xml:space="preserve">            </w:t>
      </w:r>
      <w:r>
        <w:rPr>
          <w:rFonts w:hint="eastAsia"/>
          <w:kern w:val="0"/>
          <w:szCs w:val="28"/>
        </w:rPr>
        <w:t xml:space="preserve"> </w:t>
      </w:r>
      <w:r>
        <w:rPr>
          <w:kern w:val="0"/>
          <w:szCs w:val="28"/>
        </w:rPr>
        <w:t xml:space="preserve">    </w:t>
      </w:r>
      <w:r>
        <w:rPr>
          <w:kern w:val="0"/>
          <w:position w:val="-12"/>
          <w:szCs w:val="28"/>
        </w:rPr>
        <w:drawing>
          <wp:inline distT="0" distB="0" distL="114300" distR="114300">
            <wp:extent cx="152400" cy="228600"/>
            <wp:effectExtent l="0" t="0" r="0" b="0"/>
            <wp:docPr id="369" name="图片 3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true"/>
                    </pic:cNvPicPr>
                  </pic:nvPicPr>
                  <pic:blipFill>
                    <a:blip r:embed="rId701"/>
                    <a:stretch>
                      <a:fillRect/>
                    </a:stretch>
                  </pic:blipFill>
                  <pic:spPr>
                    <a:xfrm>
                      <a:off x="0" y="0"/>
                      <a:ext cx="152400" cy="228600"/>
                    </a:xfrm>
                    <a:prstGeom prst="rect">
                      <a:avLst/>
                    </a:prstGeom>
                    <a:noFill/>
                    <a:ln>
                      <a:noFill/>
                    </a:ln>
                  </pic:spPr>
                </pic:pic>
              </a:graphicData>
            </a:graphic>
          </wp:inline>
        </w:drawing>
      </w:r>
      <w:r>
        <w:rPr>
          <w:rFonts w:ascii="Times New Roman" w:hAnsi="Times New Roman"/>
        </w:rPr>
        <w:t>——</w:t>
      </w:r>
      <w:r>
        <w:rPr>
          <w:kern w:val="0"/>
          <w:szCs w:val="28"/>
        </w:rPr>
        <w:t>初始孔隙比</w:t>
      </w:r>
      <w:r>
        <w:rPr>
          <w:rFonts w:hint="eastAsia"/>
          <w:kern w:val="0"/>
          <w:szCs w:val="28"/>
        </w:rPr>
        <w:t>；</w:t>
      </w:r>
    </w:p>
    <w:p>
      <w:pPr>
        <w:widowControl w:val="0"/>
        <w:shd w:val="clear" w:color="auto" w:fill="FFFFFF"/>
        <w:snapToGrid w:val="0"/>
        <w:spacing w:line="480" w:lineRule="exact"/>
        <w:rPr>
          <w:kern w:val="0"/>
          <w:szCs w:val="28"/>
        </w:rPr>
      </w:pPr>
      <w:r>
        <w:rPr>
          <w:kern w:val="0"/>
          <w:szCs w:val="28"/>
        </w:rPr>
        <w:t xml:space="preserve">                </w:t>
      </w:r>
      <w:r>
        <w:rPr>
          <w:kern w:val="0"/>
          <w:position w:val="-4"/>
          <w:szCs w:val="28"/>
        </w:rPr>
        <w:drawing>
          <wp:inline distT="0" distB="0" distL="114300" distR="114300">
            <wp:extent cx="241300" cy="165100"/>
            <wp:effectExtent l="0" t="0" r="0" b="1905"/>
            <wp:docPr id="370" name="图片 3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true"/>
                    </pic:cNvPicPr>
                  </pic:nvPicPr>
                  <pic:blipFill>
                    <a:blip r:embed="rId702"/>
                    <a:stretch>
                      <a:fillRect/>
                    </a:stretch>
                  </pic:blipFill>
                  <pic:spPr>
                    <a:xfrm>
                      <a:off x="0" y="0"/>
                      <a:ext cx="241300" cy="165100"/>
                    </a:xfrm>
                    <a:prstGeom prst="rect">
                      <a:avLst/>
                    </a:prstGeom>
                    <a:noFill/>
                    <a:ln>
                      <a:noFill/>
                    </a:ln>
                  </pic:spPr>
                </pic:pic>
              </a:graphicData>
            </a:graphic>
          </wp:inline>
        </w:drawing>
      </w:r>
      <w:r>
        <w:rPr>
          <w:rFonts w:ascii="Times New Roman" w:hAnsi="Times New Roman"/>
        </w:rPr>
        <w:t>——</w:t>
      </w:r>
      <w:r>
        <w:rPr>
          <w:kern w:val="0"/>
          <w:szCs w:val="28"/>
        </w:rPr>
        <w:t>地下水位下降引起的压力差</w:t>
      </w:r>
      <w:r>
        <w:rPr>
          <w:rFonts w:hint="eastAsia"/>
          <w:kern w:val="0"/>
          <w:szCs w:val="28"/>
        </w:rPr>
        <w:t>；</w:t>
      </w:r>
    </w:p>
    <w:p>
      <w:pPr>
        <w:widowControl w:val="0"/>
        <w:shd w:val="clear" w:color="auto" w:fill="FFFFFF"/>
        <w:snapToGrid w:val="0"/>
        <w:spacing w:line="480" w:lineRule="exact"/>
        <w:rPr>
          <w:kern w:val="0"/>
          <w:szCs w:val="28"/>
        </w:rPr>
      </w:pPr>
      <w:r>
        <w:rPr>
          <w:kern w:val="0"/>
          <w:szCs w:val="28"/>
        </w:rPr>
        <w:t xml:space="preserve">                 </w:t>
      </w:r>
      <w:r>
        <w:rPr>
          <w:kern w:val="0"/>
          <w:position w:val="-4"/>
          <w:szCs w:val="28"/>
        </w:rPr>
        <w:drawing>
          <wp:inline distT="0" distB="0" distL="114300" distR="114300">
            <wp:extent cx="177165" cy="165100"/>
            <wp:effectExtent l="0" t="0" r="5715" b="1905"/>
            <wp:docPr id="37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4" name="图片 6"/>
                    <pic:cNvPicPr>
                      <a:picLocks noChangeAspect="true"/>
                    </pic:cNvPicPr>
                  </pic:nvPicPr>
                  <pic:blipFill>
                    <a:blip r:embed="rId703"/>
                    <a:stretch>
                      <a:fillRect/>
                    </a:stretch>
                  </pic:blipFill>
                  <pic:spPr>
                    <a:xfrm>
                      <a:off x="0" y="0"/>
                      <a:ext cx="177165" cy="165100"/>
                    </a:xfrm>
                    <a:prstGeom prst="rect">
                      <a:avLst/>
                    </a:prstGeom>
                    <a:noFill/>
                    <a:ln>
                      <a:noFill/>
                    </a:ln>
                  </pic:spPr>
                </pic:pic>
              </a:graphicData>
            </a:graphic>
          </wp:inline>
        </w:drawing>
      </w:r>
      <w:r>
        <w:rPr>
          <w:rFonts w:ascii="Times New Roman" w:hAnsi="Times New Roman"/>
        </w:rPr>
        <w:t>——</w:t>
      </w:r>
      <w:r>
        <w:rPr>
          <w:kern w:val="0"/>
          <w:szCs w:val="28"/>
        </w:rPr>
        <w:t>计算土层的厚度</w:t>
      </w:r>
      <w:r>
        <w:rPr>
          <w:rFonts w:hint="eastAsia"/>
          <w:kern w:val="0"/>
          <w:szCs w:val="28"/>
        </w:rPr>
        <w:t>。</w:t>
      </w:r>
    </w:p>
    <w:p>
      <w:pPr>
        <w:widowControl w:val="0"/>
        <w:shd w:val="clear" w:color="auto" w:fill="FFFFFF"/>
        <w:snapToGrid w:val="0"/>
        <w:spacing w:line="480" w:lineRule="exact"/>
        <w:ind w:firstLine="720" w:firstLineChars="300"/>
        <w:rPr>
          <w:kern w:val="0"/>
          <w:szCs w:val="28"/>
        </w:rPr>
      </w:pPr>
      <w:r>
        <w:rPr>
          <w:rFonts w:hint="eastAsia" w:hAnsi="宋体" w:cs="宋体"/>
          <w:kern w:val="0"/>
          <w:szCs w:val="28"/>
        </w:rPr>
        <w:t>砂土层：</w:t>
      </w:r>
      <w:r>
        <w:rPr>
          <w:rFonts w:hAnsi="宋体" w:cs="宋体"/>
          <w:kern w:val="0"/>
          <w:position w:val="-12"/>
          <w:szCs w:val="28"/>
        </w:rPr>
        <w:drawing>
          <wp:inline distT="0" distB="0" distL="114300" distR="114300">
            <wp:extent cx="965200" cy="228600"/>
            <wp:effectExtent l="0" t="0" r="10160" b="0"/>
            <wp:docPr id="37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5" name="图片 7"/>
                    <pic:cNvPicPr>
                      <a:picLocks noChangeAspect="true"/>
                    </pic:cNvPicPr>
                  </pic:nvPicPr>
                  <pic:blipFill>
                    <a:blip r:embed="rId704"/>
                    <a:stretch>
                      <a:fillRect/>
                    </a:stretch>
                  </pic:blipFill>
                  <pic:spPr>
                    <a:xfrm>
                      <a:off x="0" y="0"/>
                      <a:ext cx="965200" cy="228600"/>
                    </a:xfrm>
                    <a:prstGeom prst="rect">
                      <a:avLst/>
                    </a:prstGeom>
                    <a:noFill/>
                    <a:ln>
                      <a:noFill/>
                    </a:ln>
                  </pic:spPr>
                </pic:pic>
              </a:graphicData>
            </a:graphic>
          </wp:inline>
        </w:drawing>
      </w:r>
    </w:p>
    <w:p>
      <w:pPr>
        <w:widowControl w:val="0"/>
        <w:shd w:val="clear" w:color="auto" w:fill="FFFFFF"/>
        <w:snapToGrid w:val="0"/>
        <w:spacing w:line="480" w:lineRule="exact"/>
        <w:rPr>
          <w:kern w:val="0"/>
          <w:szCs w:val="28"/>
        </w:rPr>
      </w:pPr>
      <w:r>
        <w:rPr>
          <w:kern w:val="0"/>
          <w:szCs w:val="28"/>
        </w:rPr>
        <w:t xml:space="preserve">                </w:t>
      </w:r>
      <w:r>
        <w:rPr>
          <w:kern w:val="0"/>
          <w:position w:val="-4"/>
          <w:szCs w:val="28"/>
        </w:rPr>
        <w:drawing>
          <wp:inline distT="0" distB="0" distL="114300" distR="114300">
            <wp:extent cx="152400" cy="165100"/>
            <wp:effectExtent l="0" t="0" r="0" b="1905"/>
            <wp:docPr id="38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0" name="图片 8"/>
                    <pic:cNvPicPr>
                      <a:picLocks noChangeAspect="true"/>
                    </pic:cNvPicPr>
                  </pic:nvPicPr>
                  <pic:blipFill>
                    <a:blip r:embed="rId705"/>
                    <a:stretch>
                      <a:fillRect/>
                    </a:stretch>
                  </pic:blipFill>
                  <pic:spPr>
                    <a:xfrm>
                      <a:off x="0" y="0"/>
                      <a:ext cx="152400" cy="165100"/>
                    </a:xfrm>
                    <a:prstGeom prst="rect">
                      <a:avLst/>
                    </a:prstGeom>
                    <a:noFill/>
                    <a:ln>
                      <a:noFill/>
                    </a:ln>
                  </pic:spPr>
                </pic:pic>
              </a:graphicData>
            </a:graphic>
          </wp:inline>
        </w:drawing>
      </w:r>
      <w:r>
        <w:rPr>
          <w:rFonts w:ascii="Times New Roman" w:hAnsi="Times New Roman"/>
        </w:rPr>
        <w:t>——</w:t>
      </w:r>
      <w:r>
        <w:rPr>
          <w:kern w:val="0"/>
          <w:szCs w:val="28"/>
        </w:rPr>
        <w:t>砂层的弹性模量</w:t>
      </w:r>
      <w:r>
        <w:rPr>
          <w:rFonts w:hint="eastAsia"/>
          <w:kern w:val="0"/>
          <w:szCs w:val="28"/>
        </w:rPr>
        <w:t>。</w:t>
      </w:r>
    </w:p>
    <w:p>
      <w:pPr>
        <w:pStyle w:val="3"/>
        <w:bidi w:val="0"/>
        <w:rPr>
          <w:rFonts w:hint="eastAsia"/>
          <w:lang w:eastAsia="zh-CN"/>
        </w:rPr>
      </w:pPr>
      <w:bookmarkStart w:id="826" w:name="_Toc27005"/>
      <w:bookmarkStart w:id="827" w:name="_Toc8847"/>
      <w:bookmarkStart w:id="828" w:name="_Toc22896"/>
      <w:r>
        <w:rPr>
          <w:rFonts w:hint="eastAsia"/>
          <w:lang w:eastAsia="zh-CN"/>
        </w:rPr>
        <w:t>15</w:t>
      </w:r>
      <w:r>
        <w:rPr>
          <w:rFonts w:hint="eastAsia"/>
        </w:rPr>
        <w:t xml:space="preserve">.4  </w:t>
      </w:r>
      <w:r>
        <w:rPr>
          <w:rFonts w:hint="eastAsia"/>
          <w:lang w:val="en-US" w:eastAsia="zh-CN"/>
        </w:rPr>
        <w:t>环境保护</w:t>
      </w:r>
      <w:r>
        <w:rPr>
          <w:rFonts w:hint="eastAsia"/>
        </w:rPr>
        <w:t>措施</w:t>
      </w:r>
      <w:bookmarkEnd w:id="826"/>
      <w:bookmarkEnd w:id="827"/>
      <w:bookmarkEnd w:id="828"/>
    </w:p>
    <w:p>
      <w:pPr>
        <w:widowControl w:val="0"/>
        <w:spacing w:line="480" w:lineRule="atLeast"/>
        <w:rPr>
          <w:rFonts w:hint="eastAsia" w:ascii="Times New Roman" w:hAnsi="Times New Roman"/>
          <w:color w:val="auto"/>
          <w:szCs w:val="24"/>
          <w:lang w:val="en-US" w:eastAsia="zh-CN"/>
        </w:rPr>
      </w:pPr>
      <w:r>
        <w:rPr>
          <w:rFonts w:hint="eastAsia" w:ascii="Times New Roman" w:hAnsi="Times New Roman"/>
          <w:b/>
          <w:color w:val="auto"/>
          <w:lang w:eastAsia="zh-CN"/>
        </w:rPr>
        <w:t>15</w:t>
      </w:r>
      <w:r>
        <w:rPr>
          <w:rFonts w:hint="eastAsia" w:ascii="Times New Roman" w:hAnsi="Times New Roman"/>
          <w:b/>
          <w:color w:val="auto"/>
        </w:rPr>
        <w:t xml:space="preserve">.4.1 </w:t>
      </w:r>
      <w:r>
        <w:rPr>
          <w:rFonts w:hint="eastAsia" w:ascii="Times New Roman" w:hAnsi="Times New Roman"/>
          <w:color w:val="auto"/>
          <w:szCs w:val="24"/>
        </w:rPr>
        <w:t>基坑工程</w:t>
      </w:r>
      <w:r>
        <w:rPr>
          <w:rFonts w:hint="eastAsia" w:ascii="Times New Roman" w:hAnsi="Times New Roman"/>
          <w:color w:val="auto"/>
          <w:szCs w:val="24"/>
          <w:lang w:val="en-US" w:eastAsia="zh-CN"/>
        </w:rPr>
        <w:t>在设计及施工过程中，除应满足支护结构的稳定性和承载力要求外，尚应考虑其对周边环境的影响，并采取相应环境保护措施。</w:t>
      </w:r>
    </w:p>
    <w:p>
      <w:pPr>
        <w:widowControl w:val="0"/>
        <w:spacing w:line="480" w:lineRule="atLeast"/>
        <w:rPr>
          <w:rFonts w:hint="eastAsia" w:ascii="Times New Roman" w:hAnsi="Times New Roman"/>
          <w:color w:val="auto"/>
          <w:szCs w:val="24"/>
          <w:lang w:val="en-US" w:eastAsia="zh-CN"/>
        </w:rPr>
      </w:pPr>
      <w:r>
        <w:rPr>
          <w:rFonts w:hint="eastAsia" w:ascii="Times New Roman" w:hAnsi="Times New Roman"/>
          <w:b/>
          <w:color w:val="auto"/>
          <w:lang w:eastAsia="zh-CN"/>
        </w:rPr>
        <w:t>15</w:t>
      </w:r>
      <w:r>
        <w:rPr>
          <w:rFonts w:hint="eastAsia" w:ascii="Times New Roman" w:hAnsi="Times New Roman"/>
          <w:b/>
          <w:color w:val="auto"/>
        </w:rPr>
        <w:t xml:space="preserve">.4.2 </w:t>
      </w:r>
      <w:r>
        <w:rPr>
          <w:rFonts w:hint="eastAsia" w:ascii="Times New Roman" w:hAnsi="Times New Roman"/>
          <w:color w:val="auto"/>
          <w:szCs w:val="24"/>
          <w:lang w:val="en-US" w:eastAsia="zh-CN"/>
        </w:rPr>
        <w:t>环境保护措施可从支护结构施工、基坑降水及土方开挖三个方面来考虑，必要时可对影响范围内的建（构）筑物及管线采取土体加固、结构托换、架空管线等防范措施。</w:t>
      </w:r>
    </w:p>
    <w:p>
      <w:pPr>
        <w:widowControl w:val="0"/>
        <w:spacing w:line="480" w:lineRule="atLeast"/>
        <w:rPr>
          <w:rFonts w:hint="eastAsia" w:ascii="Times New Roman" w:hAnsi="Times New Roman"/>
          <w:color w:val="auto"/>
          <w:szCs w:val="24"/>
          <w:lang w:val="en-US" w:eastAsia="zh-CN"/>
        </w:rPr>
      </w:pPr>
      <w:r>
        <w:rPr>
          <w:rFonts w:hint="eastAsia" w:ascii="Times New Roman" w:hAnsi="Times New Roman"/>
          <w:b/>
          <w:color w:val="auto"/>
          <w:lang w:eastAsia="zh-CN"/>
        </w:rPr>
        <w:t>15</w:t>
      </w:r>
      <w:r>
        <w:rPr>
          <w:rFonts w:hint="eastAsia" w:ascii="Times New Roman" w:hAnsi="Times New Roman"/>
          <w:b/>
          <w:color w:val="auto"/>
        </w:rPr>
        <w:t xml:space="preserve">.4.3 </w:t>
      </w:r>
      <w:r>
        <w:rPr>
          <w:rFonts w:hint="eastAsia" w:ascii="Times New Roman" w:hAnsi="Times New Roman"/>
          <w:color w:val="auto"/>
          <w:szCs w:val="24"/>
          <w:lang w:val="en-US" w:eastAsia="zh-CN"/>
        </w:rPr>
        <w:t>支护结构施工过程的环境保护措施包括以下内容：</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1板桩围护墙施工时，应采用适当的工艺和方法减少沉桩时的挤土与振动影响；板桩拔出时应采用边拔边注浆等措施；</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2在粉性土或砂土地层中进行地下连续墙施工，宜采用减小地下连续墙单幅槽段宽度、调整泥浆配比、槽壁预加固及降水等措施；</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3灌注排桩施工可选用在搅拌桩中套打、提高泥浆比重、采用优质泥浆护壁等措施提高灌注桩成孔质量以及控制孔壁坍塌；</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eastAsia="宋体"/>
          <w:color w:val="auto"/>
          <w:szCs w:val="24"/>
          <w:lang w:val="en-US" w:eastAsia="zh-CN"/>
        </w:rPr>
      </w:pPr>
      <w:r>
        <w:rPr>
          <w:rFonts w:hint="eastAsia" w:ascii="Times New Roman" w:hAnsi="Times New Roman"/>
          <w:color w:val="auto"/>
          <w:szCs w:val="24"/>
          <w:lang w:val="en-US" w:eastAsia="zh-CN"/>
        </w:rPr>
        <w:t>4</w:t>
      </w:r>
      <w:r>
        <w:rPr>
          <w:rFonts w:hint="eastAsia" w:ascii="Times New Roman" w:hAnsi="Times New Roman"/>
          <w:color w:val="auto"/>
          <w:szCs w:val="24"/>
        </w:rPr>
        <w:t>锚杆、土钉</w:t>
      </w:r>
      <w:r>
        <w:rPr>
          <w:rFonts w:hint="eastAsia" w:ascii="Times New Roman" w:hAnsi="Times New Roman"/>
          <w:color w:val="auto"/>
          <w:szCs w:val="24"/>
          <w:lang w:val="en-US" w:eastAsia="zh-CN"/>
        </w:rPr>
        <w:t>施工时，</w:t>
      </w:r>
      <w:r>
        <w:rPr>
          <w:rFonts w:hint="eastAsia" w:ascii="Times New Roman" w:hAnsi="Times New Roman"/>
          <w:color w:val="auto"/>
          <w:szCs w:val="24"/>
        </w:rPr>
        <w:t>应考虑有否满足锚杆、土钉伸入的地下空间，是否会对周围环境产生影响。特别是在已有建筑物下的锚杆、土钉施工（成孔、压力灌浆）对相邻建筑物基础下土层的影响，应避免引起建筑物的沉降</w:t>
      </w:r>
      <w:r>
        <w:rPr>
          <w:rFonts w:hint="eastAsia" w:ascii="Times New Roman" w:hAnsi="Times New Roman"/>
          <w:color w:val="auto"/>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5搅拌桩施工过程中应通过控制施工速度、优化施工流程，减少搅拌桩挤土效应对周围环境的影响；</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6邻近古树名木进行有泥浆污染的围护墙施工时，宜采取钢板桩等有效隔离措施。</w:t>
      </w:r>
    </w:p>
    <w:p>
      <w:pPr>
        <w:widowControl w:val="0"/>
        <w:spacing w:line="480" w:lineRule="atLeast"/>
        <w:rPr>
          <w:rFonts w:hint="eastAsia" w:ascii="Times New Roman" w:hAnsi="Times New Roman"/>
          <w:color w:val="auto"/>
          <w:szCs w:val="24"/>
          <w:lang w:val="en-US" w:eastAsia="zh-CN"/>
        </w:rPr>
      </w:pPr>
      <w:r>
        <w:rPr>
          <w:rFonts w:hint="eastAsia" w:ascii="Times New Roman" w:hAnsi="Times New Roman"/>
          <w:b/>
          <w:color w:val="auto"/>
          <w:lang w:eastAsia="zh-CN"/>
        </w:rPr>
        <w:t>15</w:t>
      </w:r>
      <w:r>
        <w:rPr>
          <w:rFonts w:hint="eastAsia" w:ascii="Times New Roman" w:hAnsi="Times New Roman"/>
          <w:b/>
          <w:color w:val="auto"/>
        </w:rPr>
        <w:t xml:space="preserve">.4.3 </w:t>
      </w:r>
      <w:r>
        <w:rPr>
          <w:rFonts w:hint="eastAsia" w:ascii="Times New Roman" w:hAnsi="Times New Roman"/>
          <w:color w:val="auto"/>
          <w:szCs w:val="24"/>
          <w:lang w:val="en-US" w:eastAsia="zh-CN"/>
        </w:rPr>
        <w:t>基坑降水过程中的环境保护措施包括以下内容：</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1应利用经验公式或通过抽水试验对降水的影响范圈进行估算，并采取相关控制措施；</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2在降水系统的布置和施工方面，应考虑尽量减少保护对象下地下水位变化的幅度；</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3井点降水系统宜远离保护对象，相距较近时，应采取适当布置方式及措施减少降水深度；</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4降水井施工时，应避免采用可能危害保护对象的施工方法；</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5设置隔水帷幕减小降水对保护对象的影响；</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6设置回灌水系统以保持保护对象下的地下水位。</w:t>
      </w:r>
    </w:p>
    <w:p>
      <w:pPr>
        <w:widowControl w:val="0"/>
        <w:spacing w:line="480" w:lineRule="atLeast"/>
        <w:rPr>
          <w:rFonts w:hint="eastAsia" w:ascii="Times New Roman" w:hAnsi="Times New Roman"/>
          <w:b/>
          <w:color w:val="auto"/>
          <w:lang w:val="en-US" w:eastAsia="zh-CN"/>
        </w:rPr>
      </w:pPr>
      <w:r>
        <w:rPr>
          <w:rFonts w:hint="eastAsia" w:ascii="Times New Roman" w:hAnsi="Times New Roman"/>
          <w:b/>
          <w:color w:val="auto"/>
          <w:lang w:eastAsia="zh-CN"/>
        </w:rPr>
        <w:t>15</w:t>
      </w:r>
      <w:r>
        <w:rPr>
          <w:rFonts w:hint="eastAsia" w:ascii="Times New Roman" w:hAnsi="Times New Roman"/>
          <w:b/>
          <w:color w:val="auto"/>
        </w:rPr>
        <w:t>.4.</w:t>
      </w:r>
      <w:r>
        <w:rPr>
          <w:rFonts w:hint="eastAsia" w:ascii="Times New Roman" w:hAnsi="Times New Roman"/>
          <w:b/>
          <w:color w:val="auto"/>
          <w:lang w:val="en-US" w:eastAsia="zh-CN"/>
        </w:rPr>
        <w:t xml:space="preserve">4 </w:t>
      </w:r>
      <w:r>
        <w:rPr>
          <w:rFonts w:hint="eastAsia" w:ascii="Times New Roman" w:hAnsi="Times New Roman"/>
          <w:color w:val="auto"/>
          <w:szCs w:val="24"/>
          <w:lang w:val="en-US" w:eastAsia="zh-CN"/>
        </w:rPr>
        <w:t>基坑土方开挖过程中的环境保护措施包括以下内容：</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color w:val="auto"/>
          <w:szCs w:val="24"/>
          <w:lang w:val="en-US" w:eastAsia="zh-CN"/>
        </w:rPr>
      </w:pPr>
      <w:r>
        <w:rPr>
          <w:rFonts w:hint="eastAsia" w:ascii="Times New Roman" w:hAnsi="Times New Roman"/>
          <w:color w:val="auto"/>
          <w:szCs w:val="24"/>
          <w:lang w:val="en-US" w:eastAsia="zh-CN"/>
        </w:rPr>
        <w:t>1 基坑土方开挖方法、支撑和拆撑顺序应与设计工况相一致。土方宜采用分区、对称开挖和分区安装支撑的施工方法，并应尽量缩短基坑无支撑暴露时间；</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2基坑土方开挖过程中，</w:t>
      </w:r>
      <w:r>
        <w:rPr>
          <w:rFonts w:hint="eastAsia" w:ascii="Times New Roman" w:hAnsi="Times New Roman"/>
          <w:color w:val="auto"/>
          <w:szCs w:val="24"/>
        </w:rPr>
        <w:t>应做好场地的施工用水，生活污水和雨水的疏导排水处理，不使地面水渗入基坑周边；当地面出现裂缝时，应及时采用黏土或水泥砂浆封堵</w:t>
      </w:r>
      <w:r>
        <w:rPr>
          <w:rFonts w:hint="eastAsia" w:ascii="Times New Roman" w:hAnsi="Times New Roman"/>
          <w:color w:val="auto"/>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eastAsia" w:ascii="Times New Roman" w:hAnsi="Times New Roman" w:eastAsia="宋体"/>
          <w:color w:val="auto"/>
          <w:szCs w:val="24"/>
          <w:lang w:eastAsia="zh-CN"/>
        </w:rPr>
      </w:pPr>
      <w:r>
        <w:rPr>
          <w:rFonts w:hint="eastAsia" w:ascii="Times New Roman" w:hAnsi="Times New Roman"/>
          <w:b w:val="0"/>
          <w:bCs/>
          <w:color w:val="auto"/>
          <w:lang w:val="en-US" w:eastAsia="zh-CN"/>
        </w:rPr>
        <w:t>3土方开挖时</w:t>
      </w:r>
      <w:r>
        <w:rPr>
          <w:rFonts w:hint="eastAsia" w:ascii="Times New Roman" w:hAnsi="Times New Roman"/>
          <w:color w:val="auto"/>
          <w:szCs w:val="24"/>
        </w:rPr>
        <w:t>应控制基坑周边的超载，对有重车通过的地段，应进行道路硬化或加固道路地基</w:t>
      </w:r>
      <w:r>
        <w:rPr>
          <w:rFonts w:hint="eastAsia" w:ascii="Times New Roman" w:hAnsi="Times New Roman"/>
          <w:color w:val="auto"/>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ascii="Times New Roman" w:hAnsi="Times New Roman"/>
          <w:color w:val="auto"/>
          <w:szCs w:val="24"/>
        </w:rPr>
      </w:pPr>
      <w:r>
        <w:rPr>
          <w:rFonts w:hint="eastAsia" w:ascii="Times New Roman" w:hAnsi="Times New Roman"/>
          <w:b w:val="0"/>
          <w:bCs/>
          <w:color w:val="auto"/>
          <w:lang w:val="en-US" w:eastAsia="zh-CN"/>
        </w:rPr>
        <w:t>4 对存在相邻基坑工程的基坑项目，</w:t>
      </w:r>
      <w:r>
        <w:rPr>
          <w:rFonts w:hint="eastAsia" w:ascii="Times New Roman" w:hAnsi="Times New Roman"/>
          <w:color w:val="auto"/>
          <w:szCs w:val="24"/>
        </w:rPr>
        <w:t>对相邻基坑工程应根据最不利工况，选择合适的支护结构型式减少相互影响</w:t>
      </w:r>
      <w:r>
        <w:rPr>
          <w:rFonts w:hint="eastAsia" w:ascii="Times New Roman" w:hAnsi="Times New Roman"/>
          <w:color w:val="auto"/>
          <w:szCs w:val="24"/>
          <w:lang w:eastAsia="zh-CN"/>
        </w:rPr>
        <w:t>；</w:t>
      </w:r>
      <w:r>
        <w:rPr>
          <w:rFonts w:hint="eastAsia" w:ascii="Times New Roman" w:hAnsi="Times New Roman"/>
          <w:color w:val="auto"/>
          <w:szCs w:val="24"/>
        </w:rPr>
        <w:t>应事先协调双方的施工进度，施工顺序，避免或减少相互干扰与影响。宜先开挖较深基坑，后开挖较浅的基坑。</w:t>
      </w:r>
    </w:p>
    <w:p>
      <w:pPr>
        <w:widowControl w:val="0"/>
        <w:spacing w:line="480" w:lineRule="atLeast"/>
        <w:rPr>
          <w:rFonts w:ascii="Times New Roman" w:hAnsi="Times New Roman"/>
          <w:szCs w:val="24"/>
        </w:rPr>
      </w:pPr>
      <w:r>
        <w:rPr>
          <w:rFonts w:hint="eastAsia" w:ascii="Times New Roman" w:hAnsi="Times New Roman"/>
          <w:b/>
          <w:lang w:eastAsia="zh-CN"/>
        </w:rPr>
        <w:t>15</w:t>
      </w:r>
      <w:r>
        <w:rPr>
          <w:rFonts w:hint="eastAsia" w:ascii="Times New Roman" w:hAnsi="Times New Roman"/>
          <w:b/>
        </w:rPr>
        <w:t>.4.</w:t>
      </w:r>
      <w:r>
        <w:rPr>
          <w:rFonts w:hint="eastAsia" w:ascii="Times New Roman" w:hAnsi="Times New Roman"/>
          <w:b/>
          <w:lang w:val="en-US" w:eastAsia="zh-CN"/>
        </w:rPr>
        <w:t>5</w:t>
      </w:r>
      <w:r>
        <w:rPr>
          <w:rFonts w:hint="eastAsia" w:ascii="Times New Roman" w:hAnsi="Times New Roman"/>
          <w:b/>
        </w:rPr>
        <w:t xml:space="preserve"> </w:t>
      </w:r>
      <w:r>
        <w:rPr>
          <w:rFonts w:hint="eastAsia" w:ascii="Times New Roman" w:hAnsi="Times New Roman"/>
          <w:szCs w:val="24"/>
        </w:rPr>
        <w:t>对基坑周围的保护对象，可选用下列地基加固方法和措施：</w:t>
      </w:r>
    </w:p>
    <w:p>
      <w:pPr>
        <w:widowControl w:val="0"/>
        <w:spacing w:line="480" w:lineRule="atLeast"/>
        <w:ind w:firstLine="480" w:firstLineChars="200"/>
        <w:rPr>
          <w:rFonts w:ascii="Times New Roman" w:hAnsi="Times New Roman"/>
          <w:szCs w:val="24"/>
        </w:rPr>
      </w:pPr>
      <w:r>
        <w:rPr>
          <w:rFonts w:hint="eastAsia" w:ascii="Times New Roman" w:hAnsi="Times New Roman"/>
          <w:szCs w:val="24"/>
        </w:rPr>
        <w:t>1）在基坑开挖前，对邻近基坑的建（构）筑物和地下设计等可采用锚杆静压桩或树根桩进行基础托换；</w:t>
      </w:r>
    </w:p>
    <w:p>
      <w:pPr>
        <w:widowControl w:val="0"/>
        <w:spacing w:line="480" w:lineRule="atLeast"/>
        <w:ind w:firstLine="480" w:firstLineChars="200"/>
        <w:rPr>
          <w:rFonts w:ascii="Times New Roman" w:hAnsi="Times New Roman"/>
          <w:szCs w:val="24"/>
        </w:rPr>
      </w:pPr>
      <w:r>
        <w:rPr>
          <w:rFonts w:hint="eastAsia" w:ascii="Times New Roman" w:hAnsi="Times New Roman"/>
          <w:szCs w:val="24"/>
        </w:rPr>
        <w:t>2）基坑开挖前，在基坑和保护对象之间设置隔离桩等隔离措施；</w:t>
      </w:r>
    </w:p>
    <w:p>
      <w:pPr>
        <w:widowControl w:val="0"/>
        <w:spacing w:line="480" w:lineRule="atLeast"/>
        <w:ind w:firstLine="480" w:firstLineChars="200"/>
        <w:rPr>
          <w:rFonts w:ascii="Times New Roman" w:hAnsi="Times New Roman"/>
          <w:szCs w:val="24"/>
        </w:rPr>
      </w:pPr>
      <w:r>
        <w:rPr>
          <w:rFonts w:hint="eastAsia" w:ascii="Times New Roman" w:hAnsi="Times New Roman"/>
          <w:szCs w:val="24"/>
        </w:rPr>
        <w:t>3）基坑开挖前，在保护对象的侧面和底部设置注浆管，对其土体注浆预加固。</w:t>
      </w:r>
    </w:p>
    <w:p>
      <w:pPr>
        <w:widowControl w:val="0"/>
        <w:spacing w:line="480" w:lineRule="atLeast"/>
        <w:rPr>
          <w:rFonts w:ascii="Times New Roman" w:hAnsi="Times New Roman"/>
          <w:szCs w:val="24"/>
        </w:rPr>
      </w:pPr>
      <w:r>
        <w:rPr>
          <w:rFonts w:hint="eastAsia" w:ascii="Times New Roman" w:hAnsi="Times New Roman"/>
          <w:b/>
          <w:lang w:eastAsia="zh-CN"/>
        </w:rPr>
        <w:t>15</w:t>
      </w:r>
      <w:r>
        <w:rPr>
          <w:rFonts w:hint="eastAsia" w:ascii="Times New Roman" w:hAnsi="Times New Roman"/>
          <w:b/>
        </w:rPr>
        <w:t>.4.</w:t>
      </w:r>
      <w:r>
        <w:rPr>
          <w:rFonts w:hint="eastAsia" w:ascii="Times New Roman" w:hAnsi="Times New Roman"/>
          <w:b/>
          <w:lang w:val="en-US" w:eastAsia="zh-CN"/>
        </w:rPr>
        <w:t>6</w:t>
      </w:r>
      <w:r>
        <w:rPr>
          <w:rFonts w:hint="eastAsia" w:ascii="Times New Roman" w:hAnsi="Times New Roman"/>
          <w:szCs w:val="24"/>
        </w:rPr>
        <w:t>基坑工程实施应做好整个地下工程的计划安排，充分考虑基坑开挖的时空效应，尽量缩短工期，减少基坑暴露时间。尽快组织相关部门验槽，分段分块及时施工及回填。</w:t>
      </w:r>
    </w:p>
    <w:p>
      <w:pPr>
        <w:rPr>
          <w:rFonts w:hint="eastAsia" w:ascii="Times New Roman" w:hAnsi="Times New Roman"/>
        </w:rPr>
      </w:pPr>
      <w:r>
        <w:rPr>
          <w:rFonts w:hint="eastAsia" w:ascii="Times New Roman" w:hAnsi="Times New Roman"/>
        </w:rPr>
        <w:br w:type="page"/>
      </w:r>
    </w:p>
    <w:p>
      <w:pPr>
        <w:pStyle w:val="2"/>
        <w:bidi w:val="0"/>
      </w:pPr>
      <w:bookmarkStart w:id="829" w:name="_Toc9441"/>
      <w:bookmarkStart w:id="830" w:name="_Toc30998"/>
      <w:bookmarkStart w:id="831" w:name="_Toc530"/>
      <w:r>
        <w:rPr>
          <w:rFonts w:hint="eastAsia"/>
          <w:lang w:eastAsia="zh-CN"/>
        </w:rPr>
        <w:t>16</w:t>
      </w:r>
      <w:r>
        <w:rPr>
          <w:rFonts w:hint="eastAsia"/>
        </w:rPr>
        <w:t xml:space="preserve">  基坑监测</w:t>
      </w:r>
      <w:bookmarkEnd w:id="829"/>
      <w:bookmarkEnd w:id="830"/>
      <w:bookmarkEnd w:id="831"/>
    </w:p>
    <w:p>
      <w:pPr>
        <w:pStyle w:val="3"/>
        <w:bidi w:val="0"/>
      </w:pPr>
      <w:bookmarkStart w:id="832" w:name="_Toc22305"/>
      <w:bookmarkStart w:id="833" w:name="_Toc15981"/>
      <w:bookmarkStart w:id="834" w:name="_Toc17774"/>
      <w:r>
        <w:rPr>
          <w:rFonts w:hint="eastAsia"/>
          <w:lang w:eastAsia="zh-CN"/>
        </w:rPr>
        <w:t>16</w:t>
      </w:r>
      <w:r>
        <w:rPr>
          <w:rFonts w:hint="eastAsia"/>
        </w:rPr>
        <w:t>.1  一般规定</w:t>
      </w:r>
      <w:bookmarkEnd w:id="832"/>
      <w:bookmarkEnd w:id="833"/>
      <w:bookmarkEnd w:id="834"/>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.1.1 </w:t>
      </w:r>
      <w:r>
        <w:rPr>
          <w:rFonts w:hint="eastAsia" w:ascii="宋体" w:hAnsi="宋体"/>
          <w:szCs w:val="24"/>
        </w:rPr>
        <w:t>在基坑工程</w:t>
      </w:r>
      <w:r>
        <w:rPr>
          <w:rFonts w:hint="eastAsia" w:ascii="宋体" w:hAnsi="宋体"/>
          <w:szCs w:val="24"/>
          <w:lang w:val="en-US" w:eastAsia="zh-CN"/>
        </w:rPr>
        <w:t>回填结束前</w:t>
      </w:r>
      <w:r>
        <w:rPr>
          <w:rFonts w:hint="eastAsia" w:ascii="宋体" w:hAnsi="宋体"/>
          <w:szCs w:val="24"/>
        </w:rPr>
        <w:t>，除施工方自行监测外，建设方应委托第三方对基坑支护体系及周边环境安全进行有效监测。</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.1.2 </w:t>
      </w:r>
      <w:r>
        <w:rPr>
          <w:rFonts w:hint="eastAsia" w:ascii="宋体" w:hAnsi="宋体"/>
          <w:szCs w:val="24"/>
        </w:rPr>
        <w:t>基坑监测工作开展前应具备下列资料：</w:t>
      </w:r>
    </w:p>
    <w:p>
      <w:pPr>
        <w:widowControl w:val="0"/>
        <w:spacing w:line="480" w:lineRule="exact"/>
        <w:rPr>
          <w:rFonts w:ascii="宋体" w:hAnsi="宋体"/>
          <w:szCs w:val="24"/>
        </w:rPr>
      </w:pPr>
      <w:r>
        <w:rPr>
          <w:rFonts w:hint="eastAsia" w:ascii="宋体" w:hAnsi="宋体"/>
          <w:szCs w:val="24"/>
        </w:rPr>
        <w:t xml:space="preserve">  </w:t>
      </w:r>
      <w:r>
        <w:rPr>
          <w:rFonts w:hint="eastAsia" w:ascii="Times New Roman" w:hAnsi="Times New Roman"/>
          <w:b/>
        </w:rPr>
        <w:t xml:space="preserve">  1</w:t>
      </w:r>
      <w:r>
        <w:rPr>
          <w:rFonts w:hint="eastAsia" w:ascii="宋体" w:hAnsi="宋体"/>
          <w:szCs w:val="24"/>
        </w:rPr>
        <w:t xml:space="preserve"> 基坑红线图、地形图及建筑总平面图等工程设计资料；</w:t>
      </w:r>
    </w:p>
    <w:p>
      <w:pPr>
        <w:widowControl w:val="0"/>
        <w:spacing w:line="480" w:lineRule="exact"/>
        <w:rPr>
          <w:rFonts w:ascii="宋体" w:hAnsi="宋体"/>
          <w:szCs w:val="24"/>
        </w:rPr>
      </w:pPr>
      <w:r>
        <w:rPr>
          <w:rFonts w:hint="eastAsia" w:ascii="宋体" w:hAnsi="宋体"/>
          <w:szCs w:val="24"/>
        </w:rPr>
        <w:t xml:space="preserve">   </w:t>
      </w:r>
      <w:r>
        <w:rPr>
          <w:rFonts w:hint="eastAsia" w:ascii="Times New Roman" w:hAnsi="Times New Roman"/>
          <w:b/>
        </w:rPr>
        <w:t xml:space="preserve"> 2</w:t>
      </w:r>
      <w:r>
        <w:rPr>
          <w:rFonts w:hint="eastAsia" w:ascii="宋体" w:hAnsi="宋体"/>
          <w:szCs w:val="24"/>
        </w:rPr>
        <w:t xml:space="preserve"> 岩土工程勘察报告；</w:t>
      </w:r>
    </w:p>
    <w:p>
      <w:pPr>
        <w:widowControl w:val="0"/>
        <w:spacing w:line="480" w:lineRule="exact"/>
        <w:rPr>
          <w:rFonts w:ascii="宋体" w:hAnsi="宋体"/>
          <w:szCs w:val="24"/>
        </w:rPr>
      </w:pPr>
      <w:r>
        <w:rPr>
          <w:rFonts w:hint="eastAsia" w:ascii="宋体" w:hAnsi="宋体"/>
          <w:szCs w:val="24"/>
        </w:rPr>
        <w:t xml:space="preserve">   </w:t>
      </w:r>
      <w:r>
        <w:rPr>
          <w:rFonts w:hint="eastAsia" w:ascii="Times New Roman" w:hAnsi="Times New Roman"/>
          <w:b/>
        </w:rPr>
        <w:t xml:space="preserve"> 3 </w:t>
      </w:r>
      <w:r>
        <w:rPr>
          <w:rFonts w:hint="eastAsia" w:ascii="宋体" w:hAnsi="宋体"/>
          <w:szCs w:val="24"/>
        </w:rPr>
        <w:t>基坑支护设计资料；</w:t>
      </w:r>
    </w:p>
    <w:p>
      <w:pPr>
        <w:widowControl w:val="0"/>
        <w:spacing w:line="480" w:lineRule="exact"/>
        <w:rPr>
          <w:rFonts w:ascii="宋体" w:hAnsi="宋体"/>
          <w:szCs w:val="24"/>
        </w:rPr>
      </w:pPr>
      <w:r>
        <w:rPr>
          <w:rFonts w:hint="eastAsia" w:ascii="宋体" w:hAnsi="宋体"/>
          <w:szCs w:val="24"/>
        </w:rPr>
        <w:t xml:space="preserve">    </w:t>
      </w:r>
      <w:r>
        <w:rPr>
          <w:rFonts w:hint="eastAsia" w:ascii="Times New Roman" w:hAnsi="Times New Roman"/>
          <w:b/>
        </w:rPr>
        <w:t xml:space="preserve">4 </w:t>
      </w:r>
      <w:r>
        <w:rPr>
          <w:rFonts w:hint="eastAsia" w:ascii="宋体" w:hAnsi="宋体"/>
          <w:szCs w:val="24"/>
        </w:rPr>
        <w:t>基坑工程影响范围内的建(构)筑物、地下管线与设施等有关资料；</w:t>
      </w:r>
    </w:p>
    <w:p>
      <w:pPr>
        <w:widowControl w:val="0"/>
        <w:spacing w:line="480" w:lineRule="exact"/>
        <w:rPr>
          <w:rFonts w:ascii="宋体" w:hAnsi="宋体"/>
          <w:szCs w:val="24"/>
        </w:rPr>
      </w:pPr>
      <w:r>
        <w:rPr>
          <w:rFonts w:hint="eastAsia" w:ascii="宋体" w:hAnsi="宋体"/>
          <w:szCs w:val="24"/>
        </w:rPr>
        <w:t xml:space="preserve">    </w:t>
      </w:r>
      <w:r>
        <w:rPr>
          <w:rFonts w:hint="eastAsia" w:ascii="Times New Roman" w:hAnsi="Times New Roman"/>
          <w:b/>
        </w:rPr>
        <w:t xml:space="preserve">5 </w:t>
      </w:r>
      <w:r>
        <w:rPr>
          <w:rFonts w:hint="eastAsia" w:ascii="宋体" w:hAnsi="宋体"/>
          <w:szCs w:val="24"/>
        </w:rPr>
        <w:t>基坑工程施工方案；</w:t>
      </w:r>
    </w:p>
    <w:p>
      <w:pPr>
        <w:widowControl w:val="0"/>
        <w:spacing w:line="480" w:lineRule="exact"/>
        <w:ind w:firstLine="481" w:firstLineChars="200"/>
        <w:rPr>
          <w:rFonts w:ascii="宋体" w:hAnsi="宋体"/>
          <w:szCs w:val="24"/>
        </w:rPr>
      </w:pPr>
      <w:r>
        <w:rPr>
          <w:rFonts w:hint="eastAsia" w:ascii="Times New Roman" w:hAnsi="Times New Roman"/>
          <w:b/>
        </w:rPr>
        <w:t xml:space="preserve">6 </w:t>
      </w:r>
      <w:r>
        <w:rPr>
          <w:rFonts w:hint="eastAsia" w:ascii="宋体" w:hAnsi="宋体"/>
          <w:szCs w:val="24"/>
        </w:rPr>
        <w:t>其它相关资料。</w:t>
      </w:r>
    </w:p>
    <w:p>
      <w:pPr>
        <w:widowControl w:val="0"/>
        <w:spacing w:line="480" w:lineRule="exact"/>
        <w:rPr>
          <w:rFonts w:hint="eastAsia" w:ascii="宋体" w:hAnsi="宋体" w:eastAsia="宋体"/>
          <w:color w:val="000000"/>
          <w:szCs w:val="24"/>
          <w:lang w:eastAsia="zh-CN"/>
        </w:rPr>
      </w:pPr>
      <w:r>
        <w:rPr>
          <w:rFonts w:hint="eastAsia" w:ascii="Times New Roman" w:hAnsi="Times New Roman"/>
          <w:b/>
          <w:lang w:eastAsia="zh-CN"/>
        </w:rPr>
        <w:t>16</w:t>
      </w:r>
      <w:r>
        <w:rPr>
          <w:rFonts w:hint="eastAsia" w:ascii="Times New Roman" w:hAnsi="Times New Roman"/>
          <w:b/>
        </w:rPr>
        <w:t>.1.3</w:t>
      </w:r>
      <w:r>
        <w:rPr>
          <w:rFonts w:hint="eastAsia" w:ascii="宋体" w:hAnsi="宋体"/>
          <w:color w:val="000000"/>
          <w:szCs w:val="24"/>
        </w:rPr>
        <w:t xml:space="preserve"> 基坑监测应根据基坑工程安全等级、环境保护等级和设计施工技术要求等编制监测方案。监测方案应包括以下内容：</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1</w:t>
      </w:r>
      <w:r>
        <w:rPr>
          <w:rFonts w:hint="eastAsia" w:ascii="宋体" w:hAnsi="宋体"/>
          <w:color w:val="auto"/>
          <w:szCs w:val="24"/>
        </w:rPr>
        <w:t>工程概况：主体建筑工程概况、建设场地岩土工程条件及基坑周边2-3倍基坑深度范围内的环境状况、基坑工程专项设计说明及相关图、基坑安全等级、使用年限等；</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2</w:t>
      </w:r>
      <w:r>
        <w:rPr>
          <w:rFonts w:hint="eastAsia" w:ascii="宋体" w:hAnsi="宋体"/>
          <w:color w:val="auto"/>
          <w:szCs w:val="24"/>
        </w:rPr>
        <w:t xml:space="preserve">编制依据； </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3</w:t>
      </w:r>
      <w:r>
        <w:rPr>
          <w:rFonts w:hint="eastAsia" w:ascii="宋体" w:hAnsi="宋体"/>
          <w:color w:val="auto"/>
          <w:szCs w:val="24"/>
        </w:rPr>
        <w:t xml:space="preserve">监测内容及项目：监测对象、仪器监测项目、巡视检查项目；   </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4</w:t>
      </w:r>
      <w:r>
        <w:rPr>
          <w:rFonts w:hint="eastAsia" w:ascii="宋体" w:hAnsi="宋体"/>
          <w:color w:val="auto"/>
          <w:szCs w:val="24"/>
        </w:rPr>
        <w:t>监测点布设及技术要求：监测人员的配备、监测仪器设备及标定要求、基准点、监测点的布置与保护、监测方法及精度、监测期和监测频率、监测报警及异常情况下的监测措施；</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5</w:t>
      </w:r>
      <w:r>
        <w:rPr>
          <w:rFonts w:hint="eastAsia" w:ascii="宋体" w:hAnsi="宋体"/>
          <w:color w:val="auto"/>
          <w:szCs w:val="24"/>
        </w:rPr>
        <w:t>监测信息：监测数据、监测点随时间变化的曲线、信息处理、反馈；</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6</w:t>
      </w:r>
      <w:r>
        <w:rPr>
          <w:rFonts w:hint="eastAsia" w:ascii="宋体" w:hAnsi="宋体"/>
          <w:color w:val="auto"/>
          <w:szCs w:val="24"/>
        </w:rPr>
        <w:t>作业安全及其他管理措施。</w:t>
      </w:r>
    </w:p>
    <w:p>
      <w:pPr>
        <w:widowControl w:val="0"/>
        <w:spacing w:line="480" w:lineRule="exact"/>
        <w:rPr>
          <w:rFonts w:hint="eastAsia" w:ascii="Times New Roman" w:hAnsi="Times New Roman"/>
          <w:b/>
          <w:sz w:val="21"/>
          <w:szCs w:val="21"/>
        </w:rPr>
      </w:pPr>
      <w:r>
        <w:rPr>
          <w:rFonts w:hint="eastAsia" w:ascii="Times New Roman" w:hAnsi="Times New Roman"/>
          <w:b/>
          <w:lang w:eastAsia="zh-CN"/>
        </w:rPr>
        <w:t>16</w:t>
      </w:r>
      <w:r>
        <w:rPr>
          <w:rFonts w:hint="eastAsia" w:ascii="Times New Roman" w:hAnsi="Times New Roman"/>
          <w:b/>
        </w:rPr>
        <w:t>.1.4</w:t>
      </w:r>
      <w:r>
        <w:rPr>
          <w:rFonts w:hint="eastAsia" w:ascii="宋体" w:hAnsi="宋体"/>
          <w:szCs w:val="24"/>
        </w:rPr>
        <w:t xml:space="preserve"> 监测项目应根据基坑工程安全</w:t>
      </w:r>
      <w:r>
        <w:rPr>
          <w:rFonts w:hint="eastAsia" w:ascii="宋体" w:hAnsi="宋体"/>
          <w:color w:val="000000"/>
          <w:szCs w:val="24"/>
        </w:rPr>
        <w:t>等级、环境保护等级、场</w:t>
      </w:r>
      <w:r>
        <w:rPr>
          <w:rFonts w:hint="eastAsia" w:ascii="宋体" w:hAnsi="宋体"/>
          <w:szCs w:val="24"/>
        </w:rPr>
        <w:t>地土特点、基坑支护形式、施工工艺等因素综合确定。基坑支护体系的监测项目宜根据基坑工程安全等级参照表</w:t>
      </w:r>
      <w:r>
        <w:rPr>
          <w:rFonts w:hint="eastAsia" w:ascii="Times New Roman" w:hAnsi="Times New Roman"/>
          <w:b/>
          <w:lang w:eastAsia="zh-CN"/>
        </w:rPr>
        <w:t>16</w:t>
      </w:r>
      <w:r>
        <w:rPr>
          <w:rFonts w:hint="eastAsia" w:ascii="Times New Roman" w:hAnsi="Times New Roman"/>
          <w:b/>
        </w:rPr>
        <w:t>.1.4</w:t>
      </w:r>
      <w:r>
        <w:rPr>
          <w:rFonts w:hint="eastAsia" w:ascii="宋体" w:hAnsi="宋体"/>
          <w:szCs w:val="24"/>
        </w:rPr>
        <w:t>选用。</w:t>
      </w:r>
    </w:p>
    <w:p>
      <w:pPr>
        <w:widowControl w:val="0"/>
        <w:spacing w:line="480" w:lineRule="exact"/>
        <w:jc w:val="center"/>
        <w:rPr>
          <w:rFonts w:hint="eastAsia" w:ascii="Times New Roman" w:hAnsi="Times New Roman"/>
          <w:b/>
          <w:sz w:val="21"/>
          <w:szCs w:val="21"/>
        </w:rPr>
      </w:pPr>
      <w:r>
        <w:rPr>
          <w:rFonts w:hint="eastAsia" w:ascii="Times New Roman" w:hAnsi="Times New Roman"/>
          <w:b/>
          <w:sz w:val="21"/>
          <w:szCs w:val="21"/>
        </w:rPr>
        <w:t>表</w:t>
      </w:r>
      <w:r>
        <w:rPr>
          <w:rFonts w:hint="eastAsia" w:ascii="Times New Roman" w:hAnsi="Times New Roman"/>
          <w:b/>
          <w:sz w:val="21"/>
          <w:szCs w:val="21"/>
          <w:lang w:eastAsia="zh-CN"/>
        </w:rPr>
        <w:t>16</w:t>
      </w:r>
      <w:r>
        <w:rPr>
          <w:rFonts w:ascii="Times New Roman" w:hAnsi="Times New Roman"/>
          <w:b/>
          <w:sz w:val="21"/>
          <w:szCs w:val="21"/>
        </w:rPr>
        <w:t>.</w:t>
      </w:r>
      <w:r>
        <w:rPr>
          <w:rFonts w:hint="eastAsia" w:ascii="Times New Roman" w:hAnsi="Times New Roman"/>
          <w:b/>
          <w:sz w:val="21"/>
          <w:szCs w:val="21"/>
        </w:rPr>
        <w:t>1</w:t>
      </w:r>
      <w:r>
        <w:rPr>
          <w:rFonts w:ascii="Times New Roman" w:hAnsi="Times New Roman"/>
          <w:b/>
          <w:sz w:val="21"/>
          <w:szCs w:val="21"/>
        </w:rPr>
        <w:t>.</w:t>
      </w:r>
      <w:r>
        <w:rPr>
          <w:rFonts w:hint="eastAsia" w:ascii="Times New Roman" w:hAnsi="Times New Roman"/>
          <w:b/>
          <w:sz w:val="21"/>
          <w:szCs w:val="21"/>
        </w:rPr>
        <w:t>4   基坑监测项目选择</w:t>
      </w:r>
    </w:p>
    <w:tbl>
      <w:tblPr>
        <w:tblStyle w:val="3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2161"/>
        <w:gridCol w:w="1440"/>
        <w:gridCol w:w="1440"/>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mc:AlternateContent>
                <mc:Choice Requires="wpg">
                  <w:drawing>
                    <wp:anchor distT="0" distB="0" distL="114300" distR="114300" simplePos="0" relativeHeight="251675648" behindDoc="0" locked="0" layoutInCell="1" allowOverlap="1">
                      <wp:simplePos x="0" y="0"/>
                      <wp:positionH relativeFrom="column">
                        <wp:posOffset>-49530</wp:posOffset>
                      </wp:positionH>
                      <wp:positionV relativeFrom="paragraph">
                        <wp:posOffset>-3810</wp:posOffset>
                      </wp:positionV>
                      <wp:extent cx="2933700" cy="364490"/>
                      <wp:effectExtent l="635" t="1270" r="0" b="0"/>
                      <wp:wrapNone/>
                      <wp:docPr id="65" name="组合 65"/>
                      <wp:cNvGraphicFramePr/>
                      <a:graphic xmlns:a="http://schemas.openxmlformats.org/drawingml/2006/main">
                        <a:graphicData uri="http://schemas.microsoft.com/office/word/2010/wordprocessingGroup">
                          <wpg:wgp>
                            <wpg:cNvGrpSpPr/>
                            <wpg:grpSpPr>
                              <a:xfrm>
                                <a:off x="0" y="0"/>
                                <a:ext cx="2933700" cy="364490"/>
                                <a:chOff x="0" y="0"/>
                                <a:chExt cx="4484" cy="389"/>
                              </a:xfrm>
                            </wpg:grpSpPr>
                            <wps:wsp>
                              <wps:cNvPr id="363" name="文本框 363"/>
                              <wps:cNvSpPr txBox="true"/>
                              <wps:spPr>
                                <a:xfrm>
                                  <a:off x="2262" y="0"/>
                                  <a:ext cx="2222" cy="341"/>
                                </a:xfrm>
                                <a:prstGeom prst="rect">
                                  <a:avLst/>
                                </a:prstGeom>
                                <a:noFill/>
                                <a:ln>
                                  <a:noFill/>
                                </a:ln>
                              </wps:spPr>
                              <wps:txbx>
                                <w:txbxContent>
                                  <w:p>
                                    <w:pPr>
                                      <w:spacing w:line="280" w:lineRule="exact"/>
                                      <w:ind w:firstLine="525" w:firstLineChars="250"/>
                                      <w:rPr>
                                        <w:sz w:val="21"/>
                                        <w:szCs w:val="21"/>
                                      </w:rPr>
                                    </w:pPr>
                                    <w:r>
                                      <w:rPr>
                                        <w:rFonts w:hint="eastAsia"/>
                                        <w:sz w:val="21"/>
                                        <w:szCs w:val="21"/>
                                      </w:rPr>
                                      <w:t>基坑安全等级</w:t>
                                    </w:r>
                                  </w:p>
                                </w:txbxContent>
                              </wps:txbx>
                              <wps:bodyPr lIns="0" tIns="0" rIns="0" bIns="0" upright="true"/>
                            </wps:wsp>
                            <wps:wsp>
                              <wps:cNvPr id="364" name="文本框 364"/>
                              <wps:cNvSpPr txBox="true"/>
                              <wps:spPr>
                                <a:xfrm>
                                  <a:off x="158" y="167"/>
                                  <a:ext cx="1330" cy="222"/>
                                </a:xfrm>
                                <a:prstGeom prst="rect">
                                  <a:avLst/>
                                </a:prstGeom>
                                <a:noFill/>
                                <a:ln>
                                  <a:noFill/>
                                </a:ln>
                              </wps:spPr>
                              <wps:txbx>
                                <w:txbxContent>
                                  <w:p>
                                    <w:pPr>
                                      <w:spacing w:line="280" w:lineRule="exact"/>
                                      <w:rPr>
                                        <w:sz w:val="21"/>
                                        <w:szCs w:val="21"/>
                                      </w:rPr>
                                    </w:pPr>
                                    <w:r>
                                      <w:rPr>
                                        <w:rFonts w:hint="eastAsia"/>
                                        <w:sz w:val="21"/>
                                        <w:szCs w:val="21"/>
                                      </w:rPr>
                                      <w:t>监测项目</w:t>
                                    </w:r>
                                  </w:p>
                                </w:txbxContent>
                              </wps:txbx>
                              <wps:bodyPr lIns="0" tIns="0" rIns="0" bIns="0" upright="true"/>
                            </wps:wsp>
                            <wps:wsp>
                              <wps:cNvPr id="365" name="直接连接符 365"/>
                              <wps:cNvCnPr/>
                              <wps:spPr>
                                <a:xfrm>
                                  <a:off x="0" y="4"/>
                                  <a:ext cx="4158" cy="368"/>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9pt;margin-top:-0.3pt;height:28.7pt;width:231pt;z-index:251675648;mso-width-relative:page;mso-height-relative:page;" coordsize="4484,389" o:gfxdata="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WAAAAZHJzL1BLAQIUABQAAAAIAIdO4kCZ7fSb2AAAAAcBAAAPAAAA&#10;AAAAAAEAIAAAADgAAABkcnMvZG93bnJldi54bWxQSwECFAAUAAAACACHTuJA1D0I3eMCAADvBwAA&#10;DgAAAAAAAAABACAAAAA9AQAAZHJzL2Uyb0RvYy54bWxQSwUGAAAAAAYABgBZAQAAkgYAAAAA&#10;">
                      <o:lock v:ext="edit" aspectratio="f"/>
                      <v:shape id="_x0000_s1026" o:spid="_x0000_s1026" o:spt="202" type="#_x0000_t202" style="position:absolute;left:2262;top:0;height:341;width:2222;" filled="f" stroked="f" coordsize="21600,21600" o:gfxdata="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JQ1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80" w:lineRule="exact"/>
                                <w:ind w:firstLine="525" w:firstLineChars="250"/>
                                <w:rPr>
                                  <w:sz w:val="21"/>
                                  <w:szCs w:val="21"/>
                                </w:rPr>
                              </w:pPr>
                              <w:r>
                                <w:rPr>
                                  <w:rFonts w:hint="eastAsia"/>
                                  <w:sz w:val="21"/>
                                  <w:szCs w:val="21"/>
                                </w:rPr>
                                <w:t>基坑安全等级</w:t>
                              </w:r>
                            </w:p>
                          </w:txbxContent>
                        </v:textbox>
                      </v:shape>
                      <v:shape id="_x0000_s1026" o:spid="_x0000_s1026" o:spt="202" type="#_x0000_t202" style="position:absolute;left:158;top:167;height:222;width:1330;" filled="f" stroked="f" coordsize="21600,21600" o:gfxdata="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oNs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80" w:lineRule="exact"/>
                                <w:rPr>
                                  <w:sz w:val="21"/>
                                  <w:szCs w:val="21"/>
                                </w:rPr>
                              </w:pPr>
                              <w:r>
                                <w:rPr>
                                  <w:rFonts w:hint="eastAsia"/>
                                  <w:sz w:val="21"/>
                                  <w:szCs w:val="21"/>
                                </w:rPr>
                                <w:t>监测项目</w:t>
                              </w:r>
                            </w:p>
                          </w:txbxContent>
                        </v:textbox>
                      </v:shape>
                      <v:line id="_x0000_s1026" o:spid="_x0000_s1026" o:spt="20" style="position:absolute;left:0;top:4;height:368;width:4158;" filled="f" stroked="t" coordsize="21600,21600" o:gfxdata="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JGx/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group>
                  </w:pict>
                </mc:Fallback>
              </mc:AlternateConten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一级</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二级</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围护墙(边坡)顶部水平位移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围护墙(边坡)顶部竖向位移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深层水平位移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立柱竖向位移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围护墙内力</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支撑轴力</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立柱内力</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锚杆轴力</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坑底隆起</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围护墙侧向土压力</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孔隙水压力</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地下水位</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土体分层竖向位移</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lang w:val="en-US" w:eastAsia="zh-CN"/>
              </w:rPr>
            </w:pPr>
            <w:r>
              <w:rPr>
                <w:rFonts w:hint="eastAsia" w:ascii="Times New Roman" w:hAnsi="Times New Roman"/>
                <w:kern w:val="0"/>
                <w:sz w:val="21"/>
                <w:szCs w:val="21"/>
              </w:rPr>
              <w:t>周边地表竖向位移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0" w:type="dxa"/>
            <w:vMerge w:val="restart"/>
            <w:vAlign w:val="center"/>
          </w:tcPr>
          <w:p>
            <w:pPr>
              <w:widowControl w:val="0"/>
              <w:spacing w:line="240" w:lineRule="exact"/>
              <w:jc w:val="center"/>
              <w:rPr>
                <w:rFonts w:hint="default" w:ascii="Times New Roman" w:hAnsi="Times New Roman" w:eastAsia="宋体"/>
                <w:kern w:val="0"/>
                <w:sz w:val="21"/>
                <w:szCs w:val="21"/>
                <w:lang w:val="en-US" w:eastAsia="zh-CN"/>
              </w:rPr>
            </w:pPr>
            <w:r>
              <w:rPr>
                <w:rFonts w:hint="eastAsia" w:ascii="Times New Roman" w:hAnsi="Times New Roman"/>
                <w:kern w:val="0"/>
                <w:sz w:val="21"/>
                <w:szCs w:val="21"/>
                <w:lang w:val="en-US" w:eastAsia="zh-CN"/>
              </w:rPr>
              <w:t>周边建筑</w:t>
            </w:r>
          </w:p>
        </w:tc>
        <w:tc>
          <w:tcPr>
            <w:tcW w:w="216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竖向位移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0" w:type="dxa"/>
            <w:vMerge w:val="continue"/>
            <w:vAlign w:val="center"/>
          </w:tcPr>
          <w:p>
            <w:pPr>
              <w:widowControl w:val="0"/>
              <w:spacing w:line="240" w:lineRule="exact"/>
              <w:jc w:val="center"/>
              <w:rPr>
                <w:rFonts w:hint="eastAsia" w:ascii="Times New Roman" w:hAnsi="Times New Roman"/>
                <w:kern w:val="0"/>
                <w:sz w:val="21"/>
                <w:szCs w:val="21"/>
              </w:rPr>
            </w:pPr>
          </w:p>
        </w:tc>
        <w:tc>
          <w:tcPr>
            <w:tcW w:w="216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倾斜</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0" w:type="dxa"/>
            <w:vMerge w:val="continue"/>
            <w:vAlign w:val="center"/>
          </w:tcPr>
          <w:p>
            <w:pPr>
              <w:widowControl w:val="0"/>
              <w:spacing w:line="240" w:lineRule="exact"/>
              <w:jc w:val="center"/>
              <w:rPr>
                <w:rFonts w:hint="eastAsia" w:ascii="Times New Roman" w:hAnsi="Times New Roman"/>
                <w:kern w:val="0"/>
                <w:sz w:val="21"/>
                <w:szCs w:val="21"/>
              </w:rPr>
            </w:pPr>
          </w:p>
        </w:tc>
        <w:tc>
          <w:tcPr>
            <w:tcW w:w="216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水平位移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周边建筑裂缝、地表裂缝</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0" w:type="dxa"/>
            <w:vMerge w:val="restart"/>
            <w:vAlign w:val="center"/>
          </w:tcPr>
          <w:p>
            <w:pPr>
              <w:widowControl w:val="0"/>
              <w:spacing w:line="240" w:lineRule="exact"/>
              <w:jc w:val="center"/>
              <w:rPr>
                <w:rFonts w:hint="default" w:ascii="Times New Roman" w:hAnsi="Times New Roman" w:eastAsia="宋体"/>
                <w:kern w:val="0"/>
                <w:sz w:val="21"/>
                <w:szCs w:val="21"/>
                <w:lang w:val="en-US" w:eastAsia="zh-CN"/>
              </w:rPr>
            </w:pPr>
            <w:r>
              <w:rPr>
                <w:rFonts w:hint="eastAsia" w:ascii="Times New Roman" w:hAnsi="Times New Roman"/>
                <w:kern w:val="0"/>
                <w:sz w:val="21"/>
                <w:szCs w:val="21"/>
                <w:lang w:val="en-US" w:eastAsia="zh-CN"/>
              </w:rPr>
              <w:t>周边管线</w:t>
            </w:r>
          </w:p>
        </w:tc>
        <w:tc>
          <w:tcPr>
            <w:tcW w:w="216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竖向位移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0" w:type="dxa"/>
            <w:vMerge w:val="continue"/>
            <w:vAlign w:val="center"/>
          </w:tcPr>
          <w:p>
            <w:pPr>
              <w:widowControl w:val="0"/>
              <w:spacing w:line="240" w:lineRule="exact"/>
              <w:jc w:val="center"/>
              <w:rPr>
                <w:rFonts w:hint="eastAsia" w:ascii="Times New Roman" w:hAnsi="Times New Roman"/>
                <w:kern w:val="0"/>
                <w:sz w:val="21"/>
                <w:szCs w:val="21"/>
              </w:rPr>
            </w:pPr>
          </w:p>
        </w:tc>
        <w:tc>
          <w:tcPr>
            <w:tcW w:w="2161"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水平位移</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0"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1" w:type="dxa"/>
            <w:gridSpan w:val="2"/>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周边道路竖向位移</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应测</w:t>
            </w:r>
          </w:p>
        </w:tc>
        <w:tc>
          <w:tcPr>
            <w:tcW w:w="1440" w:type="dxa"/>
            <w:vAlign w:val="center"/>
          </w:tcPr>
          <w:p>
            <w:pPr>
              <w:widowControl w:val="0"/>
              <w:spacing w:line="240" w:lineRule="exact"/>
              <w:jc w:val="center"/>
              <w:rPr>
                <w:rFonts w:hint="eastAsia" w:ascii="Times New Roman" w:hAnsi="Times New Roman"/>
                <w:kern w:val="0"/>
                <w:sz w:val="21"/>
                <w:szCs w:val="21"/>
              </w:rPr>
            </w:pPr>
            <w:r>
              <w:rPr>
                <w:rFonts w:hint="eastAsia" w:ascii="Times New Roman" w:hAnsi="Times New Roman"/>
                <w:kern w:val="0"/>
                <w:sz w:val="21"/>
                <w:szCs w:val="21"/>
              </w:rPr>
              <w:t>宜测</w:t>
            </w:r>
          </w:p>
        </w:tc>
        <w:tc>
          <w:tcPr>
            <w:tcW w:w="1441" w:type="dxa"/>
            <w:vAlign w:val="center"/>
          </w:tcPr>
          <w:p>
            <w:pPr>
              <w:widowControl w:val="0"/>
              <w:spacing w:line="240" w:lineRule="exact"/>
              <w:jc w:val="center"/>
              <w:rPr>
                <w:rFonts w:hint="eastAsia" w:ascii="Times New Roman" w:hAnsi="Times New Roman" w:eastAsia="宋体"/>
                <w:kern w:val="0"/>
                <w:sz w:val="21"/>
                <w:szCs w:val="21"/>
                <w:lang w:eastAsia="zh-CN"/>
              </w:rPr>
            </w:pPr>
            <w:r>
              <w:rPr>
                <w:rFonts w:hint="eastAsia" w:ascii="Times New Roman" w:hAnsi="Times New Roman"/>
                <w:kern w:val="0"/>
                <w:sz w:val="21"/>
                <w:szCs w:val="21"/>
                <w:lang w:eastAsia="zh-CN"/>
              </w:rPr>
              <w:t>选测</w:t>
            </w:r>
          </w:p>
        </w:tc>
      </w:tr>
    </w:tbl>
    <w:p>
      <w:pPr>
        <w:widowControl w:val="0"/>
        <w:spacing w:line="480" w:lineRule="exact"/>
        <w:ind w:firstLine="360" w:firstLineChars="200"/>
        <w:rPr>
          <w:rFonts w:hint="eastAsia" w:ascii="宋体" w:hAnsi="宋体"/>
          <w:color w:val="auto"/>
          <w:sz w:val="18"/>
          <w:szCs w:val="18"/>
          <w:lang w:val="en-US" w:eastAsia="zh-CN"/>
        </w:rPr>
      </w:pPr>
      <w:r>
        <w:rPr>
          <w:rFonts w:hint="eastAsia" w:ascii="宋体" w:hAnsi="宋体"/>
          <w:color w:val="auto"/>
          <w:sz w:val="18"/>
          <w:szCs w:val="18"/>
        </w:rPr>
        <w:t>注：</w:t>
      </w:r>
      <w:r>
        <w:rPr>
          <w:rFonts w:hint="eastAsia" w:ascii="宋体" w:hAnsi="宋体"/>
          <w:color w:val="auto"/>
          <w:sz w:val="18"/>
          <w:szCs w:val="18"/>
          <w:lang w:val="en-US" w:eastAsia="zh-CN"/>
        </w:rPr>
        <w:t>1、监测实施过程中，</w:t>
      </w:r>
      <w:r>
        <w:rPr>
          <w:rFonts w:hint="eastAsia" w:ascii="宋体" w:hAnsi="宋体"/>
          <w:color w:val="auto"/>
          <w:sz w:val="18"/>
          <w:szCs w:val="18"/>
        </w:rPr>
        <w:t>可根据基坑支护形式选择</w:t>
      </w:r>
      <w:r>
        <w:rPr>
          <w:rFonts w:hint="eastAsia" w:ascii="宋体" w:hAnsi="宋体"/>
          <w:color w:val="auto"/>
          <w:sz w:val="18"/>
          <w:szCs w:val="18"/>
          <w:lang w:val="en-US" w:eastAsia="zh-CN"/>
        </w:rPr>
        <w:t>相应</w:t>
      </w:r>
      <w:r>
        <w:rPr>
          <w:rFonts w:hint="eastAsia" w:ascii="宋体" w:hAnsi="宋体"/>
          <w:color w:val="auto"/>
          <w:sz w:val="18"/>
          <w:szCs w:val="18"/>
        </w:rPr>
        <w:t>监测项目</w:t>
      </w:r>
      <w:r>
        <w:rPr>
          <w:rFonts w:hint="eastAsia" w:ascii="宋体" w:hAnsi="宋体"/>
          <w:color w:val="auto"/>
          <w:sz w:val="18"/>
          <w:szCs w:val="18"/>
          <w:lang w:val="en-US" w:eastAsia="zh-CN"/>
        </w:rPr>
        <w:t>；</w:t>
      </w:r>
    </w:p>
    <w:p>
      <w:pPr>
        <w:widowControl w:val="0"/>
        <w:spacing w:line="480" w:lineRule="exact"/>
        <w:ind w:firstLine="720" w:firstLineChars="400"/>
        <w:rPr>
          <w:rFonts w:ascii="宋体" w:hAnsi="宋体"/>
          <w:color w:val="auto"/>
          <w:sz w:val="18"/>
          <w:szCs w:val="18"/>
        </w:rPr>
      </w:pPr>
      <w:r>
        <w:rPr>
          <w:rFonts w:hint="eastAsia" w:ascii="宋体" w:hAnsi="宋体"/>
          <w:color w:val="auto"/>
          <w:sz w:val="18"/>
          <w:szCs w:val="18"/>
          <w:lang w:val="en-US" w:eastAsia="zh-CN"/>
        </w:rPr>
        <w:t>2、对于岩质基坑，可根据具体情况适当减少监测项目</w:t>
      </w:r>
      <w:r>
        <w:rPr>
          <w:rFonts w:hint="eastAsia" w:ascii="宋体" w:hAnsi="宋体"/>
          <w:color w:val="auto"/>
          <w:sz w:val="18"/>
          <w:szCs w:val="18"/>
        </w:rPr>
        <w:t>。</w:t>
      </w:r>
    </w:p>
    <w:p>
      <w:pPr>
        <w:widowControl w:val="0"/>
        <w:spacing w:line="480" w:lineRule="exact"/>
        <w:rPr>
          <w:rFonts w:hint="eastAsia" w:ascii="宋体" w:hAnsi="宋体"/>
          <w:szCs w:val="24"/>
        </w:rPr>
      </w:pPr>
      <w:r>
        <w:rPr>
          <w:rFonts w:hint="eastAsia" w:ascii="Times New Roman" w:hAnsi="Times New Roman"/>
          <w:b/>
          <w:lang w:eastAsia="zh-CN"/>
        </w:rPr>
        <w:t>16</w:t>
      </w:r>
      <w:r>
        <w:rPr>
          <w:rFonts w:hint="eastAsia" w:ascii="Times New Roman" w:hAnsi="Times New Roman"/>
          <w:b/>
        </w:rPr>
        <w:t xml:space="preserve">.1.5 </w:t>
      </w:r>
      <w:r>
        <w:rPr>
          <w:rFonts w:hint="eastAsia" w:ascii="宋体" w:hAnsi="宋体"/>
          <w:szCs w:val="24"/>
        </w:rPr>
        <w:t>支护结构巡视检查宜包括以下内容：</w:t>
      </w:r>
    </w:p>
    <w:p>
      <w:pPr>
        <w:widowControl w:val="0"/>
        <w:spacing w:line="480" w:lineRule="exact"/>
        <w:ind w:firstLine="480" w:firstLineChars="200"/>
        <w:rPr>
          <w:rFonts w:hint="eastAsia" w:ascii="宋体" w:hAnsi="宋体"/>
          <w:szCs w:val="24"/>
        </w:rPr>
      </w:pPr>
      <w:r>
        <w:rPr>
          <w:rFonts w:hint="eastAsia" w:ascii="宋体" w:hAnsi="宋体"/>
          <w:szCs w:val="24"/>
        </w:rPr>
        <w:t>1</w:t>
      </w:r>
      <w:r>
        <w:rPr>
          <w:rFonts w:hint="eastAsia" w:ascii="宋体" w:hAnsi="宋体"/>
          <w:szCs w:val="24"/>
          <w:lang w:val="en-US" w:eastAsia="zh-CN"/>
        </w:rPr>
        <w:t xml:space="preserve"> </w:t>
      </w:r>
      <w:r>
        <w:rPr>
          <w:rFonts w:hint="eastAsia" w:ascii="宋体" w:hAnsi="宋体"/>
          <w:szCs w:val="24"/>
        </w:rPr>
        <w:t>支护结构成型质量：</w:t>
      </w:r>
    </w:p>
    <w:p>
      <w:pPr>
        <w:widowControl w:val="0"/>
        <w:spacing w:line="480" w:lineRule="exact"/>
        <w:ind w:firstLine="480" w:firstLineChars="200"/>
        <w:rPr>
          <w:rFonts w:hint="eastAsia" w:ascii="宋体" w:hAnsi="宋体"/>
          <w:szCs w:val="24"/>
        </w:rPr>
      </w:pPr>
      <w:r>
        <w:rPr>
          <w:rFonts w:hint="eastAsia" w:ascii="宋体" w:hAnsi="宋体"/>
          <w:szCs w:val="24"/>
        </w:rPr>
        <w:t>2</w:t>
      </w:r>
      <w:r>
        <w:rPr>
          <w:rFonts w:hint="eastAsia" w:ascii="宋体" w:hAnsi="宋体"/>
          <w:szCs w:val="24"/>
          <w:lang w:val="en-US" w:eastAsia="zh-CN"/>
        </w:rPr>
        <w:t xml:space="preserve"> </w:t>
      </w:r>
      <w:r>
        <w:rPr>
          <w:rFonts w:hint="eastAsia" w:ascii="宋体" w:hAnsi="宋体"/>
          <w:szCs w:val="24"/>
        </w:rPr>
        <w:t>冠梁、支撑、围檩有无裂缝出现；</w:t>
      </w:r>
    </w:p>
    <w:p>
      <w:pPr>
        <w:widowControl w:val="0"/>
        <w:spacing w:line="480" w:lineRule="exact"/>
        <w:ind w:firstLine="480" w:firstLineChars="200"/>
        <w:rPr>
          <w:rFonts w:hint="eastAsia" w:ascii="宋体" w:hAnsi="宋体"/>
          <w:szCs w:val="24"/>
        </w:rPr>
      </w:pPr>
      <w:r>
        <w:rPr>
          <w:rFonts w:hint="eastAsia" w:ascii="宋体" w:hAnsi="宋体"/>
          <w:szCs w:val="24"/>
        </w:rPr>
        <w:t>3</w:t>
      </w:r>
      <w:r>
        <w:rPr>
          <w:rFonts w:hint="eastAsia" w:ascii="宋体" w:hAnsi="宋体"/>
          <w:szCs w:val="24"/>
          <w:lang w:val="en-US" w:eastAsia="zh-CN"/>
        </w:rPr>
        <w:t xml:space="preserve"> </w:t>
      </w:r>
      <w:r>
        <w:rPr>
          <w:rFonts w:hint="eastAsia" w:ascii="宋体" w:hAnsi="宋体"/>
          <w:szCs w:val="24"/>
        </w:rPr>
        <w:t>支撑构件有无变形、开裂；</w:t>
      </w:r>
    </w:p>
    <w:p>
      <w:pPr>
        <w:widowControl w:val="0"/>
        <w:spacing w:line="480" w:lineRule="exact"/>
        <w:ind w:firstLine="480" w:firstLineChars="200"/>
        <w:rPr>
          <w:rFonts w:hint="eastAsia" w:ascii="宋体" w:hAnsi="宋体" w:eastAsia="宋体"/>
          <w:color w:val="auto"/>
          <w:szCs w:val="24"/>
          <w:lang w:val="en-US" w:eastAsia="zh-CN"/>
        </w:rPr>
      </w:pPr>
      <w:r>
        <w:rPr>
          <w:rFonts w:hint="eastAsia" w:ascii="宋体" w:hAnsi="宋体"/>
          <w:color w:val="auto"/>
          <w:szCs w:val="24"/>
        </w:rPr>
        <w:t>4</w:t>
      </w:r>
      <w:r>
        <w:rPr>
          <w:rFonts w:hint="eastAsia" w:ascii="宋体" w:hAnsi="宋体"/>
          <w:color w:val="auto"/>
          <w:szCs w:val="24"/>
          <w:lang w:val="en-US" w:eastAsia="zh-CN"/>
        </w:rPr>
        <w:t xml:space="preserve"> 钢板桩有无变形，搭接处是否能够咬合；</w:t>
      </w:r>
    </w:p>
    <w:p>
      <w:pPr>
        <w:widowControl w:val="0"/>
        <w:spacing w:line="480" w:lineRule="exact"/>
        <w:ind w:firstLine="480" w:firstLineChars="200"/>
        <w:rPr>
          <w:rFonts w:hint="eastAsia" w:ascii="宋体" w:hAnsi="宋体"/>
          <w:color w:val="auto"/>
          <w:szCs w:val="24"/>
          <w:lang w:val="en-US" w:eastAsia="zh-CN"/>
        </w:rPr>
      </w:pPr>
      <w:r>
        <w:rPr>
          <w:rFonts w:hint="eastAsia" w:ascii="宋体" w:hAnsi="宋体"/>
          <w:color w:val="auto"/>
          <w:szCs w:val="24"/>
        </w:rPr>
        <w:t>5</w:t>
      </w:r>
      <w:r>
        <w:rPr>
          <w:rFonts w:hint="eastAsia" w:ascii="宋体" w:hAnsi="宋体"/>
          <w:color w:val="auto"/>
          <w:szCs w:val="24"/>
          <w:lang w:val="en-US" w:eastAsia="zh-CN"/>
        </w:rPr>
        <w:t xml:space="preserve"> 地下连续墙接头处有无渗漏；</w:t>
      </w:r>
    </w:p>
    <w:p>
      <w:pPr>
        <w:widowControl w:val="0"/>
        <w:spacing w:line="480" w:lineRule="exact"/>
        <w:ind w:firstLine="480" w:firstLineChars="200"/>
        <w:rPr>
          <w:rFonts w:hint="default" w:ascii="宋体" w:hAnsi="宋体" w:eastAsia="宋体"/>
          <w:color w:val="auto"/>
          <w:szCs w:val="24"/>
          <w:lang w:val="en-US" w:eastAsia="zh-CN"/>
        </w:rPr>
      </w:pPr>
      <w:r>
        <w:rPr>
          <w:rFonts w:hint="eastAsia" w:ascii="宋体" w:hAnsi="宋体"/>
          <w:color w:val="auto"/>
          <w:szCs w:val="24"/>
        </w:rPr>
        <w:t>6</w:t>
      </w:r>
      <w:r>
        <w:rPr>
          <w:rFonts w:hint="eastAsia" w:ascii="宋体" w:hAnsi="宋体"/>
          <w:color w:val="auto"/>
          <w:szCs w:val="24"/>
          <w:lang w:val="en-US" w:eastAsia="zh-CN"/>
        </w:rPr>
        <w:t xml:space="preserve"> </w:t>
      </w:r>
      <w:r>
        <w:rPr>
          <w:rFonts w:hint="eastAsia" w:ascii="宋体" w:hAnsi="宋体"/>
          <w:color w:val="auto"/>
          <w:szCs w:val="24"/>
        </w:rPr>
        <w:t>锚杆锚头有无松动，锚具夹片有无滑动，腰梁及支座有无变形，连接处是否破损；</w:t>
      </w:r>
    </w:p>
    <w:p>
      <w:pPr>
        <w:widowControl w:val="0"/>
        <w:spacing w:line="480" w:lineRule="exact"/>
        <w:ind w:firstLine="480" w:firstLineChars="200"/>
        <w:rPr>
          <w:rFonts w:hint="eastAsia" w:ascii="宋体" w:hAnsi="宋体"/>
          <w:color w:val="auto"/>
          <w:szCs w:val="24"/>
        </w:rPr>
      </w:pPr>
      <w:r>
        <w:rPr>
          <w:rFonts w:hint="eastAsia" w:ascii="宋体" w:hAnsi="宋体"/>
          <w:color w:val="auto"/>
          <w:szCs w:val="24"/>
          <w:lang w:val="en-US" w:eastAsia="zh-CN"/>
        </w:rPr>
        <w:t xml:space="preserve">7 </w:t>
      </w:r>
      <w:r>
        <w:rPr>
          <w:rFonts w:hint="eastAsia" w:ascii="宋体" w:hAnsi="宋体"/>
          <w:color w:val="auto"/>
          <w:szCs w:val="24"/>
        </w:rPr>
        <w:t>土钉墙土钉有无滑脱，土钉墙面层有无开裂和错动；</w:t>
      </w:r>
    </w:p>
    <w:p>
      <w:pPr>
        <w:widowControl w:val="0"/>
        <w:spacing w:line="480" w:lineRule="exact"/>
        <w:ind w:firstLine="480" w:firstLineChars="200"/>
        <w:rPr>
          <w:rFonts w:hint="eastAsia" w:ascii="宋体" w:hAnsi="宋体"/>
          <w:color w:val="auto"/>
          <w:szCs w:val="24"/>
          <w:lang w:val="en-US" w:eastAsia="zh-CN"/>
        </w:rPr>
      </w:pPr>
      <w:r>
        <w:rPr>
          <w:rFonts w:hint="eastAsia" w:ascii="宋体" w:hAnsi="宋体"/>
          <w:color w:val="auto"/>
          <w:szCs w:val="24"/>
          <w:lang w:val="en-US" w:eastAsia="zh-CN"/>
        </w:rPr>
        <w:t>8 重力式水泥土墙格栅状墙顶及墙体后有无变形、开裂；</w:t>
      </w:r>
    </w:p>
    <w:p>
      <w:pPr>
        <w:widowControl w:val="0"/>
        <w:spacing w:line="480" w:lineRule="exact"/>
        <w:ind w:firstLine="480" w:firstLineChars="200"/>
        <w:rPr>
          <w:rFonts w:hint="default" w:ascii="宋体" w:hAnsi="宋体"/>
          <w:szCs w:val="24"/>
          <w:lang w:val="en-US" w:eastAsia="zh-CN"/>
        </w:rPr>
      </w:pPr>
      <w:r>
        <w:rPr>
          <w:rFonts w:hint="eastAsia" w:ascii="宋体" w:hAnsi="宋体"/>
          <w:color w:val="auto"/>
          <w:szCs w:val="24"/>
          <w:lang w:val="en-US" w:eastAsia="zh-CN"/>
        </w:rPr>
        <w:t>10 型钢水泥土搅拌墙的侧壁是否有型钢出露，顶部是否有裂缝；</w:t>
      </w:r>
    </w:p>
    <w:p>
      <w:pPr>
        <w:widowControl w:val="0"/>
        <w:spacing w:line="480" w:lineRule="exact"/>
        <w:ind w:firstLine="480" w:firstLineChars="200"/>
        <w:rPr>
          <w:rFonts w:hint="eastAsia" w:ascii="宋体" w:hAnsi="宋体"/>
          <w:szCs w:val="24"/>
        </w:rPr>
      </w:pPr>
      <w:r>
        <w:rPr>
          <w:rFonts w:hint="eastAsia" w:ascii="宋体" w:hAnsi="宋体"/>
          <w:szCs w:val="24"/>
          <w:lang w:val="en-US" w:eastAsia="zh-CN"/>
        </w:rPr>
        <w:t xml:space="preserve">11 </w:t>
      </w:r>
      <w:r>
        <w:rPr>
          <w:rFonts w:hint="eastAsia" w:ascii="宋体" w:hAnsi="宋体"/>
          <w:szCs w:val="24"/>
        </w:rPr>
        <w:t>基坑侧壁和截水帷幕有无渗水、漏水、流砂等。</w:t>
      </w:r>
    </w:p>
    <w:p>
      <w:pPr>
        <w:widowControl w:val="0"/>
        <w:spacing w:line="480" w:lineRule="exact"/>
        <w:rPr>
          <w:rFonts w:hint="eastAsia" w:ascii="宋体" w:hAnsi="宋体"/>
          <w:szCs w:val="24"/>
        </w:rPr>
      </w:pPr>
      <w:bookmarkStart w:id="835" w:name="_Toc22865"/>
      <w:bookmarkStart w:id="836" w:name="_Toc17803"/>
      <w:r>
        <w:rPr>
          <w:rFonts w:hint="eastAsia" w:ascii="Times New Roman" w:hAnsi="Times New Roman"/>
          <w:b/>
          <w:lang w:eastAsia="zh-CN"/>
        </w:rPr>
        <w:t>16</w:t>
      </w:r>
      <w:r>
        <w:rPr>
          <w:rFonts w:hint="eastAsia" w:ascii="Times New Roman" w:hAnsi="Times New Roman"/>
          <w:b/>
        </w:rPr>
        <w:t>.1.</w:t>
      </w:r>
      <w:r>
        <w:rPr>
          <w:rFonts w:hint="eastAsia" w:ascii="Times New Roman" w:hAnsi="Times New Roman"/>
          <w:b/>
          <w:lang w:val="en-US" w:eastAsia="zh-CN"/>
        </w:rPr>
        <w:t>6</w:t>
      </w:r>
      <w:r>
        <w:rPr>
          <w:rFonts w:hint="eastAsia" w:ascii="Times New Roman" w:hAnsi="Times New Roman"/>
          <w:b/>
        </w:rPr>
        <w:t xml:space="preserve"> </w:t>
      </w:r>
      <w:r>
        <w:rPr>
          <w:rFonts w:hint="eastAsia" w:ascii="宋体" w:hAnsi="宋体"/>
          <w:szCs w:val="24"/>
        </w:rPr>
        <w:t>施工工况巡视检查宜包括以下内容：</w:t>
      </w:r>
    </w:p>
    <w:bookmarkEnd w:id="835"/>
    <w:bookmarkEnd w:id="836"/>
    <w:p>
      <w:pPr>
        <w:widowControl w:val="0"/>
        <w:spacing w:line="480" w:lineRule="exact"/>
        <w:ind w:firstLine="480" w:firstLineChars="200"/>
        <w:rPr>
          <w:rFonts w:hint="eastAsia" w:ascii="宋体" w:hAnsi="宋体"/>
          <w:szCs w:val="24"/>
        </w:rPr>
      </w:pPr>
      <w:r>
        <w:rPr>
          <w:rFonts w:hint="eastAsia" w:ascii="宋体" w:hAnsi="宋体"/>
          <w:szCs w:val="24"/>
        </w:rPr>
        <w:t>1</w:t>
      </w:r>
      <w:r>
        <w:rPr>
          <w:rFonts w:hint="eastAsia" w:ascii="宋体" w:hAnsi="宋体"/>
          <w:szCs w:val="24"/>
          <w:lang w:val="en-US" w:eastAsia="zh-CN"/>
        </w:rPr>
        <w:t xml:space="preserve"> </w:t>
      </w:r>
      <w:r>
        <w:rPr>
          <w:rFonts w:hint="eastAsia" w:ascii="宋体" w:hAnsi="宋体"/>
          <w:szCs w:val="24"/>
        </w:rPr>
        <w:t>开挖后暴露的土质情况与岩土勘察报告有无差异；</w:t>
      </w:r>
    </w:p>
    <w:p>
      <w:pPr>
        <w:widowControl w:val="0"/>
        <w:spacing w:line="480" w:lineRule="exact"/>
        <w:ind w:firstLine="480" w:firstLineChars="200"/>
        <w:rPr>
          <w:rFonts w:hint="eastAsia" w:ascii="宋体" w:hAnsi="宋体"/>
          <w:szCs w:val="24"/>
        </w:rPr>
      </w:pPr>
      <w:r>
        <w:rPr>
          <w:rFonts w:hint="eastAsia" w:ascii="宋体" w:hAnsi="宋体"/>
          <w:szCs w:val="24"/>
        </w:rPr>
        <w:t>2</w:t>
      </w:r>
      <w:r>
        <w:rPr>
          <w:rFonts w:hint="eastAsia" w:ascii="宋体" w:hAnsi="宋体"/>
          <w:szCs w:val="24"/>
          <w:lang w:val="en-US" w:eastAsia="zh-CN"/>
        </w:rPr>
        <w:t xml:space="preserve"> </w:t>
      </w:r>
      <w:r>
        <w:rPr>
          <w:rFonts w:hint="eastAsia" w:ascii="宋体" w:hAnsi="宋体"/>
          <w:szCs w:val="24"/>
        </w:rPr>
        <w:t>基坑开挖分段长度及分层厚度是否与设计要求一致，有无超长、超深开挖；</w:t>
      </w:r>
    </w:p>
    <w:p>
      <w:pPr>
        <w:widowControl w:val="0"/>
        <w:spacing w:line="480" w:lineRule="exact"/>
        <w:ind w:firstLine="480" w:firstLineChars="200"/>
        <w:rPr>
          <w:rFonts w:hint="eastAsia" w:ascii="宋体" w:hAnsi="宋体"/>
          <w:szCs w:val="24"/>
        </w:rPr>
      </w:pPr>
      <w:r>
        <w:rPr>
          <w:rFonts w:hint="eastAsia" w:ascii="宋体" w:hAnsi="宋体"/>
          <w:szCs w:val="24"/>
        </w:rPr>
        <w:t>3</w:t>
      </w:r>
      <w:r>
        <w:rPr>
          <w:rFonts w:hint="eastAsia" w:ascii="宋体" w:hAnsi="宋体"/>
          <w:szCs w:val="24"/>
          <w:lang w:val="en-US" w:eastAsia="zh-CN"/>
        </w:rPr>
        <w:t xml:space="preserve"> </w:t>
      </w:r>
      <w:r>
        <w:rPr>
          <w:rFonts w:hint="eastAsia" w:ascii="宋体" w:hAnsi="宋体"/>
          <w:szCs w:val="24"/>
        </w:rPr>
        <w:t>场地地表水、地下水排放状况是否正常，基坑降水、回灌设施是否运转正常；</w:t>
      </w:r>
    </w:p>
    <w:p>
      <w:pPr>
        <w:widowControl w:val="0"/>
        <w:spacing w:line="480" w:lineRule="exact"/>
        <w:ind w:firstLine="480" w:firstLineChars="200"/>
        <w:rPr>
          <w:rFonts w:hint="eastAsia" w:ascii="宋体" w:hAnsi="宋体"/>
          <w:szCs w:val="24"/>
        </w:rPr>
      </w:pPr>
      <w:r>
        <w:rPr>
          <w:rFonts w:hint="eastAsia" w:ascii="宋体" w:hAnsi="宋体"/>
          <w:szCs w:val="24"/>
        </w:rPr>
        <w:t>4</w:t>
      </w:r>
      <w:r>
        <w:rPr>
          <w:rFonts w:hint="eastAsia" w:ascii="宋体" w:hAnsi="宋体"/>
          <w:szCs w:val="24"/>
          <w:lang w:val="en-US" w:eastAsia="zh-CN"/>
        </w:rPr>
        <w:t xml:space="preserve"> </w:t>
      </w:r>
      <w:r>
        <w:rPr>
          <w:rFonts w:hint="eastAsia" w:ascii="宋体" w:hAnsi="宋体"/>
          <w:szCs w:val="24"/>
        </w:rPr>
        <w:t>基坑周围地面堆载情况，有无超堆荷载。</w:t>
      </w:r>
    </w:p>
    <w:p>
      <w:pPr>
        <w:widowControl w:val="0"/>
        <w:spacing w:line="480" w:lineRule="exact"/>
        <w:rPr>
          <w:rFonts w:hint="eastAsia" w:ascii="宋体" w:hAnsi="宋体"/>
          <w:szCs w:val="24"/>
        </w:rPr>
      </w:pPr>
      <w:bookmarkStart w:id="837" w:name="_Toc27898"/>
      <w:bookmarkStart w:id="838" w:name="_Toc24546"/>
      <w:r>
        <w:rPr>
          <w:rFonts w:hint="eastAsia" w:ascii="Times New Roman" w:hAnsi="Times New Roman"/>
          <w:b/>
          <w:lang w:eastAsia="zh-CN"/>
        </w:rPr>
        <w:t>16</w:t>
      </w:r>
      <w:r>
        <w:rPr>
          <w:rFonts w:hint="eastAsia" w:ascii="Times New Roman" w:hAnsi="Times New Roman"/>
          <w:b/>
        </w:rPr>
        <w:t>.1.</w:t>
      </w:r>
      <w:r>
        <w:rPr>
          <w:rFonts w:hint="eastAsia" w:ascii="Times New Roman" w:hAnsi="Times New Roman"/>
          <w:b/>
          <w:lang w:val="en-US" w:eastAsia="zh-CN"/>
        </w:rPr>
        <w:t>7</w:t>
      </w:r>
      <w:r>
        <w:rPr>
          <w:rFonts w:hint="eastAsia" w:ascii="Times New Roman" w:hAnsi="Times New Roman"/>
          <w:b/>
        </w:rPr>
        <w:t xml:space="preserve"> </w:t>
      </w:r>
      <w:r>
        <w:rPr>
          <w:rFonts w:hint="eastAsia" w:ascii="宋体" w:hAnsi="宋体"/>
          <w:szCs w:val="24"/>
        </w:rPr>
        <w:t>基坑周边环境</w:t>
      </w:r>
      <w:bookmarkEnd w:id="837"/>
      <w:bookmarkEnd w:id="838"/>
      <w:r>
        <w:rPr>
          <w:rFonts w:hint="eastAsia" w:ascii="宋体" w:hAnsi="宋体"/>
          <w:szCs w:val="24"/>
        </w:rPr>
        <w:t>巡视检查宜包括以下内容：</w:t>
      </w:r>
    </w:p>
    <w:p>
      <w:pPr>
        <w:widowControl w:val="0"/>
        <w:spacing w:line="480" w:lineRule="exact"/>
        <w:ind w:firstLine="480" w:firstLineChars="200"/>
        <w:rPr>
          <w:rFonts w:hint="eastAsia" w:ascii="宋体" w:hAnsi="宋体"/>
          <w:szCs w:val="24"/>
        </w:rPr>
      </w:pPr>
      <w:r>
        <w:rPr>
          <w:rFonts w:hint="eastAsia" w:ascii="宋体" w:hAnsi="宋体"/>
          <w:szCs w:val="24"/>
        </w:rPr>
        <w:t>1</w:t>
      </w:r>
      <w:r>
        <w:rPr>
          <w:rFonts w:hint="eastAsia" w:ascii="宋体" w:hAnsi="宋体"/>
          <w:szCs w:val="24"/>
          <w:lang w:val="en-US" w:eastAsia="zh-CN"/>
        </w:rPr>
        <w:t xml:space="preserve"> </w:t>
      </w:r>
      <w:r>
        <w:rPr>
          <w:rFonts w:hint="eastAsia" w:ascii="宋体" w:hAnsi="宋体"/>
          <w:szCs w:val="24"/>
        </w:rPr>
        <w:t>地下管道有无破损、泄漏情况；</w:t>
      </w:r>
    </w:p>
    <w:p>
      <w:pPr>
        <w:widowControl w:val="0"/>
        <w:spacing w:line="480" w:lineRule="exact"/>
        <w:ind w:firstLine="480" w:firstLineChars="200"/>
        <w:rPr>
          <w:rFonts w:hint="eastAsia" w:ascii="宋体" w:hAnsi="宋体"/>
          <w:szCs w:val="24"/>
        </w:rPr>
      </w:pPr>
      <w:r>
        <w:rPr>
          <w:rFonts w:hint="eastAsia" w:ascii="宋体" w:hAnsi="宋体"/>
          <w:szCs w:val="24"/>
        </w:rPr>
        <w:t>2</w:t>
      </w:r>
      <w:r>
        <w:rPr>
          <w:rFonts w:hint="eastAsia" w:ascii="宋体" w:hAnsi="宋体"/>
          <w:szCs w:val="24"/>
          <w:lang w:val="en-US" w:eastAsia="zh-CN"/>
        </w:rPr>
        <w:t xml:space="preserve"> </w:t>
      </w:r>
      <w:r>
        <w:rPr>
          <w:rFonts w:hint="eastAsia" w:ascii="宋体" w:hAnsi="宋体"/>
          <w:szCs w:val="24"/>
        </w:rPr>
        <w:t>周边建（构）筑物有无裂缝出现；</w:t>
      </w:r>
    </w:p>
    <w:p>
      <w:pPr>
        <w:widowControl w:val="0"/>
        <w:spacing w:line="480" w:lineRule="exact"/>
        <w:ind w:firstLine="480" w:firstLineChars="200"/>
        <w:rPr>
          <w:rFonts w:hint="eastAsia" w:ascii="宋体" w:hAnsi="宋体"/>
          <w:szCs w:val="24"/>
        </w:rPr>
      </w:pPr>
      <w:r>
        <w:rPr>
          <w:rFonts w:hint="eastAsia" w:ascii="宋体" w:hAnsi="宋体"/>
          <w:szCs w:val="24"/>
        </w:rPr>
        <w:t>3</w:t>
      </w:r>
      <w:r>
        <w:rPr>
          <w:rFonts w:hint="eastAsia" w:ascii="宋体" w:hAnsi="宋体"/>
          <w:szCs w:val="24"/>
          <w:lang w:val="en-US" w:eastAsia="zh-CN"/>
        </w:rPr>
        <w:t xml:space="preserve"> </w:t>
      </w:r>
      <w:r>
        <w:rPr>
          <w:rFonts w:hint="eastAsia" w:ascii="宋体" w:hAnsi="宋体"/>
          <w:szCs w:val="24"/>
        </w:rPr>
        <w:t>周边道路（地面）有无裂缝、沉陷；</w:t>
      </w:r>
    </w:p>
    <w:p>
      <w:pPr>
        <w:widowControl w:val="0"/>
        <w:spacing w:line="480" w:lineRule="exact"/>
        <w:ind w:firstLine="480" w:firstLineChars="200"/>
        <w:rPr>
          <w:rFonts w:hint="eastAsia" w:ascii="宋体" w:hAnsi="宋体"/>
          <w:szCs w:val="24"/>
        </w:rPr>
      </w:pPr>
      <w:r>
        <w:rPr>
          <w:rFonts w:hint="eastAsia" w:ascii="宋体" w:hAnsi="宋体"/>
          <w:szCs w:val="24"/>
        </w:rPr>
        <w:t>4</w:t>
      </w:r>
      <w:r>
        <w:rPr>
          <w:rFonts w:hint="eastAsia" w:ascii="宋体" w:hAnsi="宋体"/>
          <w:szCs w:val="24"/>
          <w:lang w:val="en-US" w:eastAsia="zh-CN"/>
        </w:rPr>
        <w:t xml:space="preserve"> </w:t>
      </w:r>
      <w:r>
        <w:rPr>
          <w:rFonts w:hint="eastAsia" w:ascii="宋体" w:hAnsi="宋体"/>
          <w:szCs w:val="24"/>
        </w:rPr>
        <w:t>邻近基坑及建(构)筑物的施工情况。</w:t>
      </w:r>
    </w:p>
    <w:p>
      <w:pPr>
        <w:widowControl w:val="0"/>
        <w:spacing w:line="480" w:lineRule="exact"/>
        <w:rPr>
          <w:rFonts w:hint="eastAsia" w:ascii="宋体" w:hAnsi="宋体"/>
          <w:szCs w:val="24"/>
        </w:rPr>
      </w:pPr>
      <w:bookmarkStart w:id="839" w:name="_Toc15420"/>
      <w:bookmarkStart w:id="840" w:name="_Toc2693"/>
      <w:r>
        <w:rPr>
          <w:rFonts w:hint="eastAsia" w:ascii="Times New Roman" w:hAnsi="Times New Roman"/>
          <w:b/>
          <w:lang w:eastAsia="zh-CN"/>
        </w:rPr>
        <w:t>16</w:t>
      </w:r>
      <w:r>
        <w:rPr>
          <w:rFonts w:hint="eastAsia" w:ascii="Times New Roman" w:hAnsi="Times New Roman"/>
          <w:b/>
        </w:rPr>
        <w:t>.1.</w:t>
      </w:r>
      <w:r>
        <w:rPr>
          <w:rFonts w:hint="eastAsia" w:ascii="Times New Roman" w:hAnsi="Times New Roman"/>
          <w:b/>
          <w:lang w:val="en-US" w:eastAsia="zh-CN"/>
        </w:rPr>
        <w:t>8</w:t>
      </w:r>
      <w:r>
        <w:rPr>
          <w:rFonts w:hint="eastAsia" w:ascii="Times New Roman" w:hAnsi="Times New Roman"/>
          <w:b/>
        </w:rPr>
        <w:t xml:space="preserve"> </w:t>
      </w:r>
      <w:r>
        <w:rPr>
          <w:rFonts w:hint="eastAsia" w:ascii="宋体" w:hAnsi="宋体"/>
          <w:szCs w:val="24"/>
        </w:rPr>
        <w:t>监测设施</w:t>
      </w:r>
      <w:bookmarkEnd w:id="839"/>
      <w:bookmarkEnd w:id="840"/>
      <w:r>
        <w:rPr>
          <w:rFonts w:hint="eastAsia" w:ascii="宋体" w:hAnsi="宋体"/>
          <w:szCs w:val="24"/>
        </w:rPr>
        <w:t>巡视检查宜包括以下内容：</w:t>
      </w:r>
    </w:p>
    <w:p>
      <w:pPr>
        <w:widowControl w:val="0"/>
        <w:spacing w:line="480" w:lineRule="exact"/>
        <w:ind w:firstLine="480" w:firstLineChars="200"/>
        <w:rPr>
          <w:rFonts w:hint="eastAsia" w:ascii="宋体" w:hAnsi="宋体"/>
          <w:szCs w:val="24"/>
        </w:rPr>
      </w:pPr>
      <w:r>
        <w:rPr>
          <w:rFonts w:hint="eastAsia" w:ascii="宋体" w:hAnsi="宋体"/>
          <w:szCs w:val="24"/>
        </w:rPr>
        <w:t>1</w:t>
      </w:r>
      <w:r>
        <w:rPr>
          <w:rFonts w:hint="eastAsia" w:ascii="宋体" w:hAnsi="宋体"/>
          <w:szCs w:val="24"/>
          <w:lang w:val="en-US" w:eastAsia="zh-CN"/>
        </w:rPr>
        <w:t xml:space="preserve"> </w:t>
      </w:r>
      <w:r>
        <w:rPr>
          <w:rFonts w:hint="eastAsia" w:ascii="宋体" w:hAnsi="宋体"/>
          <w:szCs w:val="24"/>
        </w:rPr>
        <w:t>基准点、测点完好状况；</w:t>
      </w:r>
    </w:p>
    <w:p>
      <w:pPr>
        <w:widowControl w:val="0"/>
        <w:spacing w:line="480" w:lineRule="exact"/>
        <w:ind w:firstLine="480" w:firstLineChars="200"/>
        <w:rPr>
          <w:rFonts w:hint="eastAsia" w:ascii="宋体" w:hAnsi="宋体"/>
          <w:szCs w:val="24"/>
        </w:rPr>
      </w:pPr>
      <w:r>
        <w:rPr>
          <w:rFonts w:hint="eastAsia" w:ascii="宋体" w:hAnsi="宋体"/>
          <w:szCs w:val="24"/>
        </w:rPr>
        <w:t>2</w:t>
      </w:r>
      <w:r>
        <w:rPr>
          <w:rFonts w:hint="eastAsia" w:ascii="宋体" w:hAnsi="宋体"/>
          <w:szCs w:val="24"/>
          <w:lang w:val="en-US" w:eastAsia="zh-CN"/>
        </w:rPr>
        <w:t xml:space="preserve"> </w:t>
      </w:r>
      <w:r>
        <w:rPr>
          <w:rFonts w:hint="eastAsia" w:ascii="宋体" w:hAnsi="宋体"/>
          <w:szCs w:val="24"/>
        </w:rPr>
        <w:t>有无影响观测工作的障碍物；</w:t>
      </w:r>
    </w:p>
    <w:p>
      <w:pPr>
        <w:widowControl w:val="0"/>
        <w:spacing w:line="480" w:lineRule="exact"/>
        <w:ind w:firstLine="480" w:firstLineChars="200"/>
        <w:rPr>
          <w:rFonts w:hint="eastAsia" w:ascii="宋体" w:hAnsi="宋体" w:eastAsia="宋体"/>
          <w:szCs w:val="24"/>
          <w:lang w:eastAsia="zh-CN"/>
        </w:rPr>
      </w:pPr>
      <w:r>
        <w:rPr>
          <w:rFonts w:hint="eastAsia" w:ascii="宋体" w:hAnsi="宋体"/>
          <w:szCs w:val="24"/>
        </w:rPr>
        <w:t>3</w:t>
      </w:r>
      <w:r>
        <w:rPr>
          <w:rFonts w:hint="eastAsia" w:ascii="宋体" w:hAnsi="宋体"/>
          <w:szCs w:val="24"/>
          <w:lang w:val="en-US" w:eastAsia="zh-CN"/>
        </w:rPr>
        <w:t xml:space="preserve"> </w:t>
      </w:r>
      <w:r>
        <w:rPr>
          <w:rFonts w:hint="eastAsia" w:ascii="宋体" w:hAnsi="宋体"/>
          <w:szCs w:val="24"/>
        </w:rPr>
        <w:t>监测元件的完好及保护情况</w:t>
      </w:r>
      <w:r>
        <w:rPr>
          <w:rFonts w:hint="eastAsia" w:ascii="宋体" w:hAnsi="宋体"/>
          <w:szCs w:val="24"/>
          <w:lang w:eastAsia="zh-CN"/>
        </w:rPr>
        <w:t>；</w:t>
      </w:r>
    </w:p>
    <w:p>
      <w:pPr>
        <w:widowControl w:val="0"/>
        <w:spacing w:line="480" w:lineRule="exact"/>
        <w:ind w:firstLine="480" w:firstLineChars="200"/>
        <w:rPr>
          <w:rFonts w:hint="eastAsia" w:ascii="宋体" w:hAnsi="宋体"/>
          <w:szCs w:val="24"/>
        </w:rPr>
      </w:pPr>
      <w:bookmarkStart w:id="841" w:name="_Toc8209"/>
      <w:bookmarkStart w:id="842" w:name="_Toc21782"/>
      <w:r>
        <w:rPr>
          <w:rFonts w:hint="eastAsia" w:ascii="宋体" w:hAnsi="宋体"/>
          <w:szCs w:val="24"/>
          <w:lang w:val="en-US" w:eastAsia="zh-CN"/>
        </w:rPr>
        <w:t xml:space="preserve">4 </w:t>
      </w:r>
      <w:r>
        <w:rPr>
          <w:rFonts w:hint="eastAsia" w:ascii="宋体" w:hAnsi="宋体"/>
          <w:szCs w:val="24"/>
        </w:rPr>
        <w:t>根据设计要求或当地经验确定的其他巡视检查内容。</w:t>
      </w:r>
      <w:bookmarkEnd w:id="841"/>
      <w:bookmarkEnd w:id="842"/>
    </w:p>
    <w:p>
      <w:pPr>
        <w:widowControl w:val="0"/>
        <w:spacing w:line="480" w:lineRule="exact"/>
        <w:rPr>
          <w:szCs w:val="22"/>
        </w:rPr>
      </w:pPr>
      <w:r>
        <w:rPr>
          <w:rFonts w:hint="eastAsia" w:ascii="Times New Roman" w:hAnsi="Times New Roman"/>
          <w:b/>
          <w:color w:val="auto"/>
          <w:lang w:eastAsia="zh-CN"/>
        </w:rPr>
        <w:t>16</w:t>
      </w:r>
      <w:r>
        <w:rPr>
          <w:rFonts w:hint="eastAsia" w:ascii="Times New Roman" w:hAnsi="Times New Roman"/>
          <w:b/>
          <w:color w:val="auto"/>
        </w:rPr>
        <w:t>.1.</w:t>
      </w:r>
      <w:r>
        <w:rPr>
          <w:rFonts w:hint="eastAsia" w:ascii="Times New Roman" w:hAnsi="Times New Roman"/>
          <w:b/>
          <w:color w:val="auto"/>
          <w:lang w:val="en-US" w:eastAsia="zh-CN"/>
        </w:rPr>
        <w:t>9</w:t>
      </w:r>
      <w:r>
        <w:rPr>
          <w:rFonts w:hint="eastAsia" w:ascii="宋体" w:hAnsi="宋体"/>
          <w:color w:val="auto"/>
          <w:szCs w:val="24"/>
        </w:rPr>
        <w:t xml:space="preserve"> </w:t>
      </w:r>
      <w:r>
        <w:rPr>
          <w:rFonts w:hint="eastAsia" w:ascii="宋体" w:hAnsi="宋体"/>
          <w:szCs w:val="24"/>
        </w:rPr>
        <w:t>当基坑位于轨道交通设施、隧道等大型地下设施安全保护区范围内，以及邻近城市生命线工程或附近存在优秀历史建筑和有特殊使用要求的仪器设备厂房时，应按照相关管理部门的要求明确监测项目和报警值。</w:t>
      </w:r>
    </w:p>
    <w:p>
      <w:pPr>
        <w:pStyle w:val="3"/>
        <w:bidi w:val="0"/>
      </w:pPr>
      <w:bookmarkStart w:id="843" w:name="_Toc20459"/>
      <w:bookmarkStart w:id="844" w:name="_Toc27894"/>
      <w:bookmarkStart w:id="845" w:name="_Toc3531"/>
      <w:r>
        <w:rPr>
          <w:rFonts w:hint="eastAsia"/>
          <w:lang w:eastAsia="zh-CN"/>
        </w:rPr>
        <w:t>16</w:t>
      </w:r>
      <w:r>
        <w:t>.2  监测点布置</w:t>
      </w:r>
      <w:bookmarkEnd w:id="843"/>
      <w:bookmarkEnd w:id="844"/>
      <w:bookmarkEnd w:id="845"/>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.2.1</w:t>
      </w:r>
      <w:r>
        <w:rPr>
          <w:rFonts w:ascii="Times New Roman" w:hAnsi="Times New Roman"/>
          <w:szCs w:val="24"/>
        </w:rPr>
        <w:t>监测点布置应根据基坑工程等级、</w:t>
      </w:r>
      <w:r>
        <w:rPr>
          <w:rFonts w:hint="eastAsia" w:ascii="宋体" w:hAnsi="宋体"/>
          <w:color w:val="000000"/>
          <w:szCs w:val="24"/>
        </w:rPr>
        <w:t>环境保护等级</w:t>
      </w:r>
      <w:r>
        <w:rPr>
          <w:rFonts w:hint="eastAsia" w:ascii="Times New Roman" w:hAnsi="Times New Roman"/>
          <w:szCs w:val="24"/>
        </w:rPr>
        <w:t>、</w:t>
      </w:r>
      <w:r>
        <w:rPr>
          <w:rFonts w:ascii="Times New Roman" w:hAnsi="Times New Roman"/>
          <w:szCs w:val="24"/>
        </w:rPr>
        <w:t>地下管线现状、支护体系的类型、基坑形状以及基坑施工方案等因素综合确定。</w:t>
      </w:r>
      <w:r>
        <w:rPr>
          <w:rFonts w:hint="eastAsia" w:ascii="Times New Roman" w:hAnsi="Times New Roman"/>
          <w:szCs w:val="24"/>
        </w:rPr>
        <w:t>监测期间建设方及施工方应协助监测单位保护监测设施。</w:t>
      </w:r>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.2.2</w:t>
      </w:r>
      <w:r>
        <w:rPr>
          <w:rFonts w:ascii="Times New Roman" w:hAnsi="Times New Roman"/>
          <w:szCs w:val="24"/>
        </w:rPr>
        <w:t xml:space="preserve"> 围护墙或基坑边坡顶部的水平位移和竖向位移监测点应沿基坑周边布置，</w:t>
      </w:r>
      <w:r>
        <w:rPr>
          <w:rFonts w:hint="eastAsia" w:ascii="Times New Roman" w:hAnsi="Times New Roman"/>
          <w:szCs w:val="24"/>
        </w:rPr>
        <w:t>基坑周边</w:t>
      </w:r>
      <w:r>
        <w:rPr>
          <w:rFonts w:ascii="Times New Roman" w:hAnsi="Times New Roman"/>
          <w:szCs w:val="24"/>
        </w:rPr>
        <w:t>中部、阳角处应布置监测点，监测点水平间距不宜大于20m，每边监测点数目不宜小于3个。</w:t>
      </w:r>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.2.3</w:t>
      </w:r>
      <w:r>
        <w:rPr>
          <w:rFonts w:ascii="Times New Roman" w:hAnsi="Times New Roman"/>
          <w:szCs w:val="24"/>
        </w:rPr>
        <w:t xml:space="preserve"> 围护墙或土体深层水平位移监测点宜布置在基坑周边中部、阳角处及有代表性的部位，监测点水平间距宜为20m~50m，每边监测点数目不应</w:t>
      </w:r>
      <w:r>
        <w:rPr>
          <w:rFonts w:hint="eastAsia" w:ascii="Times New Roman" w:hAnsi="Times New Roman"/>
          <w:szCs w:val="24"/>
        </w:rPr>
        <w:t>少</w:t>
      </w:r>
      <w:r>
        <w:rPr>
          <w:rFonts w:ascii="Times New Roman" w:hAnsi="Times New Roman"/>
          <w:szCs w:val="24"/>
        </w:rPr>
        <w:t>于1个。</w:t>
      </w:r>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 xml:space="preserve">.2.4 </w:t>
      </w:r>
      <w:r>
        <w:rPr>
          <w:rFonts w:ascii="Times New Roman" w:hAnsi="Times New Roman"/>
          <w:szCs w:val="24"/>
        </w:rPr>
        <w:t>立柱竖向位移监测点宜布置在基坑中部、多根支撑交汇处、地质条件复杂的立柱上，监测点不应少于立柱总根数的5%</w:t>
      </w:r>
      <w:r>
        <w:rPr>
          <w:rFonts w:hint="eastAsia" w:ascii="Times New Roman" w:hAnsi="Times New Roman"/>
          <w:szCs w:val="24"/>
        </w:rPr>
        <w:t>，</w:t>
      </w:r>
      <w:r>
        <w:rPr>
          <w:rFonts w:ascii="Times New Roman" w:hAnsi="Times New Roman"/>
          <w:szCs w:val="24"/>
        </w:rPr>
        <w:t>且均不应少于3根。</w:t>
      </w:r>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.2.5</w:t>
      </w:r>
      <w:r>
        <w:rPr>
          <w:rFonts w:ascii="Times New Roman" w:hAnsi="Times New Roman"/>
          <w:szCs w:val="24"/>
        </w:rPr>
        <w:t xml:space="preserve"> 围护墙内力监测点应布置在受力、变形较大且有代表性的部位，竖向间距宜为2m~4m；支撑内力监测点宜布置在支撑内力较大或在整个支撑系统中起控制作用的杆件上，每层支撑的内力监测点不应少于3个；锚杆的内力监测点应选择在受力较大且具有代表性的位置，每层锚杆的内力监测点数量应为该层锚杆总数的1%~3%，并不应少于3根。</w:t>
      </w:r>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.2.6</w:t>
      </w:r>
      <w:r>
        <w:rPr>
          <w:rFonts w:ascii="Times New Roman" w:hAnsi="Times New Roman"/>
          <w:szCs w:val="24"/>
        </w:rPr>
        <w:t xml:space="preserve"> 坑底隆起（回弹）监测点宜按纵向或剖面布置，同一剖面上监测点横向间距宜为10m~30m，数量不应少于3个。</w:t>
      </w:r>
    </w:p>
    <w:p>
      <w:pPr>
        <w:widowControl w:val="0"/>
        <w:spacing w:line="480" w:lineRule="exact"/>
        <w:rPr>
          <w:rFonts w:ascii="Times New Roman" w:hAnsi="Times New Roman"/>
          <w:szCs w:val="24"/>
        </w:rPr>
      </w:pPr>
      <w:r>
        <w:rPr>
          <w:rFonts w:hint="eastAsia" w:ascii="Times New Roman" w:hAnsi="Times New Roman"/>
          <w:b/>
          <w:lang w:eastAsia="zh-CN"/>
        </w:rPr>
        <w:t>16</w:t>
      </w:r>
      <w:r>
        <w:rPr>
          <w:rFonts w:ascii="Times New Roman" w:hAnsi="Times New Roman"/>
          <w:b/>
        </w:rPr>
        <w:t>.2.7</w:t>
      </w:r>
      <w:r>
        <w:rPr>
          <w:rFonts w:ascii="Times New Roman" w:hAnsi="Times New Roman"/>
          <w:szCs w:val="24"/>
        </w:rPr>
        <w:t xml:space="preserve"> 围护墙侧向土压力监测点应布置在受力、土质条件变化较大或其他有代表性的部位，平面布置上基坑每边不宜少于2个监测点，竖向布置上监测点间距宜为2m~5m，下部宜加密。</w:t>
      </w:r>
    </w:p>
    <w:p>
      <w:pPr>
        <w:widowControl w:val="0"/>
        <w:spacing w:line="480" w:lineRule="exact"/>
        <w:rPr>
          <w:rFonts w:hint="eastAsia" w:ascii="Times New Roman" w:hAnsi="Times New Roman"/>
          <w:szCs w:val="22"/>
        </w:rPr>
      </w:pPr>
      <w:r>
        <w:rPr>
          <w:rFonts w:hint="eastAsia" w:ascii="Times New Roman" w:hAnsi="Times New Roman"/>
          <w:b/>
          <w:lang w:eastAsia="zh-CN"/>
        </w:rPr>
        <w:t>16</w:t>
      </w:r>
      <w:r>
        <w:rPr>
          <w:rFonts w:ascii="Times New Roman" w:hAnsi="Times New Roman"/>
          <w:b/>
        </w:rPr>
        <w:t>.2.8</w:t>
      </w:r>
      <w:r>
        <w:rPr>
          <w:rFonts w:ascii="Times New Roman" w:hAnsi="Times New Roman"/>
          <w:szCs w:val="24"/>
        </w:rPr>
        <w:t xml:space="preserve"> 孔隙水压力监测点宜布置在基坑受力、变形较大或有代表性的部位，竖向布置上监测点宜在水压力变化影响深度范围内按土层分布情况布设，竖向间距宜为2m~5m，数量不宜少于3个。</w:t>
      </w:r>
    </w:p>
    <w:p>
      <w:pPr>
        <w:pStyle w:val="3"/>
        <w:bidi w:val="0"/>
      </w:pPr>
      <w:bookmarkStart w:id="846" w:name="_Toc23761"/>
      <w:bookmarkStart w:id="847" w:name="_Toc32532"/>
      <w:bookmarkStart w:id="848" w:name="_Toc5516"/>
      <w:r>
        <w:rPr>
          <w:rFonts w:hint="eastAsia" w:ascii="Times New Roman" w:hAnsi="Times New Roman"/>
          <w:szCs w:val="22"/>
          <w:lang w:eastAsia="zh-CN"/>
        </w:rPr>
        <w:t>16</w:t>
      </w:r>
      <w:r>
        <w:rPr>
          <w:rFonts w:hint="eastAsia" w:ascii="Times New Roman" w:hAnsi="Times New Roman"/>
          <w:szCs w:val="22"/>
        </w:rPr>
        <w:t>.3</w:t>
      </w:r>
      <w:r>
        <w:rPr>
          <w:rFonts w:hint="eastAsia"/>
        </w:rPr>
        <w:t xml:space="preserve">  监测方法</w:t>
      </w:r>
      <w:bookmarkEnd w:id="846"/>
      <w:bookmarkEnd w:id="847"/>
      <w:bookmarkEnd w:id="848"/>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.3.1</w:t>
      </w:r>
      <w:r>
        <w:rPr>
          <w:rFonts w:hint="eastAsia" w:ascii="宋体" w:hAnsi="宋体"/>
          <w:szCs w:val="24"/>
        </w:rPr>
        <w:t xml:space="preserve"> 基坑工程的现场监测应采用仪器监测与巡视检查相结合的方法。监测方法应综合考虑基坑工程特点、现场条件、设计要求、地区经验和测试方法的适用性等因素确定。</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.3.2</w:t>
      </w:r>
      <w:r>
        <w:rPr>
          <w:rFonts w:hint="eastAsia" w:ascii="宋体" w:hAnsi="宋体"/>
          <w:szCs w:val="24"/>
        </w:rPr>
        <w:t xml:space="preserve"> 同一基坑工程的监测，宜固定观测人员和仪器，并应采用相同的观测方法和观测路线施测。</w:t>
      </w:r>
      <w:r>
        <w:rPr>
          <w:rFonts w:hint="eastAsia" w:ascii="Times New Roman" w:hAnsi="Times New Roman"/>
          <w:szCs w:val="24"/>
        </w:rPr>
        <w:t>在当日监测后应对监测资料分析整理，并提交当日报表及变化曲线；当监测值达到报警值，应及时签发报警通知。</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.3.3</w:t>
      </w:r>
      <w:r>
        <w:rPr>
          <w:rFonts w:hint="eastAsia" w:ascii="宋体" w:hAnsi="宋体"/>
          <w:szCs w:val="24"/>
        </w:rPr>
        <w:t xml:space="preserve"> 变形测量点宜分为基准点、工作基点和变形监测点。对通视条件较好的小型工程，可不设置工作基点。基准点设置应符合下列要求：</w:t>
      </w:r>
    </w:p>
    <w:p>
      <w:pPr>
        <w:widowControl w:val="0"/>
        <w:spacing w:line="480" w:lineRule="exact"/>
        <w:ind w:firstLine="481" w:firstLineChars="200"/>
        <w:rPr>
          <w:rFonts w:ascii="宋体" w:hAnsi="宋体"/>
          <w:szCs w:val="24"/>
        </w:rPr>
      </w:pPr>
      <w:r>
        <w:rPr>
          <w:rFonts w:hint="eastAsia" w:ascii="Times New Roman" w:hAnsi="Times New Roman"/>
          <w:b/>
        </w:rPr>
        <w:t xml:space="preserve">1 </w:t>
      </w:r>
      <w:r>
        <w:rPr>
          <w:rFonts w:hint="eastAsia" w:ascii="宋体" w:hAnsi="宋体"/>
          <w:szCs w:val="24"/>
        </w:rPr>
        <w:t>在施工前埋设，并经观测确定其稳定后，方可投入使用；</w:t>
      </w:r>
    </w:p>
    <w:p>
      <w:pPr>
        <w:widowControl w:val="0"/>
        <w:spacing w:line="480" w:lineRule="exact"/>
        <w:ind w:firstLine="481" w:firstLineChars="200"/>
        <w:rPr>
          <w:rFonts w:ascii="宋体" w:hAnsi="宋体"/>
          <w:szCs w:val="24"/>
        </w:rPr>
      </w:pPr>
      <w:r>
        <w:rPr>
          <w:rFonts w:hint="eastAsia" w:ascii="Times New Roman" w:hAnsi="Times New Roman"/>
          <w:b/>
        </w:rPr>
        <w:t xml:space="preserve">2 </w:t>
      </w:r>
      <w:r>
        <w:rPr>
          <w:rFonts w:hint="eastAsia" w:ascii="宋体" w:hAnsi="宋体"/>
          <w:szCs w:val="24"/>
        </w:rPr>
        <w:t>在施工场地影响范围外设置，不宜少于</w:t>
      </w:r>
      <w:r>
        <w:rPr>
          <w:rFonts w:hint="eastAsia" w:ascii="Times New Roman" w:hAnsi="Times New Roman"/>
        </w:rPr>
        <w:t>3</w:t>
      </w:r>
      <w:r>
        <w:rPr>
          <w:rFonts w:hint="eastAsia" w:ascii="宋体" w:hAnsi="宋体"/>
          <w:szCs w:val="24"/>
        </w:rPr>
        <w:t>个；</w:t>
      </w:r>
    </w:p>
    <w:p>
      <w:pPr>
        <w:widowControl w:val="0"/>
        <w:spacing w:line="480" w:lineRule="exact"/>
        <w:ind w:firstLine="481" w:firstLineChars="200"/>
        <w:rPr>
          <w:rFonts w:ascii="宋体" w:hAnsi="宋体"/>
          <w:szCs w:val="24"/>
        </w:rPr>
      </w:pPr>
      <w:r>
        <w:rPr>
          <w:rFonts w:hint="eastAsia" w:ascii="Times New Roman" w:hAnsi="Times New Roman"/>
          <w:b/>
        </w:rPr>
        <w:t xml:space="preserve">3 </w:t>
      </w:r>
      <w:r>
        <w:rPr>
          <w:rFonts w:hint="eastAsia" w:ascii="宋体" w:hAnsi="宋体"/>
          <w:szCs w:val="24"/>
        </w:rPr>
        <w:t>监测期间应定期联测，检验其稳定性；</w:t>
      </w:r>
    </w:p>
    <w:p>
      <w:pPr>
        <w:widowControl w:val="0"/>
        <w:spacing w:line="480" w:lineRule="exact"/>
        <w:ind w:firstLine="481" w:firstLineChars="200"/>
        <w:rPr>
          <w:rFonts w:ascii="宋体" w:hAnsi="宋体"/>
          <w:szCs w:val="24"/>
        </w:rPr>
      </w:pPr>
      <w:r>
        <w:rPr>
          <w:rFonts w:hint="eastAsia" w:ascii="Times New Roman" w:hAnsi="Times New Roman"/>
          <w:b/>
        </w:rPr>
        <w:t xml:space="preserve">4 </w:t>
      </w:r>
      <w:r>
        <w:rPr>
          <w:rFonts w:hint="eastAsia" w:ascii="宋体" w:hAnsi="宋体"/>
          <w:szCs w:val="24"/>
        </w:rPr>
        <w:t>整个监测期间应采取有效措施，确保正常使用。</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.3.4</w:t>
      </w:r>
      <w:r>
        <w:rPr>
          <w:rFonts w:hint="eastAsia" w:ascii="宋体" w:hAnsi="宋体"/>
          <w:szCs w:val="24"/>
        </w:rPr>
        <w:t xml:space="preserve"> 监测仪器和元件应符合</w:t>
      </w:r>
      <w:r>
        <w:rPr>
          <w:rFonts w:hint="eastAsia" w:ascii="宋体" w:hAnsi="宋体"/>
          <w:szCs w:val="24"/>
          <w:lang w:val="en-US" w:eastAsia="zh-CN"/>
        </w:rPr>
        <w:t>下列</w:t>
      </w:r>
      <w:r>
        <w:rPr>
          <w:rFonts w:hint="eastAsia" w:ascii="宋体" w:hAnsi="宋体"/>
          <w:szCs w:val="24"/>
        </w:rPr>
        <w:t>要求：</w:t>
      </w:r>
    </w:p>
    <w:p>
      <w:pPr>
        <w:widowControl w:val="0"/>
        <w:spacing w:line="480" w:lineRule="exact"/>
        <w:ind w:firstLine="481" w:firstLineChars="200"/>
        <w:rPr>
          <w:rFonts w:ascii="宋体" w:hAnsi="宋体"/>
          <w:szCs w:val="24"/>
        </w:rPr>
      </w:pPr>
      <w:r>
        <w:rPr>
          <w:rFonts w:hint="eastAsia" w:ascii="Times New Roman" w:hAnsi="Times New Roman"/>
          <w:b/>
        </w:rPr>
        <w:t>1</w:t>
      </w:r>
      <w:r>
        <w:rPr>
          <w:rFonts w:hint="eastAsia" w:ascii="宋体" w:hAnsi="宋体"/>
          <w:szCs w:val="24"/>
        </w:rPr>
        <w:t xml:space="preserve"> 监测仪器除了灵敏度和精度满足设计要求以外，必须有良好的稳定性和可靠度；</w:t>
      </w:r>
    </w:p>
    <w:p>
      <w:pPr>
        <w:widowControl w:val="0"/>
        <w:spacing w:line="480" w:lineRule="exact"/>
        <w:ind w:firstLine="481" w:firstLineChars="200"/>
        <w:rPr>
          <w:rFonts w:ascii="Times New Roman" w:hAnsi="Times New Roman"/>
          <w:b/>
        </w:rPr>
      </w:pPr>
      <w:r>
        <w:rPr>
          <w:rFonts w:hint="eastAsia" w:ascii="Times New Roman" w:hAnsi="Times New Roman"/>
          <w:b/>
        </w:rPr>
        <w:t xml:space="preserve">2 </w:t>
      </w:r>
      <w:r>
        <w:rPr>
          <w:rFonts w:hint="eastAsia" w:ascii="Times New Roman" w:hAnsi="Times New Roman"/>
        </w:rPr>
        <w:t>孔隙水压力计、土压力计和支撑轴力计等监测元件在埋设安装前应进行标定</w:t>
      </w:r>
      <w:r>
        <w:rPr>
          <w:rFonts w:hint="eastAsia" w:ascii="Times New Roman" w:hAnsi="Times New Roman"/>
          <w:b/>
        </w:rPr>
        <w:t>；</w:t>
      </w:r>
    </w:p>
    <w:p>
      <w:pPr>
        <w:widowControl w:val="0"/>
        <w:spacing w:line="480" w:lineRule="exact"/>
        <w:ind w:firstLine="481" w:firstLineChars="200"/>
        <w:rPr>
          <w:rFonts w:ascii="宋体" w:hAnsi="宋体"/>
          <w:szCs w:val="24"/>
        </w:rPr>
      </w:pPr>
      <w:r>
        <w:rPr>
          <w:rFonts w:hint="eastAsia" w:ascii="Times New Roman" w:hAnsi="Times New Roman"/>
          <w:b/>
        </w:rPr>
        <w:t>3</w:t>
      </w:r>
      <w:r>
        <w:rPr>
          <w:rFonts w:hint="eastAsia" w:ascii="宋体" w:hAnsi="宋体"/>
          <w:szCs w:val="24"/>
        </w:rPr>
        <w:t xml:space="preserve"> 现场使用的监测仪器、监测元件应有计量部门颁发的质量合格证书和质保书，监测仪器应按规定定期校验。</w:t>
      </w:r>
    </w:p>
    <w:p>
      <w:pPr>
        <w:widowControl w:val="0"/>
        <w:spacing w:line="480" w:lineRule="exact"/>
        <w:rPr>
          <w:rFonts w:hint="eastAsia" w:ascii="宋体" w:hAnsi="宋体"/>
          <w:szCs w:val="24"/>
        </w:rPr>
      </w:pPr>
      <w:r>
        <w:rPr>
          <w:rFonts w:hint="eastAsia" w:ascii="Times New Roman" w:hAnsi="Times New Roman"/>
          <w:b/>
          <w:lang w:eastAsia="zh-CN"/>
        </w:rPr>
        <w:t>16</w:t>
      </w:r>
      <w:r>
        <w:rPr>
          <w:rFonts w:hint="eastAsia" w:ascii="Times New Roman" w:hAnsi="Times New Roman"/>
          <w:b/>
        </w:rPr>
        <w:t>.3.5</w:t>
      </w:r>
      <w:r>
        <w:rPr>
          <w:rFonts w:hint="eastAsia" w:ascii="宋体" w:hAnsi="宋体"/>
          <w:szCs w:val="24"/>
        </w:rPr>
        <w:t>巡视检查应对自然条件、支护结构、施工工况、周边环境、监测设施等的检查情况进行详细记录，必要时应有巡查照片；如发现异常，应及时通知建设方及相关单位。</w:t>
      </w:r>
    </w:p>
    <w:p>
      <w:pPr>
        <w:widowControl w:val="0"/>
        <w:spacing w:line="480" w:lineRule="exact"/>
        <w:rPr>
          <w:rFonts w:hint="eastAsia" w:ascii="宋体" w:hAnsi="宋体"/>
          <w:szCs w:val="24"/>
        </w:rPr>
      </w:pPr>
      <w:r>
        <w:rPr>
          <w:rFonts w:hint="eastAsia" w:ascii="Times New Roman" w:hAnsi="Times New Roman"/>
          <w:b/>
          <w:lang w:eastAsia="zh-CN"/>
        </w:rPr>
        <w:t>16</w:t>
      </w:r>
      <w:r>
        <w:rPr>
          <w:rFonts w:hint="eastAsia" w:ascii="Times New Roman" w:hAnsi="Times New Roman"/>
          <w:b/>
        </w:rPr>
        <w:t>.3.6</w:t>
      </w:r>
      <w:r>
        <w:rPr>
          <w:rFonts w:hint="eastAsia" w:ascii="宋体" w:hAnsi="宋体"/>
          <w:szCs w:val="24"/>
        </w:rPr>
        <w:t>巡视检查记录应及时整理，并与监测数据综合分析。</w:t>
      </w:r>
    </w:p>
    <w:p>
      <w:pPr>
        <w:pStyle w:val="3"/>
        <w:bidi w:val="0"/>
      </w:pPr>
      <w:bookmarkStart w:id="849" w:name="_Toc17577"/>
      <w:bookmarkStart w:id="850" w:name="_Toc6413"/>
      <w:bookmarkStart w:id="851" w:name="_Toc28205"/>
      <w:r>
        <w:rPr>
          <w:rFonts w:hint="eastAsia"/>
          <w:lang w:eastAsia="zh-CN"/>
        </w:rPr>
        <w:t>16</w:t>
      </w:r>
      <w:r>
        <w:rPr>
          <w:rFonts w:hint="eastAsia"/>
        </w:rPr>
        <w:t>.4  报警值</w:t>
      </w:r>
      <w:bookmarkEnd w:id="849"/>
      <w:bookmarkEnd w:id="850"/>
      <w:bookmarkEnd w:id="851"/>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.4.1</w:t>
      </w:r>
      <w:r>
        <w:rPr>
          <w:rFonts w:hint="eastAsia" w:ascii="宋体" w:hAnsi="宋体"/>
          <w:szCs w:val="24"/>
        </w:rPr>
        <w:t>基坑工程监测必须确定监测报警值，监测报警值应根据基坑工程设计、地下主体结构设计以及周边环境中被保护对象对变形的敏感度确定。</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.4.2 </w:t>
      </w:r>
      <w:r>
        <w:rPr>
          <w:rFonts w:hint="eastAsia" w:ascii="宋体" w:hAnsi="宋体"/>
          <w:szCs w:val="24"/>
        </w:rPr>
        <w:t>基坑工程监测报警值应以监测项目的累计变化量和变化速率两个值控制。</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.4.3 </w:t>
      </w:r>
      <w:r>
        <w:rPr>
          <w:rFonts w:hint="eastAsia" w:ascii="宋体" w:hAnsi="宋体"/>
          <w:szCs w:val="24"/>
        </w:rPr>
        <w:t>基坑支护体系监测项目的报警值应满足设计要求，当设计无明确要求时，可参考表</w:t>
      </w:r>
      <w:r>
        <w:rPr>
          <w:rFonts w:hint="eastAsia" w:ascii="Times New Roman" w:hAnsi="Times New Roman"/>
          <w:lang w:eastAsia="zh-CN"/>
        </w:rPr>
        <w:t>16</w:t>
      </w:r>
      <w:r>
        <w:rPr>
          <w:rFonts w:hint="eastAsia" w:ascii="Times New Roman" w:hAnsi="Times New Roman"/>
        </w:rPr>
        <w:t>.4.3</w:t>
      </w:r>
      <w:r>
        <w:rPr>
          <w:rFonts w:hint="eastAsia" w:ascii="宋体" w:hAnsi="宋体"/>
          <w:szCs w:val="24"/>
        </w:rPr>
        <w:t>采用。</w:t>
      </w:r>
    </w:p>
    <w:p>
      <w:pPr>
        <w:widowControl w:val="0"/>
        <w:spacing w:line="480" w:lineRule="exact"/>
        <w:jc w:val="center"/>
        <w:rPr>
          <w:rFonts w:hint="eastAsia" w:ascii="宋体" w:hAnsi="宋体"/>
          <w:szCs w:val="24"/>
        </w:rPr>
      </w:pPr>
      <w:r>
        <w:rPr>
          <w:rFonts w:hint="eastAsia" w:ascii="宋体" w:hAnsi="宋体"/>
          <w:b/>
          <w:bCs/>
          <w:szCs w:val="24"/>
        </w:rPr>
        <w:t>表</w:t>
      </w:r>
      <w:r>
        <w:rPr>
          <w:rFonts w:hint="eastAsia" w:ascii="宋体" w:hAnsi="宋体"/>
          <w:b/>
          <w:bCs/>
          <w:szCs w:val="24"/>
          <w:lang w:eastAsia="zh-CN"/>
        </w:rPr>
        <w:t>16</w:t>
      </w:r>
      <w:r>
        <w:rPr>
          <w:rFonts w:hint="eastAsia" w:ascii="宋体" w:hAnsi="宋体"/>
          <w:b/>
          <w:bCs/>
          <w:szCs w:val="24"/>
        </w:rPr>
        <w:t>.4.3根据基坑工程安全等级确定的报警值</w:t>
      </w:r>
    </w:p>
    <w:p>
      <w:pPr>
        <w:bidi w:val="0"/>
        <w:jc w:val="center"/>
        <w:rPr>
          <w:rFonts w:hint="eastAsia" w:eastAsia="宋体"/>
          <w:b/>
          <w:bCs/>
          <w:lang w:eastAsia="zh-CN"/>
        </w:rPr>
      </w:pPr>
    </w:p>
    <w:tbl>
      <w:tblPr>
        <w:tblStyle w:val="3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1059"/>
        <w:gridCol w:w="1195"/>
        <w:gridCol w:w="1059"/>
        <w:gridCol w:w="1061"/>
        <w:gridCol w:w="1095"/>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17" w:type="dxa"/>
            <w:vMerge w:val="restart"/>
            <w:tcBorders>
              <w:tl2br w:val="single" w:color="auto" w:sz="4" w:space="0"/>
            </w:tcBorders>
            <w:vAlign w:val="center"/>
          </w:tcPr>
          <w:p>
            <w:pPr>
              <w:widowControl w:val="0"/>
              <w:ind w:left="975" w:leftChars="100" w:hanging="735" w:hangingChars="350"/>
              <w:jc w:val="center"/>
              <w:rPr>
                <w:rFonts w:ascii="Times New Roman" w:hAnsi="Times New Roman"/>
                <w:sz w:val="21"/>
                <w:szCs w:val="21"/>
              </w:rPr>
            </w:pPr>
            <w:r>
              <w:rPr>
                <w:rFonts w:hint="eastAsia" w:ascii="Times New Roman" w:hAnsi="Times New Roman"/>
                <w:sz w:val="21"/>
                <w:szCs w:val="21"/>
              </w:rPr>
              <w:t xml:space="preserve">    基坑工程安全</w:t>
            </w:r>
          </w:p>
          <w:p>
            <w:pPr>
              <w:widowControl w:val="0"/>
              <w:ind w:left="1080" w:leftChars="450"/>
              <w:jc w:val="center"/>
              <w:rPr>
                <w:rFonts w:ascii="Times New Roman" w:hAnsi="Times New Roman"/>
                <w:sz w:val="21"/>
                <w:szCs w:val="21"/>
              </w:rPr>
            </w:pPr>
            <w:r>
              <w:rPr>
                <w:rFonts w:hint="eastAsia" w:ascii="Times New Roman" w:hAnsi="Times New Roman"/>
                <w:sz w:val="21"/>
                <w:szCs w:val="21"/>
              </w:rPr>
              <w:t>等级</w:t>
            </w:r>
          </w:p>
          <w:p>
            <w:pPr>
              <w:widowControl w:val="0"/>
              <w:ind w:firstLine="210" w:firstLineChars="100"/>
              <w:rPr>
                <w:rFonts w:ascii="Times New Roman" w:hAnsi="Times New Roman"/>
                <w:sz w:val="21"/>
                <w:szCs w:val="21"/>
              </w:rPr>
            </w:pPr>
            <w:r>
              <w:rPr>
                <w:rFonts w:hint="eastAsia" w:ascii="Times New Roman" w:hAnsi="Times New Roman"/>
                <w:sz w:val="21"/>
                <w:szCs w:val="21"/>
              </w:rPr>
              <w:t>监测项目</w:t>
            </w:r>
          </w:p>
        </w:tc>
        <w:tc>
          <w:tcPr>
            <w:tcW w:w="2254"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一级</w:t>
            </w:r>
          </w:p>
        </w:tc>
        <w:tc>
          <w:tcPr>
            <w:tcW w:w="2120"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二级</w:t>
            </w:r>
          </w:p>
        </w:tc>
        <w:tc>
          <w:tcPr>
            <w:tcW w:w="2067" w:type="dxa"/>
            <w:gridSpan w:val="2"/>
            <w:vAlign w:val="center"/>
          </w:tcPr>
          <w:p>
            <w:pPr>
              <w:widowControl w:val="0"/>
              <w:jc w:val="center"/>
              <w:rPr>
                <w:rFonts w:ascii="Times New Roman" w:hAnsi="Times New Roman"/>
                <w:sz w:val="21"/>
                <w:szCs w:val="21"/>
              </w:rPr>
            </w:pPr>
            <w:r>
              <w:rPr>
                <w:rFonts w:hint="eastAsia"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517" w:type="dxa"/>
            <w:vMerge w:val="continue"/>
            <w:vAlign w:val="center"/>
          </w:tcPr>
          <w:p>
            <w:pPr>
              <w:widowControl w:val="0"/>
              <w:jc w:val="center"/>
              <w:rPr>
                <w:rFonts w:ascii="Times New Roman" w:hAnsi="Times New Roman"/>
                <w:sz w:val="21"/>
                <w:szCs w:val="21"/>
              </w:rPr>
            </w:pPr>
          </w:p>
        </w:tc>
        <w:tc>
          <w:tcPr>
            <w:tcW w:w="1059" w:type="dxa"/>
            <w:vAlign w:val="center"/>
          </w:tcPr>
          <w:p>
            <w:pPr>
              <w:widowControl w:val="0"/>
              <w:jc w:val="center"/>
              <w:rPr>
                <w:rFonts w:ascii="Times New Roman" w:hAnsi="Times New Roman"/>
                <w:sz w:val="21"/>
                <w:szCs w:val="21"/>
              </w:rPr>
            </w:pPr>
            <w:r>
              <w:rPr>
                <w:rFonts w:hint="eastAsia" w:ascii="Times New Roman" w:hAnsi="Times New Roman"/>
                <w:sz w:val="21"/>
                <w:szCs w:val="21"/>
              </w:rPr>
              <w:t>变化速率</w:t>
            </w:r>
          </w:p>
          <w:p>
            <w:pPr>
              <w:widowControl w:val="0"/>
              <w:jc w:val="center"/>
              <w:rPr>
                <w:rFonts w:ascii="Times New Roman" w:hAnsi="Times New Roman"/>
                <w:sz w:val="21"/>
                <w:szCs w:val="21"/>
              </w:rPr>
            </w:pPr>
            <w:r>
              <w:rPr>
                <w:rFonts w:hint="eastAsia" w:ascii="Times New Roman" w:hAnsi="Times New Roman"/>
                <w:sz w:val="21"/>
                <w:szCs w:val="21"/>
              </w:rPr>
              <w:t>（mm/d）</w:t>
            </w:r>
          </w:p>
        </w:tc>
        <w:tc>
          <w:tcPr>
            <w:tcW w:w="1195" w:type="dxa"/>
            <w:vAlign w:val="center"/>
          </w:tcPr>
          <w:p>
            <w:pPr>
              <w:widowControl w:val="0"/>
              <w:jc w:val="center"/>
              <w:rPr>
                <w:rFonts w:ascii="Times New Roman" w:hAnsi="Times New Roman"/>
                <w:sz w:val="21"/>
                <w:szCs w:val="21"/>
              </w:rPr>
            </w:pPr>
            <w:r>
              <w:rPr>
                <w:rFonts w:hint="eastAsia" w:ascii="Times New Roman" w:hAnsi="Times New Roman"/>
                <w:sz w:val="21"/>
                <w:szCs w:val="21"/>
              </w:rPr>
              <w:t>累计值</w:t>
            </w:r>
          </w:p>
          <w:p>
            <w:pPr>
              <w:widowControl w:val="0"/>
              <w:jc w:val="center"/>
              <w:rPr>
                <w:rFonts w:ascii="Times New Roman" w:hAnsi="Times New Roman"/>
                <w:sz w:val="21"/>
                <w:szCs w:val="21"/>
              </w:rPr>
            </w:pPr>
            <w:r>
              <w:rPr>
                <w:rFonts w:hint="eastAsia" w:ascii="Times New Roman" w:hAnsi="Times New Roman"/>
                <w:sz w:val="21"/>
                <w:szCs w:val="21"/>
              </w:rPr>
              <w:t>(mm)</w:t>
            </w:r>
          </w:p>
        </w:tc>
        <w:tc>
          <w:tcPr>
            <w:tcW w:w="1059" w:type="dxa"/>
            <w:vAlign w:val="center"/>
          </w:tcPr>
          <w:p>
            <w:pPr>
              <w:widowControl w:val="0"/>
              <w:jc w:val="center"/>
              <w:rPr>
                <w:rFonts w:ascii="Times New Roman" w:hAnsi="Times New Roman"/>
                <w:sz w:val="21"/>
                <w:szCs w:val="21"/>
              </w:rPr>
            </w:pPr>
            <w:r>
              <w:rPr>
                <w:rFonts w:hint="eastAsia" w:ascii="Times New Roman" w:hAnsi="Times New Roman"/>
                <w:sz w:val="21"/>
                <w:szCs w:val="21"/>
              </w:rPr>
              <w:t>变化速率</w:t>
            </w:r>
          </w:p>
          <w:p>
            <w:pPr>
              <w:widowControl w:val="0"/>
              <w:jc w:val="center"/>
              <w:rPr>
                <w:rFonts w:ascii="Times New Roman" w:hAnsi="Times New Roman"/>
                <w:sz w:val="21"/>
                <w:szCs w:val="21"/>
              </w:rPr>
            </w:pPr>
            <w:r>
              <w:rPr>
                <w:rFonts w:hint="eastAsia" w:ascii="Times New Roman" w:hAnsi="Times New Roman"/>
                <w:sz w:val="21"/>
                <w:szCs w:val="21"/>
              </w:rPr>
              <w:t>（mm/d）</w:t>
            </w:r>
          </w:p>
        </w:tc>
        <w:tc>
          <w:tcPr>
            <w:tcW w:w="1061" w:type="dxa"/>
            <w:vAlign w:val="center"/>
          </w:tcPr>
          <w:p>
            <w:pPr>
              <w:widowControl w:val="0"/>
              <w:jc w:val="center"/>
              <w:rPr>
                <w:rFonts w:ascii="Times New Roman" w:hAnsi="Times New Roman"/>
                <w:sz w:val="21"/>
                <w:szCs w:val="21"/>
              </w:rPr>
            </w:pPr>
            <w:r>
              <w:rPr>
                <w:rFonts w:hint="eastAsia" w:ascii="Times New Roman" w:hAnsi="Times New Roman"/>
                <w:sz w:val="21"/>
                <w:szCs w:val="21"/>
              </w:rPr>
              <w:t>累计值</w:t>
            </w:r>
          </w:p>
          <w:p>
            <w:pPr>
              <w:widowControl w:val="0"/>
              <w:jc w:val="center"/>
              <w:rPr>
                <w:rFonts w:ascii="Times New Roman" w:hAnsi="Times New Roman"/>
                <w:sz w:val="21"/>
                <w:szCs w:val="21"/>
              </w:rPr>
            </w:pPr>
            <w:r>
              <w:rPr>
                <w:rFonts w:hint="eastAsia" w:ascii="Times New Roman" w:hAnsi="Times New Roman"/>
                <w:sz w:val="21"/>
                <w:szCs w:val="21"/>
              </w:rPr>
              <w:t>（mm）</w:t>
            </w:r>
          </w:p>
        </w:tc>
        <w:tc>
          <w:tcPr>
            <w:tcW w:w="1095" w:type="dxa"/>
            <w:vAlign w:val="center"/>
          </w:tcPr>
          <w:p>
            <w:pPr>
              <w:widowControl w:val="0"/>
              <w:jc w:val="center"/>
              <w:rPr>
                <w:rFonts w:ascii="Times New Roman" w:hAnsi="Times New Roman"/>
                <w:sz w:val="21"/>
                <w:szCs w:val="21"/>
              </w:rPr>
            </w:pPr>
            <w:r>
              <w:rPr>
                <w:rFonts w:hint="eastAsia" w:ascii="Times New Roman" w:hAnsi="Times New Roman"/>
                <w:sz w:val="21"/>
                <w:szCs w:val="21"/>
              </w:rPr>
              <w:t>变化速率</w:t>
            </w:r>
          </w:p>
          <w:p>
            <w:pPr>
              <w:widowControl w:val="0"/>
              <w:jc w:val="center"/>
              <w:rPr>
                <w:rFonts w:ascii="Times New Roman" w:hAnsi="Times New Roman"/>
                <w:sz w:val="21"/>
                <w:szCs w:val="21"/>
              </w:rPr>
            </w:pPr>
            <w:r>
              <w:rPr>
                <w:rFonts w:hint="eastAsia" w:ascii="Times New Roman" w:hAnsi="Times New Roman"/>
                <w:sz w:val="21"/>
                <w:szCs w:val="21"/>
              </w:rPr>
              <w:t>（mm/d）</w:t>
            </w:r>
          </w:p>
        </w:tc>
        <w:tc>
          <w:tcPr>
            <w:tcW w:w="972" w:type="dxa"/>
            <w:vAlign w:val="center"/>
          </w:tcPr>
          <w:p>
            <w:pPr>
              <w:widowControl w:val="0"/>
              <w:jc w:val="center"/>
              <w:rPr>
                <w:rFonts w:ascii="Times New Roman" w:hAnsi="Times New Roman"/>
                <w:sz w:val="21"/>
                <w:szCs w:val="21"/>
              </w:rPr>
            </w:pPr>
            <w:r>
              <w:rPr>
                <w:rFonts w:hint="eastAsia" w:ascii="Times New Roman" w:hAnsi="Times New Roman"/>
                <w:sz w:val="21"/>
                <w:szCs w:val="21"/>
              </w:rPr>
              <w:t>累计值</w:t>
            </w:r>
          </w:p>
          <w:p>
            <w:pPr>
              <w:widowControl w:val="0"/>
              <w:jc w:val="center"/>
              <w:rPr>
                <w:rFonts w:ascii="Times New Roman" w:hAnsi="Times New Roman"/>
                <w:sz w:val="21"/>
                <w:szCs w:val="21"/>
              </w:rPr>
            </w:pPr>
            <w:r>
              <w:rPr>
                <w:rFonts w:hint="eastAsia" w:ascii="Times New Roman" w:hAnsi="Times New Roman"/>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2517" w:type="dxa"/>
            <w:vAlign w:val="center"/>
          </w:tcPr>
          <w:p>
            <w:pPr>
              <w:widowControl w:val="0"/>
              <w:jc w:val="center"/>
              <w:rPr>
                <w:rFonts w:ascii="Times New Roman" w:hAnsi="Times New Roman"/>
                <w:sz w:val="21"/>
                <w:szCs w:val="21"/>
              </w:rPr>
            </w:pPr>
            <w:r>
              <w:rPr>
                <w:rFonts w:hint="eastAsia" w:ascii="Times New Roman" w:hAnsi="Times New Roman"/>
                <w:sz w:val="21"/>
                <w:szCs w:val="21"/>
              </w:rPr>
              <w:t>围护</w:t>
            </w:r>
            <w:r>
              <w:rPr>
                <w:rFonts w:hint="eastAsia" w:ascii="Times New Roman" w:hAnsi="Times New Roman"/>
                <w:sz w:val="21"/>
                <w:szCs w:val="21"/>
                <w:lang w:val="en-US" w:eastAsia="zh-CN"/>
              </w:rPr>
              <w:t>结构</w:t>
            </w:r>
            <w:r>
              <w:rPr>
                <w:rFonts w:hint="eastAsia" w:ascii="Times New Roman" w:hAnsi="Times New Roman"/>
                <w:sz w:val="21"/>
                <w:szCs w:val="21"/>
              </w:rPr>
              <w:t>侧向最大位移</w:t>
            </w:r>
          </w:p>
        </w:tc>
        <w:tc>
          <w:tcPr>
            <w:tcW w:w="1059" w:type="dxa"/>
            <w:vAlign w:val="center"/>
          </w:tcPr>
          <w:p>
            <w:pPr>
              <w:widowControl w:val="0"/>
              <w:jc w:val="center"/>
              <w:rPr>
                <w:rFonts w:ascii="Times New Roman" w:hAnsi="Times New Roman"/>
                <w:sz w:val="21"/>
                <w:szCs w:val="21"/>
              </w:rPr>
            </w:pPr>
            <w:r>
              <w:rPr>
                <w:rFonts w:ascii="Times New Roman" w:hAnsi="Times New Roman"/>
                <w:sz w:val="21"/>
                <w:szCs w:val="21"/>
              </w:rPr>
              <w:t>2～4</w:t>
            </w:r>
          </w:p>
        </w:tc>
        <w:tc>
          <w:tcPr>
            <w:tcW w:w="1195" w:type="dxa"/>
            <w:vAlign w:val="center"/>
          </w:tcPr>
          <w:p>
            <w:pPr>
              <w:widowControl w:val="0"/>
              <w:jc w:val="center"/>
              <w:rPr>
                <w:rFonts w:hint="default" w:ascii="Times New Roman" w:hAnsi="Times New Roman" w:eastAsia="宋体"/>
                <w:i/>
                <w:sz w:val="21"/>
                <w:szCs w:val="21"/>
                <w:lang w:val="en-US" w:eastAsia="zh-CN"/>
              </w:rPr>
            </w:pPr>
            <w:r>
              <w:rPr>
                <w:rFonts w:ascii="Times New Roman" w:hAnsi="Times New Roman"/>
                <w:sz w:val="21"/>
                <w:szCs w:val="21"/>
              </w:rPr>
              <w:t>0.4%</w:t>
            </w:r>
            <w:r>
              <w:rPr>
                <w:rFonts w:ascii="Times New Roman" w:hAnsi="Times New Roman"/>
                <w:i/>
                <w:sz w:val="21"/>
                <w:szCs w:val="21"/>
              </w:rPr>
              <w:t>H</w:t>
            </w:r>
          </w:p>
        </w:tc>
        <w:tc>
          <w:tcPr>
            <w:tcW w:w="1059" w:type="dxa"/>
            <w:vAlign w:val="center"/>
          </w:tcPr>
          <w:p>
            <w:pPr>
              <w:widowControl w:val="0"/>
              <w:jc w:val="center"/>
              <w:rPr>
                <w:rFonts w:ascii="Times New Roman" w:hAnsi="Times New Roman"/>
                <w:sz w:val="21"/>
                <w:szCs w:val="21"/>
              </w:rPr>
            </w:pPr>
            <w:r>
              <w:rPr>
                <w:rFonts w:ascii="Times New Roman" w:hAnsi="Times New Roman"/>
                <w:sz w:val="21"/>
                <w:szCs w:val="21"/>
              </w:rPr>
              <w:t>3</w:t>
            </w:r>
            <w:r>
              <w:rPr>
                <w:rFonts w:hint="eastAsia" w:ascii="Times New Roman" w:hAnsi="Times New Roman"/>
                <w:sz w:val="21"/>
                <w:szCs w:val="21"/>
              </w:rPr>
              <w:t>～</w:t>
            </w:r>
            <w:r>
              <w:rPr>
                <w:rFonts w:ascii="Times New Roman" w:hAnsi="Times New Roman"/>
                <w:sz w:val="21"/>
                <w:szCs w:val="21"/>
              </w:rPr>
              <w:t>5</w:t>
            </w:r>
          </w:p>
        </w:tc>
        <w:tc>
          <w:tcPr>
            <w:tcW w:w="1061" w:type="dxa"/>
            <w:vAlign w:val="center"/>
          </w:tcPr>
          <w:p>
            <w:pPr>
              <w:widowControl w:val="0"/>
              <w:jc w:val="center"/>
              <w:rPr>
                <w:rFonts w:ascii="Times New Roman" w:hAnsi="Times New Roman"/>
                <w:i/>
                <w:sz w:val="21"/>
                <w:szCs w:val="21"/>
              </w:rPr>
            </w:pPr>
            <w:r>
              <w:rPr>
                <w:rFonts w:ascii="Times New Roman" w:hAnsi="Times New Roman"/>
                <w:sz w:val="21"/>
                <w:szCs w:val="21"/>
              </w:rPr>
              <w:t>0.6%</w:t>
            </w:r>
            <w:r>
              <w:rPr>
                <w:rFonts w:ascii="Times New Roman" w:hAnsi="Times New Roman"/>
                <w:i/>
                <w:sz w:val="21"/>
                <w:szCs w:val="21"/>
              </w:rPr>
              <w:t>H</w:t>
            </w:r>
          </w:p>
        </w:tc>
        <w:tc>
          <w:tcPr>
            <w:tcW w:w="1095" w:type="dxa"/>
            <w:vAlign w:val="center"/>
          </w:tcPr>
          <w:p>
            <w:pPr>
              <w:widowControl w:val="0"/>
              <w:jc w:val="center"/>
              <w:rPr>
                <w:rFonts w:ascii="Times New Roman" w:hAnsi="Times New Roman"/>
                <w:sz w:val="21"/>
                <w:szCs w:val="21"/>
              </w:rPr>
            </w:pPr>
            <w:r>
              <w:rPr>
                <w:rFonts w:ascii="Times New Roman" w:hAnsi="Times New Roman"/>
                <w:sz w:val="21"/>
                <w:szCs w:val="21"/>
              </w:rPr>
              <w:t>3～5</w:t>
            </w:r>
          </w:p>
        </w:tc>
        <w:tc>
          <w:tcPr>
            <w:tcW w:w="972" w:type="dxa"/>
            <w:vAlign w:val="center"/>
          </w:tcPr>
          <w:p>
            <w:pPr>
              <w:widowControl w:val="0"/>
              <w:jc w:val="center"/>
              <w:rPr>
                <w:rFonts w:ascii="Times New Roman" w:hAnsi="Times New Roman"/>
                <w:i/>
                <w:sz w:val="21"/>
                <w:szCs w:val="21"/>
              </w:rPr>
            </w:pPr>
            <w:r>
              <w:rPr>
                <w:rFonts w:ascii="Times New Roman" w:hAnsi="Times New Roman"/>
                <w:sz w:val="21"/>
                <w:szCs w:val="21"/>
              </w:rPr>
              <w:t>0.8%</w:t>
            </w:r>
            <w:r>
              <w:rPr>
                <w:rFonts w:ascii="Times New Roman" w:hAnsi="Times New Roman"/>
                <w:i/>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517" w:type="dxa"/>
            <w:vAlign w:val="center"/>
          </w:tcPr>
          <w:p>
            <w:pPr>
              <w:widowControl w:val="0"/>
              <w:jc w:val="center"/>
              <w:rPr>
                <w:rFonts w:ascii="Times New Roman" w:hAnsi="Times New Roman"/>
                <w:sz w:val="21"/>
                <w:szCs w:val="21"/>
              </w:rPr>
            </w:pPr>
            <w:r>
              <w:rPr>
                <w:rFonts w:hint="eastAsia" w:ascii="Times New Roman" w:hAnsi="Times New Roman"/>
                <w:sz w:val="21"/>
                <w:szCs w:val="21"/>
              </w:rPr>
              <w:t>支撑轴力</w:t>
            </w:r>
          </w:p>
        </w:tc>
        <w:tc>
          <w:tcPr>
            <w:tcW w:w="6441" w:type="dxa"/>
            <w:gridSpan w:val="6"/>
            <w:vAlign w:val="center"/>
          </w:tcPr>
          <w:p>
            <w:pPr>
              <w:widowControl w:val="0"/>
              <w:jc w:val="center"/>
              <w:rPr>
                <w:rFonts w:ascii="Times New Roman" w:hAnsi="Times New Roman"/>
                <w:color w:val="auto"/>
                <w:sz w:val="21"/>
                <w:szCs w:val="21"/>
              </w:rPr>
            </w:pPr>
            <w:r>
              <w:rPr>
                <w:rFonts w:hint="eastAsia" w:ascii="Times New Roman" w:hAnsi="Times New Roman"/>
                <w:color w:val="auto"/>
                <w:sz w:val="21"/>
                <w:szCs w:val="21"/>
                <w:lang w:val="en-US" w:eastAsia="zh-CN"/>
              </w:rPr>
              <w:t>最大值：构件承载能力设计</w:t>
            </w:r>
            <w:r>
              <w:rPr>
                <w:rFonts w:ascii="Times New Roman" w:hAnsi="Times New Roman"/>
                <w:color w:val="auto"/>
                <w:sz w:val="21"/>
                <w:szCs w:val="21"/>
              </w:rPr>
              <w:t>值的80%</w:t>
            </w:r>
          </w:p>
          <w:p>
            <w:pPr>
              <w:widowControl w:val="0"/>
              <w:jc w:val="center"/>
              <w:rPr>
                <w:rFonts w:hint="default" w:ascii="Times New Roman" w:hAnsi="Times New Roman" w:eastAsia="宋体"/>
                <w:sz w:val="21"/>
                <w:szCs w:val="21"/>
                <w:lang w:val="en-US" w:eastAsia="zh-CN"/>
              </w:rPr>
            </w:pPr>
            <w:r>
              <w:rPr>
                <w:rFonts w:hint="eastAsia" w:ascii="Times New Roman" w:hAnsi="Times New Roman"/>
                <w:color w:val="auto"/>
                <w:sz w:val="21"/>
                <w:szCs w:val="21"/>
                <w:lang w:val="en-US" w:eastAsia="zh-CN"/>
              </w:rPr>
              <w:t>最小值：钢支撑预应力设计值的80%</w:t>
            </w:r>
          </w:p>
        </w:tc>
      </w:tr>
    </w:tbl>
    <w:p>
      <w:pPr>
        <w:widowControl w:val="0"/>
        <w:ind w:firstLine="420" w:firstLineChars="200"/>
        <w:jc w:val="left"/>
        <w:rPr>
          <w:rFonts w:ascii="Times New Roman" w:hAnsi="Times New Roman"/>
          <w:sz w:val="21"/>
          <w:szCs w:val="21"/>
        </w:rPr>
      </w:pPr>
      <w:r>
        <w:rPr>
          <w:rFonts w:ascii="Times New Roman" w:hAnsi="Times New Roman"/>
          <w:sz w:val="21"/>
          <w:szCs w:val="21"/>
        </w:rPr>
        <w:t>注：1.</w:t>
      </w:r>
      <w:r>
        <w:rPr>
          <w:rFonts w:hint="eastAsia" w:ascii="Times New Roman" w:hAnsi="Times New Roman"/>
          <w:sz w:val="21"/>
          <w:szCs w:val="21"/>
        </w:rPr>
        <w:t xml:space="preserve"> </w:t>
      </w:r>
      <w:r>
        <w:rPr>
          <w:rFonts w:ascii="Times New Roman" w:hAnsi="Times New Roman"/>
          <w:i/>
          <w:sz w:val="21"/>
          <w:szCs w:val="21"/>
        </w:rPr>
        <w:t>H</w:t>
      </w:r>
      <w:r>
        <w:rPr>
          <w:rFonts w:ascii="Times New Roman" w:hAnsi="Times New Roman"/>
          <w:sz w:val="21"/>
          <w:szCs w:val="21"/>
        </w:rPr>
        <w:t>为基坑开挖深度（m）</w:t>
      </w:r>
      <w:r>
        <w:rPr>
          <w:rFonts w:hint="eastAsia" w:ascii="Times New Roman" w:hAnsi="Times New Roman"/>
          <w:sz w:val="21"/>
          <w:szCs w:val="21"/>
        </w:rPr>
        <w:t>；</w:t>
      </w:r>
    </w:p>
    <w:p>
      <w:pPr>
        <w:widowControl w:val="0"/>
        <w:ind w:firstLine="840" w:firstLineChars="400"/>
        <w:jc w:val="left"/>
        <w:rPr>
          <w:rFonts w:ascii="Times New Roman" w:hAnsi="Times New Roman"/>
          <w:sz w:val="21"/>
          <w:szCs w:val="21"/>
        </w:rPr>
      </w:pPr>
      <w:bookmarkStart w:id="852" w:name="_Toc30887"/>
      <w:bookmarkStart w:id="853" w:name="_Toc9409"/>
      <w:r>
        <w:rPr>
          <w:rFonts w:ascii="Times New Roman" w:hAnsi="Times New Roman"/>
          <w:sz w:val="21"/>
          <w:szCs w:val="21"/>
        </w:rPr>
        <w:t>2.</w:t>
      </w:r>
      <w:r>
        <w:rPr>
          <w:rFonts w:hint="eastAsia" w:ascii="Times New Roman" w:hAnsi="Times New Roman"/>
          <w:sz w:val="21"/>
          <w:szCs w:val="21"/>
        </w:rPr>
        <w:t xml:space="preserve"> </w:t>
      </w:r>
      <w:r>
        <w:rPr>
          <w:rFonts w:ascii="Times New Roman" w:hAnsi="Times New Roman"/>
          <w:sz w:val="21"/>
          <w:szCs w:val="21"/>
        </w:rPr>
        <w:t>报警值可按基坑各边情况分别确定。</w:t>
      </w:r>
      <w:bookmarkEnd w:id="852"/>
      <w:bookmarkEnd w:id="853"/>
    </w:p>
    <w:p>
      <w:pPr>
        <w:widowControl w:val="0"/>
        <w:spacing w:line="480" w:lineRule="exact"/>
        <w:rPr>
          <w:rFonts w:ascii="Times New Roman" w:hAnsi="Times New Roman"/>
          <w:szCs w:val="24"/>
        </w:rPr>
      </w:pPr>
      <w:r>
        <w:rPr>
          <w:rFonts w:hint="eastAsia" w:ascii="Times New Roman" w:hAnsi="Times New Roman"/>
          <w:b/>
          <w:lang w:eastAsia="zh-CN"/>
        </w:rPr>
        <w:t>16</w:t>
      </w:r>
      <w:r>
        <w:rPr>
          <w:rFonts w:hint="eastAsia" w:ascii="Times New Roman" w:hAnsi="Times New Roman"/>
          <w:b/>
        </w:rPr>
        <w:t>.4.4</w:t>
      </w:r>
      <w:r>
        <w:rPr>
          <w:rFonts w:hint="eastAsia" w:ascii="Times New Roman" w:hAnsi="Times New Roman"/>
          <w:szCs w:val="24"/>
        </w:rPr>
        <w:t>周边环境监测项目的报警值应根据基坑周边环境对附加变形的承受能力确定。当无明确要求时，围护墙侧向最大位移、地面最大沉降、地下水位变化可参考表</w:t>
      </w:r>
      <w:r>
        <w:rPr>
          <w:rFonts w:hint="eastAsia" w:ascii="Times New Roman" w:hAnsi="Times New Roman"/>
          <w:szCs w:val="24"/>
          <w:lang w:eastAsia="zh-CN"/>
        </w:rPr>
        <w:t>16</w:t>
      </w:r>
      <w:r>
        <w:rPr>
          <w:rFonts w:hint="eastAsia" w:ascii="Times New Roman" w:hAnsi="Times New Roman"/>
          <w:szCs w:val="24"/>
        </w:rPr>
        <w:t>.4.4采用。</w:t>
      </w:r>
    </w:p>
    <w:p>
      <w:pPr>
        <w:widowControl w:val="0"/>
        <w:spacing w:line="480" w:lineRule="exact"/>
        <w:jc w:val="center"/>
        <w:rPr>
          <w:rFonts w:ascii="Times New Roman" w:hAnsi="Times New Roman"/>
          <w:b/>
          <w:bCs w:val="0"/>
          <w:sz w:val="21"/>
          <w:szCs w:val="21"/>
        </w:rPr>
      </w:pPr>
      <w:r>
        <w:rPr>
          <w:rFonts w:ascii="Times New Roman" w:hAnsi="Times New Roman"/>
          <w:b/>
          <w:bCs w:val="0"/>
          <w:sz w:val="21"/>
          <w:szCs w:val="21"/>
        </w:rPr>
        <w:t>表</w:t>
      </w:r>
      <w:r>
        <w:rPr>
          <w:rFonts w:hint="eastAsia" w:ascii="Times New Roman" w:hAnsi="Times New Roman"/>
          <w:b/>
          <w:bCs w:val="0"/>
          <w:sz w:val="21"/>
          <w:szCs w:val="21"/>
          <w:lang w:eastAsia="zh-CN"/>
        </w:rPr>
        <w:t>16</w:t>
      </w:r>
      <w:r>
        <w:rPr>
          <w:rFonts w:hint="eastAsia" w:ascii="Times New Roman" w:hAnsi="Times New Roman"/>
          <w:b/>
          <w:bCs w:val="0"/>
          <w:sz w:val="21"/>
          <w:szCs w:val="21"/>
        </w:rPr>
        <w:t>.4.4  根据基坑工程环境保护等级确定的报警值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1136"/>
        <w:gridCol w:w="1278"/>
        <w:gridCol w:w="1136"/>
        <w:gridCol w:w="1136"/>
        <w:gridCol w:w="1196"/>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697" w:type="dxa"/>
            <w:vMerge w:val="restart"/>
            <w:tcBorders>
              <w:tl2br w:val="single" w:color="auto" w:sz="4" w:space="0"/>
            </w:tcBorders>
            <w:vAlign w:val="center"/>
          </w:tcPr>
          <w:p>
            <w:pPr>
              <w:widowControl w:val="0"/>
              <w:ind w:left="975" w:leftChars="100" w:hanging="735" w:hangingChars="350"/>
              <w:jc w:val="center"/>
              <w:rPr>
                <w:rFonts w:ascii="Times New Roman" w:hAnsi="Times New Roman"/>
                <w:sz w:val="21"/>
                <w:szCs w:val="21"/>
              </w:rPr>
            </w:pPr>
            <w:r>
              <w:rPr>
                <w:rFonts w:hint="eastAsia" w:ascii="Times New Roman" w:hAnsi="Times New Roman"/>
                <w:sz w:val="21"/>
                <w:szCs w:val="21"/>
              </w:rPr>
              <w:t xml:space="preserve">    </w:t>
            </w:r>
            <w:r>
              <w:rPr>
                <w:rFonts w:ascii="Times New Roman" w:hAnsi="Times New Roman"/>
                <w:sz w:val="21"/>
                <w:szCs w:val="21"/>
              </w:rPr>
              <w:t xml:space="preserve"> 基坑工程环境保护</w:t>
            </w:r>
          </w:p>
          <w:p>
            <w:pPr>
              <w:widowControl w:val="0"/>
              <w:ind w:left="1080" w:leftChars="450"/>
              <w:jc w:val="center"/>
              <w:rPr>
                <w:rFonts w:ascii="Times New Roman" w:hAnsi="Times New Roman"/>
                <w:sz w:val="21"/>
                <w:szCs w:val="21"/>
              </w:rPr>
            </w:pPr>
            <w:r>
              <w:rPr>
                <w:rFonts w:ascii="Times New Roman" w:hAnsi="Times New Roman"/>
                <w:sz w:val="21"/>
                <w:szCs w:val="21"/>
              </w:rPr>
              <w:t>等级</w:t>
            </w:r>
          </w:p>
          <w:p>
            <w:pPr>
              <w:widowControl w:val="0"/>
              <w:ind w:firstLine="315" w:firstLineChars="150"/>
              <w:rPr>
                <w:rFonts w:ascii="Times New Roman" w:hAnsi="Times New Roman"/>
                <w:sz w:val="21"/>
                <w:szCs w:val="21"/>
              </w:rPr>
            </w:pPr>
            <w:r>
              <w:rPr>
                <w:rFonts w:ascii="Times New Roman" w:hAnsi="Times New Roman"/>
                <w:sz w:val="21"/>
                <w:szCs w:val="21"/>
              </w:rPr>
              <w:t>监测项目</w:t>
            </w:r>
          </w:p>
        </w:tc>
        <w:tc>
          <w:tcPr>
            <w:tcW w:w="2414" w:type="dxa"/>
            <w:gridSpan w:val="2"/>
            <w:vAlign w:val="center"/>
          </w:tcPr>
          <w:p>
            <w:pPr>
              <w:widowControl w:val="0"/>
              <w:jc w:val="center"/>
              <w:rPr>
                <w:rFonts w:ascii="Times New Roman" w:hAnsi="Times New Roman"/>
                <w:sz w:val="21"/>
                <w:szCs w:val="21"/>
              </w:rPr>
            </w:pPr>
            <w:r>
              <w:rPr>
                <w:rFonts w:ascii="Times New Roman" w:hAnsi="Times New Roman"/>
                <w:sz w:val="21"/>
                <w:szCs w:val="21"/>
              </w:rPr>
              <w:t>一级</w:t>
            </w:r>
          </w:p>
        </w:tc>
        <w:tc>
          <w:tcPr>
            <w:tcW w:w="2272" w:type="dxa"/>
            <w:gridSpan w:val="2"/>
            <w:vAlign w:val="center"/>
          </w:tcPr>
          <w:p>
            <w:pPr>
              <w:widowControl w:val="0"/>
              <w:jc w:val="center"/>
              <w:rPr>
                <w:rFonts w:ascii="Times New Roman" w:hAnsi="Times New Roman"/>
                <w:sz w:val="21"/>
                <w:szCs w:val="21"/>
              </w:rPr>
            </w:pPr>
            <w:r>
              <w:rPr>
                <w:rFonts w:ascii="Times New Roman" w:hAnsi="Times New Roman"/>
                <w:sz w:val="21"/>
                <w:szCs w:val="21"/>
              </w:rPr>
              <w:t>二级</w:t>
            </w:r>
          </w:p>
        </w:tc>
        <w:tc>
          <w:tcPr>
            <w:tcW w:w="2341" w:type="dxa"/>
            <w:gridSpan w:val="2"/>
            <w:vAlign w:val="center"/>
          </w:tcPr>
          <w:p>
            <w:pPr>
              <w:widowControl w:val="0"/>
              <w:jc w:val="center"/>
              <w:rPr>
                <w:rFonts w:ascii="Times New Roman" w:hAnsi="Times New Roman"/>
                <w:sz w:val="21"/>
                <w:szCs w:val="21"/>
              </w:rPr>
            </w:pPr>
            <w:r>
              <w:rPr>
                <w:rFonts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697" w:type="dxa"/>
            <w:vMerge w:val="continue"/>
            <w:vAlign w:val="center"/>
          </w:tcPr>
          <w:p>
            <w:pPr>
              <w:widowControl w:val="0"/>
              <w:jc w:val="center"/>
              <w:rPr>
                <w:rFonts w:ascii="Times New Roman" w:hAnsi="Times New Roman"/>
                <w:sz w:val="21"/>
                <w:szCs w:val="21"/>
              </w:rPr>
            </w:pPr>
          </w:p>
        </w:tc>
        <w:tc>
          <w:tcPr>
            <w:tcW w:w="1136" w:type="dxa"/>
            <w:vAlign w:val="center"/>
          </w:tcPr>
          <w:p>
            <w:pPr>
              <w:widowControl w:val="0"/>
              <w:jc w:val="center"/>
              <w:rPr>
                <w:rFonts w:ascii="Times New Roman" w:hAnsi="Times New Roman"/>
                <w:sz w:val="21"/>
                <w:szCs w:val="21"/>
              </w:rPr>
            </w:pPr>
            <w:r>
              <w:rPr>
                <w:rFonts w:ascii="Times New Roman" w:hAnsi="Times New Roman"/>
                <w:sz w:val="21"/>
                <w:szCs w:val="21"/>
              </w:rPr>
              <w:t>变化速率</w:t>
            </w:r>
          </w:p>
          <w:p>
            <w:pPr>
              <w:widowControl w:val="0"/>
              <w:jc w:val="center"/>
              <w:rPr>
                <w:rFonts w:ascii="Times New Roman" w:hAnsi="Times New Roman"/>
                <w:sz w:val="21"/>
                <w:szCs w:val="21"/>
              </w:rPr>
            </w:pPr>
            <w:r>
              <w:rPr>
                <w:rFonts w:ascii="Times New Roman" w:hAnsi="Times New Roman"/>
                <w:sz w:val="21"/>
                <w:szCs w:val="21"/>
              </w:rPr>
              <w:t>(mm/</w:t>
            </w:r>
            <w:r>
              <w:rPr>
                <w:rFonts w:hint="eastAsia" w:ascii="Times New Roman" w:hAnsi="Times New Roman"/>
                <w:sz w:val="21"/>
                <w:szCs w:val="21"/>
              </w:rPr>
              <w:t>d</w:t>
            </w:r>
            <w:r>
              <w:rPr>
                <w:rFonts w:ascii="Times New Roman" w:hAnsi="Times New Roman"/>
                <w:sz w:val="21"/>
                <w:szCs w:val="21"/>
              </w:rPr>
              <w:t>)</w:t>
            </w:r>
          </w:p>
        </w:tc>
        <w:tc>
          <w:tcPr>
            <w:tcW w:w="1278" w:type="dxa"/>
            <w:vAlign w:val="center"/>
          </w:tcPr>
          <w:p>
            <w:pPr>
              <w:widowControl w:val="0"/>
              <w:jc w:val="center"/>
              <w:rPr>
                <w:rFonts w:ascii="Times New Roman" w:hAnsi="Times New Roman"/>
                <w:sz w:val="21"/>
                <w:szCs w:val="21"/>
              </w:rPr>
            </w:pPr>
            <w:r>
              <w:rPr>
                <w:rFonts w:ascii="Times New Roman" w:hAnsi="Times New Roman"/>
                <w:sz w:val="21"/>
                <w:szCs w:val="21"/>
              </w:rPr>
              <w:t>累计值</w:t>
            </w:r>
          </w:p>
          <w:p>
            <w:pPr>
              <w:widowControl w:val="0"/>
              <w:jc w:val="center"/>
              <w:rPr>
                <w:rFonts w:ascii="Times New Roman" w:hAnsi="Times New Roman"/>
                <w:sz w:val="21"/>
                <w:szCs w:val="21"/>
              </w:rPr>
            </w:pPr>
            <w:r>
              <w:rPr>
                <w:rFonts w:ascii="Times New Roman" w:hAnsi="Times New Roman"/>
                <w:sz w:val="21"/>
                <w:szCs w:val="21"/>
              </w:rPr>
              <w:t>(mm)</w:t>
            </w:r>
          </w:p>
        </w:tc>
        <w:tc>
          <w:tcPr>
            <w:tcW w:w="1136" w:type="dxa"/>
            <w:vAlign w:val="center"/>
          </w:tcPr>
          <w:p>
            <w:pPr>
              <w:widowControl w:val="0"/>
              <w:jc w:val="center"/>
              <w:rPr>
                <w:rFonts w:ascii="Times New Roman" w:hAnsi="Times New Roman"/>
                <w:sz w:val="21"/>
                <w:szCs w:val="21"/>
              </w:rPr>
            </w:pPr>
            <w:r>
              <w:rPr>
                <w:rFonts w:ascii="Times New Roman" w:hAnsi="Times New Roman"/>
                <w:sz w:val="21"/>
                <w:szCs w:val="21"/>
              </w:rPr>
              <w:t>变化速率</w:t>
            </w:r>
          </w:p>
          <w:p>
            <w:pPr>
              <w:widowControl w:val="0"/>
              <w:jc w:val="center"/>
              <w:rPr>
                <w:rFonts w:ascii="Times New Roman" w:hAnsi="Times New Roman"/>
                <w:sz w:val="21"/>
                <w:szCs w:val="21"/>
              </w:rPr>
            </w:pPr>
            <w:r>
              <w:rPr>
                <w:rFonts w:ascii="Times New Roman" w:hAnsi="Times New Roman"/>
                <w:sz w:val="21"/>
                <w:szCs w:val="21"/>
              </w:rPr>
              <w:t>(mm/</w:t>
            </w:r>
            <w:r>
              <w:rPr>
                <w:rFonts w:hint="eastAsia" w:ascii="Times New Roman" w:hAnsi="Times New Roman"/>
                <w:sz w:val="21"/>
                <w:szCs w:val="21"/>
              </w:rPr>
              <w:t>d</w:t>
            </w:r>
            <w:r>
              <w:rPr>
                <w:rFonts w:ascii="Times New Roman" w:hAnsi="Times New Roman"/>
                <w:sz w:val="21"/>
                <w:szCs w:val="21"/>
              </w:rPr>
              <w:t>)</w:t>
            </w:r>
          </w:p>
        </w:tc>
        <w:tc>
          <w:tcPr>
            <w:tcW w:w="1136" w:type="dxa"/>
            <w:vAlign w:val="center"/>
          </w:tcPr>
          <w:p>
            <w:pPr>
              <w:widowControl w:val="0"/>
              <w:jc w:val="center"/>
              <w:rPr>
                <w:rFonts w:ascii="Times New Roman" w:hAnsi="Times New Roman"/>
                <w:sz w:val="21"/>
                <w:szCs w:val="21"/>
              </w:rPr>
            </w:pPr>
            <w:r>
              <w:rPr>
                <w:rFonts w:ascii="Times New Roman" w:hAnsi="Times New Roman"/>
                <w:sz w:val="21"/>
                <w:szCs w:val="21"/>
              </w:rPr>
              <w:t>累计值</w:t>
            </w:r>
          </w:p>
          <w:p>
            <w:pPr>
              <w:widowControl w:val="0"/>
              <w:jc w:val="center"/>
              <w:rPr>
                <w:rFonts w:ascii="Times New Roman" w:hAnsi="Times New Roman"/>
                <w:sz w:val="21"/>
                <w:szCs w:val="21"/>
              </w:rPr>
            </w:pPr>
            <w:r>
              <w:rPr>
                <w:rFonts w:ascii="Times New Roman" w:hAnsi="Times New Roman"/>
                <w:sz w:val="21"/>
                <w:szCs w:val="21"/>
              </w:rPr>
              <w:t>（mm）</w:t>
            </w:r>
          </w:p>
        </w:tc>
        <w:tc>
          <w:tcPr>
            <w:tcW w:w="1196" w:type="dxa"/>
            <w:vAlign w:val="center"/>
          </w:tcPr>
          <w:p>
            <w:pPr>
              <w:widowControl w:val="0"/>
              <w:jc w:val="center"/>
              <w:rPr>
                <w:rFonts w:ascii="Times New Roman" w:hAnsi="Times New Roman"/>
                <w:sz w:val="21"/>
                <w:szCs w:val="21"/>
              </w:rPr>
            </w:pPr>
            <w:r>
              <w:rPr>
                <w:rFonts w:ascii="Times New Roman" w:hAnsi="Times New Roman"/>
                <w:sz w:val="21"/>
                <w:szCs w:val="21"/>
              </w:rPr>
              <w:t>变化速率</w:t>
            </w:r>
          </w:p>
          <w:p>
            <w:pPr>
              <w:widowControl w:val="0"/>
              <w:jc w:val="center"/>
              <w:rPr>
                <w:rFonts w:ascii="Times New Roman" w:hAnsi="Times New Roman"/>
                <w:sz w:val="21"/>
                <w:szCs w:val="21"/>
              </w:rPr>
            </w:pPr>
            <w:r>
              <w:rPr>
                <w:rFonts w:ascii="Times New Roman" w:hAnsi="Times New Roman"/>
                <w:sz w:val="21"/>
                <w:szCs w:val="21"/>
              </w:rPr>
              <w:t>（mm/</w:t>
            </w:r>
            <w:r>
              <w:rPr>
                <w:rFonts w:hint="eastAsia" w:ascii="Times New Roman" w:hAnsi="Times New Roman"/>
                <w:sz w:val="21"/>
                <w:szCs w:val="21"/>
              </w:rPr>
              <w:t>d</w:t>
            </w:r>
            <w:r>
              <w:rPr>
                <w:rFonts w:ascii="Times New Roman" w:hAnsi="Times New Roman"/>
                <w:sz w:val="21"/>
                <w:szCs w:val="21"/>
              </w:rPr>
              <w:t>）</w:t>
            </w:r>
          </w:p>
        </w:tc>
        <w:tc>
          <w:tcPr>
            <w:tcW w:w="1145" w:type="dxa"/>
            <w:vAlign w:val="center"/>
          </w:tcPr>
          <w:p>
            <w:pPr>
              <w:widowControl w:val="0"/>
              <w:jc w:val="center"/>
              <w:rPr>
                <w:rFonts w:ascii="Times New Roman" w:hAnsi="Times New Roman"/>
                <w:sz w:val="21"/>
                <w:szCs w:val="21"/>
              </w:rPr>
            </w:pPr>
            <w:r>
              <w:rPr>
                <w:rFonts w:ascii="Times New Roman" w:hAnsi="Times New Roman"/>
                <w:sz w:val="21"/>
                <w:szCs w:val="21"/>
              </w:rPr>
              <w:t>累计值</w:t>
            </w:r>
          </w:p>
          <w:p>
            <w:pPr>
              <w:widowControl w:val="0"/>
              <w:jc w:val="center"/>
              <w:rPr>
                <w:rFonts w:ascii="Times New Roman" w:hAnsi="Times New Roman"/>
                <w:sz w:val="21"/>
                <w:szCs w:val="21"/>
              </w:rPr>
            </w:pPr>
            <w:r>
              <w:rPr>
                <w:rFonts w:ascii="Times New Roman" w:hAnsi="Times New Roman"/>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697" w:type="dxa"/>
            <w:vAlign w:val="center"/>
          </w:tcPr>
          <w:p>
            <w:pPr>
              <w:widowControl w:val="0"/>
              <w:jc w:val="center"/>
              <w:rPr>
                <w:rFonts w:ascii="Times New Roman" w:hAnsi="Times New Roman"/>
                <w:sz w:val="21"/>
                <w:szCs w:val="21"/>
              </w:rPr>
            </w:pPr>
            <w:r>
              <w:rPr>
                <w:rFonts w:ascii="Times New Roman" w:hAnsi="Times New Roman"/>
                <w:sz w:val="21"/>
                <w:szCs w:val="21"/>
              </w:rPr>
              <w:t>围护墙侧向最大位移</w:t>
            </w:r>
          </w:p>
        </w:tc>
        <w:tc>
          <w:tcPr>
            <w:tcW w:w="1136" w:type="dxa"/>
            <w:vMerge w:val="restart"/>
            <w:vAlign w:val="center"/>
          </w:tcPr>
          <w:p>
            <w:pPr>
              <w:widowControl w:val="0"/>
              <w:jc w:val="center"/>
              <w:rPr>
                <w:rFonts w:ascii="Times New Roman" w:hAnsi="Times New Roman"/>
                <w:sz w:val="21"/>
                <w:szCs w:val="21"/>
              </w:rPr>
            </w:pPr>
            <w:r>
              <w:rPr>
                <w:rFonts w:ascii="Times New Roman" w:hAnsi="Times New Roman"/>
                <w:sz w:val="21"/>
                <w:szCs w:val="21"/>
              </w:rPr>
              <w:t>2～3</w:t>
            </w:r>
          </w:p>
        </w:tc>
        <w:tc>
          <w:tcPr>
            <w:tcW w:w="1278" w:type="dxa"/>
            <w:vAlign w:val="center"/>
          </w:tcPr>
          <w:p>
            <w:pPr>
              <w:widowControl w:val="0"/>
              <w:jc w:val="center"/>
              <w:rPr>
                <w:rFonts w:ascii="Times New Roman" w:hAnsi="Times New Roman"/>
                <w:sz w:val="21"/>
                <w:szCs w:val="21"/>
              </w:rPr>
            </w:pPr>
            <w:r>
              <w:rPr>
                <w:rFonts w:ascii="Times New Roman" w:hAnsi="Times New Roman"/>
                <w:sz w:val="21"/>
                <w:szCs w:val="21"/>
              </w:rPr>
              <w:t>0.18%H</w:t>
            </w:r>
          </w:p>
        </w:tc>
        <w:tc>
          <w:tcPr>
            <w:tcW w:w="1136" w:type="dxa"/>
            <w:vMerge w:val="restart"/>
            <w:vAlign w:val="center"/>
          </w:tcPr>
          <w:p>
            <w:pPr>
              <w:widowControl w:val="0"/>
              <w:jc w:val="center"/>
              <w:rPr>
                <w:rFonts w:ascii="Times New Roman" w:hAnsi="Times New Roman"/>
                <w:sz w:val="21"/>
                <w:szCs w:val="21"/>
              </w:rPr>
            </w:pPr>
            <w:r>
              <w:rPr>
                <w:rFonts w:ascii="Times New Roman" w:hAnsi="Times New Roman"/>
                <w:sz w:val="21"/>
                <w:szCs w:val="21"/>
              </w:rPr>
              <w:t>3～5</w:t>
            </w:r>
          </w:p>
        </w:tc>
        <w:tc>
          <w:tcPr>
            <w:tcW w:w="1136" w:type="dxa"/>
            <w:vAlign w:val="center"/>
          </w:tcPr>
          <w:p>
            <w:pPr>
              <w:widowControl w:val="0"/>
              <w:jc w:val="center"/>
              <w:rPr>
                <w:rFonts w:ascii="Times New Roman" w:hAnsi="Times New Roman"/>
                <w:sz w:val="21"/>
                <w:szCs w:val="21"/>
              </w:rPr>
            </w:pPr>
            <w:r>
              <w:rPr>
                <w:rFonts w:ascii="Times New Roman" w:hAnsi="Times New Roman"/>
                <w:sz w:val="21"/>
                <w:szCs w:val="21"/>
              </w:rPr>
              <w:t>0.3%H</w:t>
            </w:r>
          </w:p>
        </w:tc>
        <w:tc>
          <w:tcPr>
            <w:tcW w:w="1196" w:type="dxa"/>
            <w:vMerge w:val="restart"/>
            <w:vAlign w:val="center"/>
          </w:tcPr>
          <w:p>
            <w:pPr>
              <w:widowControl w:val="0"/>
              <w:jc w:val="center"/>
              <w:rPr>
                <w:rFonts w:ascii="Times New Roman" w:hAnsi="Times New Roman"/>
                <w:sz w:val="21"/>
                <w:szCs w:val="21"/>
              </w:rPr>
            </w:pPr>
            <w:r>
              <w:rPr>
                <w:rFonts w:ascii="Times New Roman" w:hAnsi="Times New Roman"/>
                <w:sz w:val="21"/>
                <w:szCs w:val="21"/>
              </w:rPr>
              <w:t>5</w:t>
            </w:r>
          </w:p>
        </w:tc>
        <w:tc>
          <w:tcPr>
            <w:tcW w:w="1145" w:type="dxa"/>
            <w:vAlign w:val="center"/>
          </w:tcPr>
          <w:p>
            <w:pPr>
              <w:widowControl w:val="0"/>
              <w:jc w:val="center"/>
              <w:rPr>
                <w:rFonts w:ascii="Times New Roman" w:hAnsi="Times New Roman"/>
                <w:sz w:val="21"/>
                <w:szCs w:val="21"/>
              </w:rPr>
            </w:pPr>
            <w:r>
              <w:rPr>
                <w:rFonts w:ascii="Times New Roman" w:hAnsi="Times New Roman"/>
                <w:sz w:val="21"/>
                <w:szCs w:val="21"/>
              </w:rPr>
              <w:t>0.7%H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697" w:type="dxa"/>
            <w:vAlign w:val="center"/>
          </w:tcPr>
          <w:p>
            <w:pPr>
              <w:widowControl w:val="0"/>
              <w:jc w:val="center"/>
              <w:rPr>
                <w:rFonts w:ascii="Times New Roman" w:hAnsi="Times New Roman"/>
                <w:sz w:val="21"/>
                <w:szCs w:val="21"/>
              </w:rPr>
            </w:pPr>
            <w:r>
              <w:rPr>
                <w:rFonts w:ascii="Times New Roman" w:hAnsi="Times New Roman"/>
                <w:sz w:val="21"/>
                <w:szCs w:val="21"/>
              </w:rPr>
              <w:t>地面最大沉降</w:t>
            </w:r>
          </w:p>
        </w:tc>
        <w:tc>
          <w:tcPr>
            <w:tcW w:w="1136" w:type="dxa"/>
            <w:vMerge w:val="continue"/>
            <w:vAlign w:val="center"/>
          </w:tcPr>
          <w:p>
            <w:pPr>
              <w:widowControl w:val="0"/>
              <w:jc w:val="center"/>
              <w:rPr>
                <w:rFonts w:ascii="Times New Roman" w:hAnsi="Times New Roman"/>
                <w:sz w:val="21"/>
                <w:szCs w:val="21"/>
              </w:rPr>
            </w:pPr>
          </w:p>
        </w:tc>
        <w:tc>
          <w:tcPr>
            <w:tcW w:w="1278" w:type="dxa"/>
            <w:vAlign w:val="center"/>
          </w:tcPr>
          <w:p>
            <w:pPr>
              <w:widowControl w:val="0"/>
              <w:jc w:val="center"/>
              <w:rPr>
                <w:rFonts w:ascii="Times New Roman" w:hAnsi="Times New Roman"/>
                <w:sz w:val="21"/>
                <w:szCs w:val="21"/>
              </w:rPr>
            </w:pPr>
            <w:r>
              <w:rPr>
                <w:rFonts w:ascii="Times New Roman" w:hAnsi="Times New Roman"/>
                <w:sz w:val="21"/>
                <w:szCs w:val="21"/>
              </w:rPr>
              <w:t>0.15%H</w:t>
            </w:r>
          </w:p>
        </w:tc>
        <w:tc>
          <w:tcPr>
            <w:tcW w:w="1136" w:type="dxa"/>
            <w:vMerge w:val="continue"/>
            <w:vAlign w:val="center"/>
          </w:tcPr>
          <w:p>
            <w:pPr>
              <w:widowControl w:val="0"/>
              <w:jc w:val="center"/>
              <w:rPr>
                <w:rFonts w:ascii="Times New Roman" w:hAnsi="Times New Roman"/>
                <w:sz w:val="21"/>
                <w:szCs w:val="21"/>
              </w:rPr>
            </w:pPr>
          </w:p>
        </w:tc>
        <w:tc>
          <w:tcPr>
            <w:tcW w:w="1136" w:type="dxa"/>
            <w:vAlign w:val="center"/>
          </w:tcPr>
          <w:p>
            <w:pPr>
              <w:widowControl w:val="0"/>
              <w:jc w:val="center"/>
              <w:rPr>
                <w:rFonts w:ascii="Times New Roman" w:hAnsi="Times New Roman"/>
                <w:sz w:val="21"/>
                <w:szCs w:val="21"/>
              </w:rPr>
            </w:pPr>
            <w:r>
              <w:rPr>
                <w:rFonts w:ascii="Times New Roman" w:hAnsi="Times New Roman"/>
                <w:sz w:val="21"/>
                <w:szCs w:val="21"/>
              </w:rPr>
              <w:t>0.25%H</w:t>
            </w:r>
          </w:p>
        </w:tc>
        <w:tc>
          <w:tcPr>
            <w:tcW w:w="1196" w:type="dxa"/>
            <w:vMerge w:val="continue"/>
            <w:vAlign w:val="center"/>
          </w:tcPr>
          <w:p>
            <w:pPr>
              <w:widowControl w:val="0"/>
              <w:jc w:val="center"/>
              <w:rPr>
                <w:rFonts w:ascii="Times New Roman" w:hAnsi="Times New Roman"/>
                <w:sz w:val="21"/>
                <w:szCs w:val="21"/>
              </w:rPr>
            </w:pPr>
          </w:p>
        </w:tc>
        <w:tc>
          <w:tcPr>
            <w:tcW w:w="1145" w:type="dxa"/>
            <w:vAlign w:val="center"/>
          </w:tcPr>
          <w:p>
            <w:pPr>
              <w:widowControl w:val="0"/>
              <w:jc w:val="center"/>
              <w:rPr>
                <w:rFonts w:ascii="Times New Roman" w:hAnsi="Times New Roman"/>
                <w:sz w:val="21"/>
                <w:szCs w:val="21"/>
              </w:rPr>
            </w:pPr>
            <w:r>
              <w:rPr>
                <w:rFonts w:ascii="Times New Roman" w:hAnsi="Times New Roman"/>
                <w:sz w:val="21"/>
                <w:szCs w:val="21"/>
              </w:rPr>
              <w:t>0.55%H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97" w:type="dxa"/>
            <w:vAlign w:val="center"/>
          </w:tcPr>
          <w:p>
            <w:pPr>
              <w:widowControl w:val="0"/>
              <w:jc w:val="center"/>
              <w:rPr>
                <w:rFonts w:ascii="Times New Roman" w:hAnsi="Times New Roman"/>
                <w:sz w:val="21"/>
                <w:szCs w:val="21"/>
              </w:rPr>
            </w:pPr>
            <w:r>
              <w:rPr>
                <w:rFonts w:ascii="Times New Roman" w:hAnsi="Times New Roman"/>
                <w:sz w:val="21"/>
                <w:szCs w:val="21"/>
              </w:rPr>
              <w:t>地下水位变化</w:t>
            </w:r>
          </w:p>
        </w:tc>
        <w:tc>
          <w:tcPr>
            <w:tcW w:w="7027" w:type="dxa"/>
            <w:gridSpan w:val="6"/>
            <w:vAlign w:val="center"/>
          </w:tcPr>
          <w:p>
            <w:pPr>
              <w:widowControl w:val="0"/>
              <w:jc w:val="center"/>
              <w:rPr>
                <w:rFonts w:ascii="Times New Roman" w:hAnsi="Times New Roman"/>
                <w:sz w:val="21"/>
                <w:szCs w:val="21"/>
              </w:rPr>
            </w:pPr>
            <w:r>
              <w:rPr>
                <w:rFonts w:ascii="Times New Roman" w:hAnsi="Times New Roman"/>
                <w:sz w:val="21"/>
                <w:szCs w:val="21"/>
              </w:rPr>
              <w:t>变化速率（mm/</w:t>
            </w:r>
            <w:r>
              <w:rPr>
                <w:rFonts w:hint="eastAsia" w:ascii="Times New Roman" w:hAnsi="Times New Roman"/>
                <w:sz w:val="21"/>
                <w:szCs w:val="21"/>
              </w:rPr>
              <w:t>d</w:t>
            </w:r>
            <w:r>
              <w:rPr>
                <w:rFonts w:ascii="Times New Roman" w:hAnsi="Times New Roman"/>
                <w:sz w:val="21"/>
                <w:szCs w:val="21"/>
              </w:rPr>
              <w:t>）：300，累计值（mm）：1000</w:t>
            </w:r>
          </w:p>
        </w:tc>
      </w:tr>
    </w:tbl>
    <w:p>
      <w:pPr>
        <w:widowControl w:val="0"/>
        <w:ind w:firstLine="360" w:firstLineChars="200"/>
        <w:rPr>
          <w:rFonts w:ascii="Times New Roman" w:hAnsi="Times New Roman"/>
          <w:sz w:val="18"/>
          <w:szCs w:val="18"/>
        </w:rPr>
      </w:pPr>
      <w:r>
        <w:rPr>
          <w:rFonts w:ascii="Times New Roman" w:hAnsi="Times New Roman"/>
          <w:sz w:val="18"/>
          <w:szCs w:val="18"/>
        </w:rPr>
        <w:t>注：1.</w:t>
      </w:r>
      <w:r>
        <w:rPr>
          <w:rFonts w:hint="eastAsia" w:ascii="Times New Roman" w:hAnsi="Times New Roman"/>
          <w:sz w:val="18"/>
          <w:szCs w:val="18"/>
          <w:lang w:val="en-US" w:eastAsia="zh-CN"/>
        </w:rPr>
        <w:t xml:space="preserve">  </w:t>
      </w:r>
      <w:r>
        <w:rPr>
          <w:rFonts w:ascii="Times New Roman" w:hAnsi="Times New Roman"/>
          <w:i/>
          <w:sz w:val="18"/>
          <w:szCs w:val="18"/>
        </w:rPr>
        <w:t>H</w:t>
      </w:r>
      <w:r>
        <w:rPr>
          <w:rFonts w:ascii="Times New Roman" w:hAnsi="Times New Roman"/>
          <w:sz w:val="18"/>
          <w:szCs w:val="18"/>
        </w:rPr>
        <w:t>为基坑开挖深度（m）</w:t>
      </w:r>
      <w:r>
        <w:rPr>
          <w:rFonts w:hint="eastAsia" w:ascii="Times New Roman" w:hAnsi="Times New Roman"/>
          <w:sz w:val="18"/>
          <w:szCs w:val="18"/>
        </w:rPr>
        <w:t>。</w:t>
      </w:r>
    </w:p>
    <w:p>
      <w:pPr>
        <w:widowControl w:val="0"/>
        <w:rPr>
          <w:rFonts w:ascii="Times New Roman" w:hAnsi="Times New Roman"/>
          <w:sz w:val="18"/>
          <w:szCs w:val="18"/>
        </w:rPr>
      </w:pPr>
      <w:r>
        <w:rPr>
          <w:rFonts w:ascii="Times New Roman" w:hAnsi="Times New Roman"/>
          <w:sz w:val="18"/>
          <w:szCs w:val="18"/>
        </w:rPr>
        <w:tab/>
      </w:r>
      <w:r>
        <w:rPr>
          <w:rFonts w:hint="eastAsia" w:ascii="Times New Roman" w:hAnsi="Times New Roman"/>
          <w:sz w:val="18"/>
          <w:szCs w:val="18"/>
        </w:rPr>
        <w:t xml:space="preserve">   </w:t>
      </w:r>
      <w:r>
        <w:rPr>
          <w:rFonts w:ascii="Times New Roman" w:hAnsi="Times New Roman"/>
          <w:sz w:val="18"/>
          <w:szCs w:val="18"/>
        </w:rPr>
        <w:t>2.</w:t>
      </w:r>
      <w:r>
        <w:rPr>
          <w:rFonts w:hint="eastAsia" w:ascii="Times New Roman" w:hAnsi="Times New Roman"/>
          <w:sz w:val="18"/>
          <w:szCs w:val="18"/>
        </w:rPr>
        <w:t xml:space="preserve"> </w:t>
      </w:r>
      <w:r>
        <w:rPr>
          <w:rFonts w:ascii="Times New Roman" w:hAnsi="Times New Roman"/>
          <w:sz w:val="18"/>
          <w:szCs w:val="18"/>
        </w:rPr>
        <w:t>报警值可按基坑各边情况分别确定。</w:t>
      </w:r>
    </w:p>
    <w:p>
      <w:pPr>
        <w:widowControl w:val="0"/>
        <w:ind w:firstLine="720" w:firstLineChars="400"/>
        <w:rPr>
          <w:rFonts w:ascii="Times New Roman" w:hAnsi="Times New Roman"/>
          <w:sz w:val="21"/>
          <w:szCs w:val="21"/>
        </w:rPr>
      </w:pPr>
      <w:r>
        <w:rPr>
          <w:rFonts w:hint="eastAsia" w:ascii="Times New Roman" w:hAnsi="Times New Roman"/>
          <w:sz w:val="18"/>
          <w:szCs w:val="18"/>
        </w:rPr>
        <w:t>3. 当同一监测项目按以上规定取值不同时，取最小值。</w:t>
      </w:r>
    </w:p>
    <w:p>
      <w:pPr>
        <w:pStyle w:val="3"/>
        <w:bidi w:val="0"/>
      </w:pPr>
      <w:bookmarkStart w:id="854" w:name="_Toc1629"/>
      <w:bookmarkStart w:id="855" w:name="_Toc9435"/>
      <w:bookmarkStart w:id="856" w:name="_Toc12764"/>
      <w:r>
        <w:rPr>
          <w:rFonts w:hint="eastAsia"/>
          <w:lang w:eastAsia="zh-CN"/>
        </w:rPr>
        <w:t>16</w:t>
      </w:r>
      <w:r>
        <w:rPr>
          <w:rFonts w:hint="eastAsia"/>
        </w:rPr>
        <w:t>.5  监测频率</w:t>
      </w:r>
      <w:bookmarkEnd w:id="854"/>
      <w:bookmarkEnd w:id="855"/>
      <w:bookmarkEnd w:id="856"/>
    </w:p>
    <w:p>
      <w:pPr>
        <w:widowControl w:val="0"/>
        <w:spacing w:line="480" w:lineRule="exact"/>
        <w:rPr>
          <w:rFonts w:hint="eastAsia" w:ascii="Times New Roman" w:hAnsi="Times New Roman"/>
          <w:b/>
        </w:rPr>
      </w:pPr>
      <w:r>
        <w:rPr>
          <w:rFonts w:hint="eastAsia" w:ascii="Times New Roman" w:hAnsi="Times New Roman"/>
          <w:b/>
          <w:lang w:eastAsia="zh-CN"/>
        </w:rPr>
        <w:t>16</w:t>
      </w:r>
      <w:r>
        <w:rPr>
          <w:rFonts w:hint="eastAsia" w:ascii="Times New Roman" w:hAnsi="Times New Roman"/>
          <w:b/>
        </w:rPr>
        <w:t>.5.1</w:t>
      </w:r>
      <w:r>
        <w:rPr>
          <w:rFonts w:hint="eastAsia" w:ascii="宋体" w:hAnsi="宋体"/>
          <w:szCs w:val="24"/>
        </w:rPr>
        <w:t>基坑工程监测频率的确定应满足能系统反映监测对象所测项目的重要变化过程而又不遗漏其变化时刻的要求。</w:t>
      </w:r>
    </w:p>
    <w:p>
      <w:pPr>
        <w:widowControl w:val="0"/>
        <w:spacing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.5.2 </w:t>
      </w:r>
      <w:r>
        <w:rPr>
          <w:rFonts w:hint="eastAsia" w:ascii="宋体" w:hAnsi="宋体"/>
          <w:szCs w:val="24"/>
        </w:rPr>
        <w:t>基坑工程监测工作应贯穿于基坑工程和地下工程施工全过程。监测期应从基坑工程施工前开始，直至地下工程完成为止。对有特殊要求的基坑周边环境的监测应根据需要延续至变形趋于稳定后结束。</w:t>
      </w:r>
    </w:p>
    <w:p>
      <w:pPr>
        <w:widowControl w:val="0"/>
        <w:spacing w:after="120"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.5.3 </w:t>
      </w:r>
      <w:r>
        <w:rPr>
          <w:rFonts w:hint="eastAsia" w:ascii="宋体" w:hAnsi="宋体"/>
          <w:szCs w:val="24"/>
        </w:rPr>
        <w:t>监测项目的监测频率应综合考虑基坑类型、基坑及地下工程的不同施工阶段以及周边环境、自然条件的变化和当地经验而确定。当监测值相对稳定时，可适当降低监测频率。对于应测项目，在无数据异常和事故征兆的情况下，可适当降低监测频率。对于应测项目，在无数据异常和事故征兆的情况下，开挖后现场仪器监测频率可按表</w:t>
      </w:r>
      <w:r>
        <w:rPr>
          <w:rFonts w:hint="eastAsia" w:ascii="Times New Roman" w:hAnsi="Times New Roman"/>
          <w:lang w:eastAsia="zh-CN"/>
        </w:rPr>
        <w:t>16</w:t>
      </w:r>
      <w:r>
        <w:rPr>
          <w:rFonts w:hint="eastAsia" w:ascii="Times New Roman" w:hAnsi="Times New Roman"/>
        </w:rPr>
        <w:t>.5.3</w:t>
      </w:r>
      <w:r>
        <w:rPr>
          <w:rFonts w:hint="eastAsia" w:ascii="宋体" w:hAnsi="宋体"/>
          <w:szCs w:val="24"/>
        </w:rPr>
        <w:t>确定。</w:t>
      </w:r>
    </w:p>
    <w:p>
      <w:pPr>
        <w:widowControl w:val="0"/>
        <w:spacing w:after="120" w:line="480" w:lineRule="exact"/>
        <w:jc w:val="center"/>
        <w:rPr>
          <w:rFonts w:ascii="Times New Roman" w:hAnsi="Times New Roman"/>
          <w:b/>
          <w:sz w:val="21"/>
          <w:szCs w:val="21"/>
        </w:rPr>
      </w:pPr>
      <w:r>
        <w:rPr>
          <w:rFonts w:hint="eastAsia" w:ascii="Times New Roman" w:hAnsi="Times New Roman"/>
          <w:b/>
          <w:sz w:val="21"/>
          <w:szCs w:val="21"/>
        </w:rPr>
        <w:t>表</w:t>
      </w:r>
      <w:r>
        <w:rPr>
          <w:rFonts w:hint="eastAsia" w:ascii="Times New Roman" w:hAnsi="Times New Roman"/>
          <w:b/>
          <w:sz w:val="21"/>
          <w:szCs w:val="21"/>
          <w:lang w:eastAsia="zh-CN"/>
        </w:rPr>
        <w:t>16</w:t>
      </w:r>
      <w:r>
        <w:rPr>
          <w:rFonts w:hint="eastAsia" w:ascii="Times New Roman" w:hAnsi="Times New Roman"/>
          <w:b/>
          <w:sz w:val="21"/>
          <w:szCs w:val="21"/>
        </w:rPr>
        <w:t>.5.3  现场仪器监测频率</w:t>
      </w:r>
    </w:p>
    <w:tbl>
      <w:tblPr>
        <w:tblStyle w:val="32"/>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036"/>
        <w:gridCol w:w="1528"/>
        <w:gridCol w:w="245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752" w:type="dxa"/>
            <w:vMerge w:val="restart"/>
            <w:tcBorders>
              <w:tl2br w:val="single" w:color="auto" w:sz="4" w:space="0"/>
            </w:tcBorders>
            <w:vAlign w:val="center"/>
          </w:tcPr>
          <w:p>
            <w:pPr>
              <w:widowControl w:val="0"/>
              <w:spacing w:after="120" w:line="300" w:lineRule="exact"/>
              <w:ind w:firstLine="480"/>
              <w:jc w:val="center"/>
              <w:rPr>
                <w:rFonts w:ascii="Times New Roman" w:hAnsi="Times New Roman"/>
                <w:sz w:val="21"/>
                <w:szCs w:val="21"/>
              </w:rPr>
            </w:pPr>
            <w:r>
              <w:rPr>
                <w:rFonts w:hint="eastAsia" w:ascii="Times New Roman" w:hAnsi="Times New Roman"/>
                <w:sz w:val="21"/>
                <w:szCs w:val="21"/>
              </w:rPr>
              <w:t>施工工况</w:t>
            </w:r>
          </w:p>
          <w:p>
            <w:pPr>
              <w:widowControl w:val="0"/>
              <w:spacing w:after="120" w:line="300" w:lineRule="exact"/>
              <w:ind w:firstLine="480"/>
              <w:jc w:val="center"/>
              <w:rPr>
                <w:rFonts w:ascii="Times New Roman" w:hAnsi="Times New Roman"/>
                <w:sz w:val="21"/>
                <w:szCs w:val="21"/>
              </w:rPr>
            </w:pPr>
          </w:p>
          <w:p>
            <w:pPr>
              <w:widowControl w:val="0"/>
              <w:spacing w:after="120" w:line="300" w:lineRule="exact"/>
              <w:rPr>
                <w:rFonts w:ascii="Times New Roman" w:hAnsi="Times New Roman"/>
                <w:sz w:val="21"/>
                <w:szCs w:val="21"/>
              </w:rPr>
            </w:pPr>
            <w:r>
              <w:rPr>
                <w:rFonts w:hint="eastAsia" w:ascii="Times New Roman" w:hAnsi="Times New Roman"/>
                <w:sz w:val="21"/>
                <w:szCs w:val="21"/>
              </w:rPr>
              <w:t>监测项目分类</w:t>
            </w:r>
          </w:p>
        </w:tc>
        <w:tc>
          <w:tcPr>
            <w:tcW w:w="2036" w:type="dxa"/>
            <w:vMerge w:val="restart"/>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土方开挖前</w:t>
            </w:r>
          </w:p>
        </w:tc>
        <w:tc>
          <w:tcPr>
            <w:tcW w:w="1528" w:type="dxa"/>
            <w:vMerge w:val="restart"/>
            <w:vAlign w:val="center"/>
          </w:tcPr>
          <w:p>
            <w:pPr>
              <w:widowControl w:val="0"/>
              <w:spacing w:line="300" w:lineRule="exact"/>
              <w:jc w:val="center"/>
              <w:rPr>
                <w:rFonts w:ascii="Times New Roman" w:hAnsi="Times New Roman"/>
                <w:sz w:val="21"/>
                <w:szCs w:val="21"/>
              </w:rPr>
            </w:pPr>
            <w:r>
              <w:rPr>
                <w:rFonts w:hint="eastAsia" w:ascii="Times New Roman" w:hAnsi="Times New Roman"/>
                <w:sz w:val="21"/>
                <w:szCs w:val="21"/>
              </w:rPr>
              <w:t>从基坑开始开挖到结构底板浇筑完成后3天</w:t>
            </w:r>
          </w:p>
        </w:tc>
        <w:tc>
          <w:tcPr>
            <w:tcW w:w="3923" w:type="dxa"/>
            <w:gridSpan w:val="2"/>
            <w:vAlign w:val="center"/>
          </w:tcPr>
          <w:p>
            <w:pPr>
              <w:widowControl w:val="0"/>
              <w:spacing w:line="300" w:lineRule="exact"/>
              <w:jc w:val="center"/>
              <w:rPr>
                <w:rFonts w:hint="eastAsia" w:ascii="Times New Roman" w:hAnsi="Times New Roman"/>
                <w:sz w:val="21"/>
                <w:szCs w:val="21"/>
              </w:rPr>
            </w:pPr>
            <w:r>
              <w:rPr>
                <w:rFonts w:hint="eastAsia" w:ascii="Times New Roman" w:hAnsi="Times New Roman"/>
                <w:sz w:val="21"/>
                <w:szCs w:val="21"/>
              </w:rPr>
              <w:t>结构底板浇筑完成后3天到</w:t>
            </w:r>
          </w:p>
          <w:p>
            <w:pPr>
              <w:widowControl w:val="0"/>
              <w:spacing w:line="300" w:lineRule="exact"/>
              <w:jc w:val="center"/>
              <w:rPr>
                <w:rFonts w:ascii="Times New Roman" w:hAnsi="Times New Roman"/>
                <w:sz w:val="21"/>
                <w:szCs w:val="21"/>
              </w:rPr>
            </w:pPr>
            <w:r>
              <w:rPr>
                <w:rFonts w:hint="eastAsia" w:ascii="Times New Roman" w:hAnsi="Times New Roman"/>
                <w:sz w:val="21"/>
                <w:szCs w:val="21"/>
              </w:rPr>
              <w:t>地下结构施工完成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752" w:type="dxa"/>
            <w:vMerge w:val="continue"/>
            <w:tcBorders>
              <w:tl2br w:val="single" w:color="auto" w:sz="4" w:space="0"/>
            </w:tcBorders>
            <w:vAlign w:val="center"/>
          </w:tcPr>
          <w:p>
            <w:pPr>
              <w:widowControl w:val="0"/>
              <w:spacing w:after="120" w:line="300" w:lineRule="exact"/>
              <w:jc w:val="center"/>
              <w:rPr>
                <w:rFonts w:ascii="Times New Roman" w:hAnsi="Times New Roman"/>
                <w:sz w:val="21"/>
                <w:szCs w:val="21"/>
              </w:rPr>
            </w:pPr>
          </w:p>
        </w:tc>
        <w:tc>
          <w:tcPr>
            <w:tcW w:w="2036" w:type="dxa"/>
            <w:vMerge w:val="continue"/>
            <w:vAlign w:val="center"/>
          </w:tcPr>
          <w:p>
            <w:pPr>
              <w:widowControl w:val="0"/>
              <w:spacing w:after="120" w:line="300" w:lineRule="exact"/>
              <w:jc w:val="center"/>
              <w:rPr>
                <w:rFonts w:ascii="Times New Roman" w:hAnsi="Times New Roman"/>
                <w:sz w:val="21"/>
                <w:szCs w:val="21"/>
              </w:rPr>
            </w:pPr>
          </w:p>
        </w:tc>
        <w:tc>
          <w:tcPr>
            <w:tcW w:w="1528" w:type="dxa"/>
            <w:vMerge w:val="continue"/>
            <w:vAlign w:val="center"/>
          </w:tcPr>
          <w:p>
            <w:pPr>
              <w:widowControl w:val="0"/>
              <w:spacing w:line="300" w:lineRule="exact"/>
              <w:jc w:val="center"/>
              <w:rPr>
                <w:rFonts w:ascii="Times New Roman" w:hAnsi="Times New Roman"/>
                <w:sz w:val="21"/>
                <w:szCs w:val="21"/>
              </w:rPr>
            </w:pPr>
          </w:p>
        </w:tc>
        <w:tc>
          <w:tcPr>
            <w:tcW w:w="2450" w:type="dxa"/>
            <w:vAlign w:val="center"/>
          </w:tcPr>
          <w:p>
            <w:pPr>
              <w:widowControl w:val="0"/>
              <w:spacing w:line="300" w:lineRule="exact"/>
              <w:jc w:val="center"/>
              <w:rPr>
                <w:rFonts w:ascii="Times New Roman" w:hAnsi="Times New Roman"/>
                <w:sz w:val="21"/>
                <w:szCs w:val="21"/>
              </w:rPr>
            </w:pPr>
            <w:r>
              <w:rPr>
                <w:rFonts w:hint="eastAsia" w:ascii="Times New Roman" w:hAnsi="Times New Roman"/>
                <w:sz w:val="21"/>
                <w:szCs w:val="21"/>
              </w:rPr>
              <w:t>各道支撑开始拆除到</w:t>
            </w:r>
          </w:p>
          <w:p>
            <w:pPr>
              <w:widowControl w:val="0"/>
              <w:spacing w:line="300" w:lineRule="exact"/>
              <w:jc w:val="center"/>
              <w:rPr>
                <w:rFonts w:ascii="Times New Roman" w:hAnsi="Times New Roman"/>
                <w:sz w:val="21"/>
                <w:szCs w:val="21"/>
              </w:rPr>
            </w:pPr>
            <w:r>
              <w:rPr>
                <w:rFonts w:hint="eastAsia" w:ascii="Times New Roman" w:hAnsi="Times New Roman"/>
                <w:sz w:val="21"/>
                <w:szCs w:val="21"/>
              </w:rPr>
              <w:t>拆除完成后3天</w:t>
            </w:r>
          </w:p>
        </w:tc>
        <w:tc>
          <w:tcPr>
            <w:tcW w:w="1473" w:type="dxa"/>
            <w:vAlign w:val="center"/>
          </w:tcPr>
          <w:p>
            <w:pPr>
              <w:widowControl w:val="0"/>
              <w:spacing w:line="300" w:lineRule="exact"/>
              <w:jc w:val="center"/>
              <w:rPr>
                <w:rFonts w:ascii="Times New Roman" w:hAnsi="Times New Roman"/>
                <w:sz w:val="21"/>
                <w:szCs w:val="21"/>
              </w:rPr>
            </w:pPr>
            <w:r>
              <w:rPr>
                <w:rFonts w:hint="eastAsia" w:ascii="Times New Roman" w:hAnsi="Times New Roman"/>
                <w:sz w:val="21"/>
                <w:szCs w:val="21"/>
              </w:rPr>
              <w:t>一般情况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52" w:type="dxa"/>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应测项目</w:t>
            </w:r>
          </w:p>
        </w:tc>
        <w:tc>
          <w:tcPr>
            <w:tcW w:w="2036" w:type="dxa"/>
            <w:vAlign w:val="center"/>
          </w:tcPr>
          <w:p>
            <w:pPr>
              <w:widowControl w:val="0"/>
              <w:spacing w:line="300" w:lineRule="exact"/>
              <w:jc w:val="center"/>
              <w:rPr>
                <w:rFonts w:ascii="Times New Roman" w:hAnsi="Times New Roman"/>
                <w:sz w:val="21"/>
                <w:szCs w:val="21"/>
              </w:rPr>
            </w:pPr>
            <w:r>
              <w:rPr>
                <w:rFonts w:hint="eastAsia" w:ascii="Times New Roman" w:hAnsi="Times New Roman"/>
                <w:sz w:val="21"/>
                <w:szCs w:val="21"/>
              </w:rPr>
              <w:t>影响明显时1次/天，不明显</w:t>
            </w:r>
            <w:r>
              <w:rPr>
                <w:rFonts w:ascii="Times New Roman" w:hAnsi="Times New Roman"/>
                <w:sz w:val="21"/>
                <w:szCs w:val="21"/>
              </w:rPr>
              <w:t>时1~</w:t>
            </w:r>
            <w:r>
              <w:rPr>
                <w:rFonts w:hint="eastAsia" w:ascii="Times New Roman" w:hAnsi="Times New Roman"/>
                <w:sz w:val="21"/>
                <w:szCs w:val="21"/>
              </w:rPr>
              <w:t>2次/周</w:t>
            </w:r>
          </w:p>
        </w:tc>
        <w:tc>
          <w:tcPr>
            <w:tcW w:w="1528" w:type="dxa"/>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1次/天</w:t>
            </w:r>
          </w:p>
        </w:tc>
        <w:tc>
          <w:tcPr>
            <w:tcW w:w="2450" w:type="dxa"/>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1次/天</w:t>
            </w:r>
          </w:p>
        </w:tc>
        <w:tc>
          <w:tcPr>
            <w:tcW w:w="1473" w:type="dxa"/>
            <w:vAlign w:val="center"/>
          </w:tcPr>
          <w:p>
            <w:pPr>
              <w:widowControl w:val="0"/>
              <w:spacing w:after="120" w:line="300" w:lineRule="exact"/>
              <w:jc w:val="center"/>
              <w:rPr>
                <w:rFonts w:ascii="Times New Roman" w:hAnsi="Times New Roman"/>
                <w:sz w:val="21"/>
                <w:szCs w:val="21"/>
              </w:rPr>
            </w:pPr>
            <w:r>
              <w:rPr>
                <w:rFonts w:ascii="Times New Roman" w:hAnsi="Times New Roman"/>
                <w:sz w:val="21"/>
                <w:szCs w:val="21"/>
              </w:rPr>
              <w:t>2~3次/周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752" w:type="dxa"/>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选测项目</w:t>
            </w:r>
          </w:p>
        </w:tc>
        <w:tc>
          <w:tcPr>
            <w:tcW w:w="2036" w:type="dxa"/>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1次/周</w:t>
            </w:r>
          </w:p>
        </w:tc>
        <w:tc>
          <w:tcPr>
            <w:tcW w:w="1528" w:type="dxa"/>
            <w:vAlign w:val="center"/>
          </w:tcPr>
          <w:p>
            <w:pPr>
              <w:widowControl w:val="0"/>
              <w:spacing w:after="120" w:line="300" w:lineRule="exact"/>
              <w:jc w:val="center"/>
              <w:rPr>
                <w:rFonts w:ascii="Times New Roman" w:hAnsi="Times New Roman"/>
                <w:sz w:val="21"/>
                <w:szCs w:val="21"/>
              </w:rPr>
            </w:pPr>
            <w:r>
              <w:rPr>
                <w:rFonts w:ascii="Times New Roman" w:hAnsi="Times New Roman"/>
                <w:sz w:val="21"/>
                <w:szCs w:val="21"/>
              </w:rPr>
              <w:t>2~3次/周</w:t>
            </w:r>
          </w:p>
        </w:tc>
        <w:tc>
          <w:tcPr>
            <w:tcW w:w="2450" w:type="dxa"/>
            <w:vAlign w:val="center"/>
          </w:tcPr>
          <w:p>
            <w:pPr>
              <w:widowControl w:val="0"/>
              <w:spacing w:after="120" w:line="300" w:lineRule="exact"/>
              <w:jc w:val="center"/>
              <w:rPr>
                <w:rFonts w:ascii="Times New Roman" w:hAnsi="Times New Roman"/>
                <w:sz w:val="21"/>
                <w:szCs w:val="21"/>
              </w:rPr>
            </w:pPr>
            <w:r>
              <w:rPr>
                <w:rFonts w:ascii="Times New Roman" w:hAnsi="Times New Roman"/>
                <w:sz w:val="21"/>
                <w:szCs w:val="21"/>
              </w:rPr>
              <w:t>2~3次/周</w:t>
            </w:r>
          </w:p>
        </w:tc>
        <w:tc>
          <w:tcPr>
            <w:tcW w:w="1473" w:type="dxa"/>
            <w:vAlign w:val="center"/>
          </w:tcPr>
          <w:p>
            <w:pPr>
              <w:widowControl w:val="0"/>
              <w:spacing w:after="120" w:line="300" w:lineRule="exact"/>
              <w:jc w:val="center"/>
              <w:rPr>
                <w:rFonts w:ascii="Times New Roman" w:hAnsi="Times New Roman"/>
                <w:sz w:val="21"/>
                <w:szCs w:val="21"/>
              </w:rPr>
            </w:pPr>
            <w:r>
              <w:rPr>
                <w:rFonts w:hint="eastAsia" w:ascii="Times New Roman" w:hAnsi="Times New Roman"/>
                <w:sz w:val="21"/>
                <w:szCs w:val="21"/>
              </w:rPr>
              <w:t>1次/周</w:t>
            </w:r>
          </w:p>
        </w:tc>
      </w:tr>
    </w:tbl>
    <w:p>
      <w:pPr>
        <w:widowControl w:val="0"/>
        <w:spacing w:after="120" w:line="480" w:lineRule="exact"/>
        <w:rPr>
          <w:rFonts w:ascii="宋体" w:hAnsi="宋体"/>
          <w:szCs w:val="24"/>
        </w:rPr>
      </w:pPr>
      <w:r>
        <w:rPr>
          <w:rFonts w:hint="eastAsia" w:ascii="Times New Roman" w:hAnsi="Times New Roman"/>
          <w:b/>
          <w:lang w:eastAsia="zh-CN"/>
        </w:rPr>
        <w:t>16</w:t>
      </w:r>
      <w:r>
        <w:rPr>
          <w:rFonts w:hint="eastAsia" w:ascii="Times New Roman" w:hAnsi="Times New Roman"/>
          <w:b/>
        </w:rPr>
        <w:t xml:space="preserve">.5.4 </w:t>
      </w:r>
      <w:r>
        <w:rPr>
          <w:rFonts w:hint="eastAsia" w:ascii="宋体" w:hAnsi="宋体"/>
          <w:szCs w:val="24"/>
        </w:rPr>
        <w:t>当出现下列情况之一时，应提高监测频率：</w:t>
      </w:r>
    </w:p>
    <w:p>
      <w:pPr>
        <w:widowControl w:val="0"/>
        <w:spacing w:line="360" w:lineRule="auto"/>
        <w:ind w:firstLine="481" w:firstLineChars="200"/>
        <w:rPr>
          <w:rFonts w:ascii="Times New Roman" w:hAnsi="Times New Roman"/>
          <w:b/>
        </w:rPr>
      </w:pPr>
      <w:r>
        <w:rPr>
          <w:rFonts w:hint="eastAsia" w:ascii="Times New Roman" w:hAnsi="Times New Roman"/>
          <w:b/>
        </w:rPr>
        <w:t xml:space="preserve">1 </w:t>
      </w:r>
      <w:r>
        <w:rPr>
          <w:rFonts w:hint="eastAsia" w:ascii="Times New Roman" w:hAnsi="Times New Roman"/>
        </w:rPr>
        <w:t>监测数据达到报警值；</w:t>
      </w:r>
    </w:p>
    <w:p>
      <w:pPr>
        <w:widowControl w:val="0"/>
        <w:spacing w:line="360" w:lineRule="auto"/>
        <w:ind w:firstLine="481" w:firstLineChars="200"/>
        <w:rPr>
          <w:rFonts w:ascii="Times New Roman" w:hAnsi="Times New Roman"/>
          <w:szCs w:val="24"/>
        </w:rPr>
      </w:pPr>
      <w:r>
        <w:rPr>
          <w:rFonts w:ascii="Times New Roman" w:hAnsi="Times New Roman"/>
          <w:b/>
        </w:rPr>
        <w:t>2</w:t>
      </w:r>
      <w:r>
        <w:rPr>
          <w:rFonts w:hint="eastAsia" w:ascii="Times New Roman" w:hAnsi="Times New Roman"/>
          <w:b/>
        </w:rPr>
        <w:t xml:space="preserve"> </w:t>
      </w:r>
      <w:r>
        <w:rPr>
          <w:rFonts w:hint="eastAsia" w:ascii="Times New Roman" w:hAnsi="Times New Roman"/>
          <w:szCs w:val="24"/>
        </w:rPr>
        <w:t>监测数据变化较大或者速率加快；</w:t>
      </w:r>
    </w:p>
    <w:p>
      <w:pPr>
        <w:widowControl w:val="0"/>
        <w:spacing w:line="360" w:lineRule="auto"/>
        <w:ind w:firstLine="481" w:firstLineChars="200"/>
        <w:rPr>
          <w:rFonts w:ascii="Times New Roman" w:hAnsi="Times New Roman"/>
          <w:szCs w:val="24"/>
        </w:rPr>
      </w:pPr>
      <w:r>
        <w:rPr>
          <w:rFonts w:hint="eastAsia" w:ascii="Times New Roman" w:hAnsi="Times New Roman"/>
          <w:b/>
        </w:rPr>
        <w:t>3</w:t>
      </w:r>
      <w:r>
        <w:rPr>
          <w:rFonts w:hint="eastAsia" w:ascii="Times New Roman" w:hAnsi="Times New Roman"/>
          <w:szCs w:val="24"/>
        </w:rPr>
        <w:t xml:space="preserve"> 存在勘察未发现的不良地质；</w:t>
      </w:r>
    </w:p>
    <w:p>
      <w:pPr>
        <w:widowControl w:val="0"/>
        <w:spacing w:line="360" w:lineRule="auto"/>
        <w:ind w:firstLine="481" w:firstLineChars="200"/>
        <w:rPr>
          <w:rFonts w:ascii="Times New Roman" w:hAnsi="Times New Roman"/>
          <w:b/>
        </w:rPr>
      </w:pPr>
      <w:r>
        <w:rPr>
          <w:rFonts w:hint="eastAsia" w:ascii="Times New Roman" w:hAnsi="Times New Roman"/>
          <w:b/>
        </w:rPr>
        <w:t xml:space="preserve">4 </w:t>
      </w:r>
      <w:r>
        <w:rPr>
          <w:rFonts w:hint="eastAsia" w:ascii="Times New Roman" w:hAnsi="Times New Roman"/>
        </w:rPr>
        <w:t>超深、超长开挖或未及时加撑等违反设计工况施工；</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5 </w:t>
      </w:r>
      <w:r>
        <w:rPr>
          <w:rFonts w:hint="eastAsia" w:ascii="Times New Roman" w:hAnsi="Times New Roman"/>
          <w:szCs w:val="24"/>
        </w:rPr>
        <w:t>基坑及周边大量积水、长时间连续降雨、市政管道出现泄漏；</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6 </w:t>
      </w:r>
      <w:r>
        <w:rPr>
          <w:rFonts w:hint="eastAsia" w:ascii="Times New Roman" w:hAnsi="Times New Roman"/>
          <w:szCs w:val="24"/>
        </w:rPr>
        <w:t>基坑附近地面荷载突然增大或超过设计限值；</w:t>
      </w:r>
    </w:p>
    <w:p>
      <w:pPr>
        <w:widowControl w:val="0"/>
        <w:spacing w:line="360" w:lineRule="auto"/>
        <w:ind w:firstLine="481" w:firstLineChars="200"/>
        <w:rPr>
          <w:rFonts w:ascii="Times New Roman" w:hAnsi="Times New Roman"/>
          <w:szCs w:val="24"/>
        </w:rPr>
      </w:pPr>
      <w:r>
        <w:rPr>
          <w:rFonts w:hint="eastAsia" w:ascii="Times New Roman" w:hAnsi="Times New Roman"/>
          <w:b/>
        </w:rPr>
        <w:t>7</w:t>
      </w:r>
      <w:r>
        <w:rPr>
          <w:rFonts w:hint="eastAsia" w:ascii="Times New Roman" w:hAnsi="Times New Roman"/>
          <w:szCs w:val="24"/>
        </w:rPr>
        <w:t xml:space="preserve"> 支护结构出现开裂；</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8 </w:t>
      </w:r>
      <w:r>
        <w:rPr>
          <w:rFonts w:hint="eastAsia" w:ascii="Times New Roman" w:hAnsi="Times New Roman"/>
          <w:szCs w:val="24"/>
        </w:rPr>
        <w:t>周边地面突发较大沉降或出现严重开裂；</w:t>
      </w:r>
    </w:p>
    <w:p>
      <w:pPr>
        <w:widowControl w:val="0"/>
        <w:spacing w:line="360" w:lineRule="auto"/>
        <w:ind w:firstLine="481" w:firstLineChars="200"/>
        <w:rPr>
          <w:rFonts w:ascii="Times New Roman" w:hAnsi="Times New Roman"/>
          <w:szCs w:val="24"/>
        </w:rPr>
      </w:pPr>
      <w:r>
        <w:rPr>
          <w:rFonts w:hint="eastAsia" w:ascii="Times New Roman" w:hAnsi="Times New Roman"/>
          <w:b/>
        </w:rPr>
        <w:t>9</w:t>
      </w:r>
      <w:r>
        <w:rPr>
          <w:rFonts w:hint="eastAsia" w:ascii="Times New Roman" w:hAnsi="Times New Roman"/>
          <w:szCs w:val="24"/>
        </w:rPr>
        <w:t xml:space="preserve"> 邻近建筑突发较大沉降、不均匀沉降或出现严重开裂；</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10 </w:t>
      </w:r>
      <w:r>
        <w:rPr>
          <w:rFonts w:hint="eastAsia" w:ascii="Times New Roman" w:hAnsi="Times New Roman"/>
          <w:szCs w:val="24"/>
        </w:rPr>
        <w:t>基坑底部、侧壁出现管涌、渗漏或流土等现象；</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11 </w:t>
      </w:r>
      <w:r>
        <w:rPr>
          <w:rFonts w:hint="eastAsia" w:ascii="Times New Roman" w:hAnsi="Times New Roman"/>
          <w:szCs w:val="24"/>
        </w:rPr>
        <w:t>基坑工程发生事故后重新组织施工；</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12 </w:t>
      </w:r>
      <w:r>
        <w:rPr>
          <w:rFonts w:hint="eastAsia" w:ascii="Times New Roman" w:hAnsi="Times New Roman"/>
          <w:szCs w:val="24"/>
        </w:rPr>
        <w:t>出现其他影响基坑及周边环境安全的异常情况。</w:t>
      </w:r>
    </w:p>
    <w:p>
      <w:pPr>
        <w:widowControl w:val="0"/>
        <w:spacing w:line="360" w:lineRule="auto"/>
        <w:rPr>
          <w:rFonts w:hint="eastAsia"/>
        </w:rPr>
      </w:pPr>
      <w:r>
        <w:rPr>
          <w:rFonts w:hint="eastAsia" w:ascii="Times New Roman" w:hAnsi="Times New Roman"/>
          <w:b/>
          <w:lang w:eastAsia="zh-CN"/>
        </w:rPr>
        <w:t>16</w:t>
      </w:r>
      <w:r>
        <w:rPr>
          <w:rFonts w:hint="eastAsia" w:ascii="Times New Roman" w:hAnsi="Times New Roman"/>
          <w:b/>
        </w:rPr>
        <w:t>.5.5</w:t>
      </w:r>
      <w:r>
        <w:rPr>
          <w:rFonts w:hint="eastAsia"/>
          <w:szCs w:val="24"/>
        </w:rPr>
        <w:t>当有危险事故征兆时，应及时跟踪监测。</w:t>
      </w:r>
    </w:p>
    <w:p>
      <w:pPr>
        <w:pStyle w:val="3"/>
        <w:bidi w:val="0"/>
      </w:pPr>
      <w:bookmarkStart w:id="857" w:name="_Toc16020"/>
      <w:bookmarkStart w:id="858" w:name="_Toc25375"/>
      <w:bookmarkStart w:id="859" w:name="_Toc24528"/>
      <w:r>
        <w:rPr>
          <w:rFonts w:hint="eastAsia"/>
          <w:lang w:eastAsia="zh-CN"/>
        </w:rPr>
        <w:t>16</w:t>
      </w:r>
      <w:r>
        <w:rPr>
          <w:rFonts w:hint="eastAsia"/>
        </w:rPr>
        <w:t>.6  报告编写</w:t>
      </w:r>
      <w:bookmarkEnd w:id="857"/>
      <w:bookmarkEnd w:id="858"/>
      <w:bookmarkEnd w:id="859"/>
    </w:p>
    <w:p>
      <w:pPr>
        <w:widowControl w:val="0"/>
        <w:spacing w:line="360" w:lineRule="auto"/>
        <w:rPr>
          <w:szCs w:val="24"/>
        </w:rPr>
      </w:pPr>
      <w:r>
        <w:rPr>
          <w:rFonts w:hint="eastAsia" w:ascii="Times New Roman" w:hAnsi="Times New Roman"/>
          <w:b/>
          <w:lang w:eastAsia="zh-CN"/>
        </w:rPr>
        <w:t>16</w:t>
      </w:r>
      <w:r>
        <w:rPr>
          <w:rFonts w:hint="eastAsia" w:ascii="Times New Roman" w:hAnsi="Times New Roman"/>
          <w:b/>
        </w:rPr>
        <w:t>.6.1</w:t>
      </w:r>
      <w:r>
        <w:rPr>
          <w:rFonts w:hint="eastAsia"/>
          <w:szCs w:val="24"/>
        </w:rPr>
        <w:t>阶段性报告应包括下列内容：</w:t>
      </w:r>
    </w:p>
    <w:p>
      <w:pPr>
        <w:widowControl w:val="0"/>
        <w:spacing w:line="360" w:lineRule="auto"/>
        <w:ind w:firstLine="481" w:firstLineChars="200"/>
        <w:rPr>
          <w:rFonts w:ascii="Times New Roman" w:hAnsi="Times New Roman"/>
          <w:szCs w:val="24"/>
        </w:rPr>
      </w:pPr>
      <w:r>
        <w:rPr>
          <w:rFonts w:hint="eastAsia" w:ascii="Times New Roman" w:hAnsi="Times New Roman"/>
          <w:b/>
        </w:rPr>
        <w:t>1</w:t>
      </w:r>
      <w:r>
        <w:rPr>
          <w:rFonts w:hint="eastAsia" w:ascii="Times New Roman" w:hAnsi="Times New Roman"/>
          <w:szCs w:val="24"/>
        </w:rPr>
        <w:t xml:space="preserve"> 该监测阶段相应的工程、气象及周边环境概况；</w:t>
      </w:r>
    </w:p>
    <w:p>
      <w:pPr>
        <w:widowControl w:val="0"/>
        <w:spacing w:line="360" w:lineRule="auto"/>
        <w:ind w:firstLine="481" w:firstLineChars="200"/>
        <w:rPr>
          <w:rFonts w:ascii="Times New Roman" w:hAnsi="Times New Roman"/>
          <w:szCs w:val="24"/>
        </w:rPr>
      </w:pPr>
      <w:r>
        <w:rPr>
          <w:rFonts w:hint="eastAsia" w:ascii="Times New Roman" w:hAnsi="Times New Roman"/>
          <w:b/>
        </w:rPr>
        <w:t>2</w:t>
      </w:r>
      <w:r>
        <w:rPr>
          <w:rFonts w:hint="eastAsia" w:ascii="Times New Roman" w:hAnsi="Times New Roman"/>
          <w:szCs w:val="24"/>
        </w:rPr>
        <w:t xml:space="preserve"> 该监测阶段的监测项目及监测点的布置图；</w:t>
      </w:r>
    </w:p>
    <w:p>
      <w:pPr>
        <w:widowControl w:val="0"/>
        <w:spacing w:line="360" w:lineRule="auto"/>
        <w:ind w:firstLine="481" w:firstLineChars="200"/>
        <w:rPr>
          <w:rFonts w:ascii="Times New Roman" w:hAnsi="Times New Roman"/>
          <w:szCs w:val="24"/>
        </w:rPr>
      </w:pPr>
      <w:r>
        <w:rPr>
          <w:rFonts w:hint="eastAsia" w:ascii="Times New Roman" w:hAnsi="Times New Roman"/>
          <w:b/>
        </w:rPr>
        <w:t>3</w:t>
      </w:r>
      <w:r>
        <w:rPr>
          <w:rFonts w:hint="eastAsia" w:ascii="Times New Roman" w:hAnsi="Times New Roman"/>
          <w:szCs w:val="24"/>
        </w:rPr>
        <w:t xml:space="preserve"> 各项监测数据的整理、统计及监测成果的过程曲线；</w:t>
      </w:r>
    </w:p>
    <w:p>
      <w:pPr>
        <w:widowControl w:val="0"/>
        <w:spacing w:line="360" w:lineRule="auto"/>
        <w:ind w:firstLine="481" w:firstLineChars="200"/>
        <w:rPr>
          <w:rFonts w:ascii="Times New Roman" w:hAnsi="Times New Roman"/>
          <w:szCs w:val="24"/>
        </w:rPr>
      </w:pPr>
      <w:r>
        <w:rPr>
          <w:rFonts w:hint="eastAsia" w:ascii="Times New Roman" w:hAnsi="Times New Roman"/>
          <w:b/>
        </w:rPr>
        <w:t>4</w:t>
      </w:r>
      <w:r>
        <w:rPr>
          <w:rFonts w:hint="eastAsia" w:ascii="Times New Roman" w:hAnsi="Times New Roman"/>
          <w:szCs w:val="24"/>
        </w:rPr>
        <w:t xml:space="preserve"> 各监测项目监测值的变化分析、评价及发展预测；</w:t>
      </w:r>
    </w:p>
    <w:p>
      <w:pPr>
        <w:widowControl w:val="0"/>
        <w:spacing w:line="360" w:lineRule="auto"/>
        <w:ind w:firstLine="481" w:firstLineChars="200"/>
        <w:rPr>
          <w:rFonts w:ascii="Times New Roman" w:hAnsi="Times New Roman"/>
          <w:szCs w:val="24"/>
        </w:rPr>
      </w:pPr>
      <w:r>
        <w:rPr>
          <w:rFonts w:hint="eastAsia" w:ascii="Times New Roman" w:hAnsi="Times New Roman"/>
          <w:b/>
        </w:rPr>
        <w:t xml:space="preserve">5 </w:t>
      </w:r>
      <w:r>
        <w:rPr>
          <w:rFonts w:hint="eastAsia" w:ascii="Times New Roman" w:hAnsi="Times New Roman"/>
          <w:szCs w:val="24"/>
        </w:rPr>
        <w:t>相关的设计和施工建议。</w:t>
      </w:r>
    </w:p>
    <w:p>
      <w:pPr>
        <w:widowControl w:val="0"/>
        <w:spacing w:line="360" w:lineRule="auto"/>
        <w:rPr>
          <w:rFonts w:ascii="Times New Roman" w:hAnsi="Times New Roman"/>
          <w:szCs w:val="24"/>
        </w:rPr>
      </w:pPr>
      <w:r>
        <w:rPr>
          <w:rFonts w:hint="eastAsia" w:ascii="Times New Roman" w:hAnsi="Times New Roman"/>
          <w:b/>
          <w:lang w:eastAsia="zh-CN"/>
        </w:rPr>
        <w:t>16</w:t>
      </w:r>
      <w:r>
        <w:rPr>
          <w:rFonts w:hint="eastAsia" w:ascii="Times New Roman" w:hAnsi="Times New Roman"/>
          <w:b/>
        </w:rPr>
        <w:t>.6.2</w:t>
      </w:r>
      <w:r>
        <w:rPr>
          <w:rFonts w:hint="eastAsia" w:ascii="Times New Roman" w:hAnsi="Times New Roman"/>
          <w:szCs w:val="24"/>
        </w:rPr>
        <w:t>总结报告应包括下列内容：</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1 工程概况；</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2 监测依据；</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3 监测项目；</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4 监测点布置；</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5 监测设备和监测方法；</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6 监测频率；</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7 监测报警值；</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8 各监测项目全过程的发展变化分析及整体评述；</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9 监测工作结论与建议。</w:t>
      </w:r>
      <w:r>
        <w:rPr>
          <w:rFonts w:ascii="Times New Roman" w:hAnsi="Times New Roman"/>
          <w:szCs w:val="24"/>
        </w:rPr>
        <w:br w:type="page"/>
      </w:r>
    </w:p>
    <w:p>
      <w:pPr>
        <w:pStyle w:val="2"/>
        <w:bidi w:val="0"/>
        <w:rPr>
          <w:sz w:val="36"/>
          <w:szCs w:val="36"/>
        </w:rPr>
      </w:pPr>
      <w:bookmarkStart w:id="860" w:name="_Toc10014"/>
      <w:bookmarkStart w:id="861" w:name="_Toc8944"/>
      <w:r>
        <w:rPr>
          <w:rFonts w:hint="eastAsia"/>
          <w:sz w:val="36"/>
          <w:szCs w:val="36"/>
        </w:rPr>
        <w:t>附录A  锚杆抗拔试验要点</w:t>
      </w:r>
      <w:bookmarkEnd w:id="860"/>
      <w:bookmarkEnd w:id="861"/>
    </w:p>
    <w:p>
      <w:pPr>
        <w:pStyle w:val="3"/>
        <w:bidi w:val="0"/>
      </w:pPr>
      <w:bookmarkStart w:id="862" w:name="_Toc384310107"/>
      <w:bookmarkStart w:id="863" w:name="_Toc384300166"/>
      <w:bookmarkStart w:id="864" w:name="_Toc381951627"/>
      <w:bookmarkStart w:id="865" w:name="_Toc382559772"/>
      <w:bookmarkStart w:id="866" w:name="_Toc375039723"/>
      <w:bookmarkStart w:id="867" w:name="_Toc382559934"/>
      <w:bookmarkStart w:id="868" w:name="_Toc384309886"/>
      <w:bookmarkStart w:id="869" w:name="_Toc381951432"/>
      <w:bookmarkStart w:id="870" w:name="_Toc381950786"/>
      <w:bookmarkStart w:id="871" w:name="_Toc26912"/>
      <w:bookmarkStart w:id="872" w:name="_Toc385518867"/>
      <w:bookmarkStart w:id="873" w:name="_Toc5713"/>
      <w:bookmarkStart w:id="874" w:name="_Toc388643471"/>
      <w:bookmarkStart w:id="875" w:name="_Toc381951048"/>
      <w:bookmarkStart w:id="876" w:name="_Toc388643588"/>
      <w:bookmarkStart w:id="877" w:name="_Toc26244"/>
      <w:bookmarkStart w:id="878" w:name="_Toc368170520"/>
      <w:bookmarkStart w:id="879" w:name="_Toc384304394"/>
      <w:bookmarkStart w:id="880" w:name="_Toc385581740"/>
      <w:bookmarkStart w:id="881" w:name="_Toc385576964"/>
      <w:bookmarkStart w:id="882" w:name="_Toc384300314"/>
      <w:r>
        <w:rPr>
          <w:rFonts w:hint="eastAsia"/>
        </w:rPr>
        <w:t>A</w:t>
      </w:r>
      <w:r>
        <w:t>.1</w:t>
      </w:r>
      <w:r>
        <w:rPr>
          <w:rFonts w:hint="eastAsia"/>
        </w:rPr>
        <w:t xml:space="preserve"> 一般规定</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bookmarkStart w:id="883" w:name="_Toc384300170"/>
      <w:bookmarkStart w:id="884" w:name="_Toc382559938"/>
      <w:bookmarkStart w:id="885" w:name="_Toc388643592"/>
      <w:bookmarkStart w:id="886" w:name="_Toc18182"/>
      <w:bookmarkStart w:id="887" w:name="_Toc381951631"/>
      <w:bookmarkStart w:id="888" w:name="_Toc375039727"/>
      <w:bookmarkStart w:id="889" w:name="_Toc385581744"/>
      <w:bookmarkStart w:id="890" w:name="_Toc385576968"/>
      <w:bookmarkStart w:id="891" w:name="_Toc384309890"/>
      <w:bookmarkStart w:id="892" w:name="_Toc382559776"/>
      <w:bookmarkStart w:id="893" w:name="_Toc384300318"/>
      <w:bookmarkStart w:id="894" w:name="_Toc384304398"/>
      <w:bookmarkStart w:id="895" w:name="_Toc381950790"/>
      <w:bookmarkStart w:id="896" w:name="_Toc381951052"/>
      <w:bookmarkStart w:id="897" w:name="_Toc388643475"/>
      <w:bookmarkStart w:id="898" w:name="_Toc381951436"/>
      <w:bookmarkStart w:id="899" w:name="_Toc385518871"/>
      <w:bookmarkStart w:id="900" w:name="_Toc384310111"/>
      <w:r>
        <w:rPr>
          <w:rFonts w:hint="eastAsia" w:ascii="Times New Roman" w:hAnsi="Times New Roman"/>
          <w:b/>
        </w:rPr>
        <w:t>A.1.1</w:t>
      </w:r>
      <w:r>
        <w:rPr>
          <w:rFonts w:hint="eastAsia" w:ascii="宋体" w:hAnsi="宋体"/>
          <w:szCs w:val="24"/>
        </w:rPr>
        <w:t xml:space="preserve"> 试验锚杆的参数、材料、施工工艺及其所处的地质条件应与工程锚杆相同。</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 xml:space="preserve">A.1.2 </w:t>
      </w:r>
      <w:r>
        <w:rPr>
          <w:rFonts w:hint="eastAsia" w:ascii="宋体" w:hAnsi="宋体"/>
          <w:color w:val="auto"/>
          <w:szCs w:val="24"/>
        </w:rPr>
        <w:t>锚杆抗拔承载力检测应随机抽样，抽样应能代表不同地层土性和不同抗拔力要求，宜分层检测；对施工质量有疑义的锚杆应进行抽检。</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 xml:space="preserve">A.1.3 </w:t>
      </w:r>
      <w:r>
        <w:rPr>
          <w:rFonts w:hint="eastAsia" w:ascii="宋体" w:hAnsi="宋体"/>
          <w:szCs w:val="24"/>
        </w:rPr>
        <w:t>锚杆抗拔试验应在锚固段注浆固结体强度达到</w:t>
      </w:r>
      <w:r>
        <w:rPr>
          <w:rFonts w:hint="eastAsia" w:ascii="Times New Roman" w:hAnsi="Times New Roman"/>
          <w:szCs w:val="24"/>
        </w:rPr>
        <w:t>15</w:t>
      </w:r>
      <w:r>
        <w:rPr>
          <w:rFonts w:hint="eastAsia" w:ascii="宋体" w:hAnsi="宋体"/>
          <w:szCs w:val="24"/>
        </w:rPr>
        <w:t>MPa或达到设计强度的</w:t>
      </w:r>
      <w:r>
        <w:rPr>
          <w:rFonts w:hint="eastAsia" w:ascii="Times New Roman" w:hAnsi="Times New Roman"/>
          <w:szCs w:val="24"/>
        </w:rPr>
        <w:t>75</w:t>
      </w:r>
      <w:r>
        <w:rPr>
          <w:rFonts w:hint="eastAsia" w:ascii="宋体" w:hAnsi="宋体"/>
          <w:szCs w:val="24"/>
        </w:rPr>
        <w:t>%后进行。</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 xml:space="preserve">A.1.4 </w:t>
      </w:r>
      <w:r>
        <w:rPr>
          <w:rFonts w:hint="eastAsia" w:ascii="宋体" w:hAnsi="宋体"/>
          <w:szCs w:val="24"/>
        </w:rPr>
        <w:t>加载装置(千斤顶、油压系统)的额定压力必须大于最大试验压力，且试验前应进行标定。</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pacing w:val="-4"/>
          <w:szCs w:val="24"/>
        </w:rPr>
      </w:pPr>
      <w:r>
        <w:rPr>
          <w:rFonts w:hint="eastAsia" w:ascii="Times New Roman" w:hAnsi="Times New Roman"/>
          <w:b/>
        </w:rPr>
        <w:t>A.1.5</w:t>
      </w:r>
      <w:r>
        <w:rPr>
          <w:rFonts w:hint="eastAsia" w:ascii="宋体" w:hAnsi="宋体"/>
          <w:b/>
        </w:rPr>
        <w:t xml:space="preserve"> </w:t>
      </w:r>
      <w:r>
        <w:rPr>
          <w:rFonts w:hint="eastAsia" w:ascii="宋体" w:hAnsi="宋体"/>
          <w:spacing w:val="-4"/>
          <w:szCs w:val="24"/>
        </w:rPr>
        <w:t>加载反力装置的承载力和刚度应满足最大试验荷载的要求，加载时千斤顶应与锚杆同轴。</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A.1.6</w:t>
      </w:r>
      <w:r>
        <w:rPr>
          <w:rFonts w:hint="eastAsia" w:ascii="宋体" w:hAnsi="宋体"/>
          <w:szCs w:val="24"/>
        </w:rPr>
        <w:t xml:space="preserve"> 计量仪表(位移计、压力表)的精度应满足试验要求。</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A.1.7</w:t>
      </w:r>
      <w:r>
        <w:rPr>
          <w:rFonts w:hint="eastAsia" w:ascii="宋体" w:hAnsi="宋体"/>
          <w:szCs w:val="24"/>
        </w:rPr>
        <w:t xml:space="preserve"> 试验锚杆宜在自由段设置消除自由段摩阻力的装置。</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 xml:space="preserve">A.1.8 </w:t>
      </w:r>
      <w:r>
        <w:rPr>
          <w:rFonts w:hint="eastAsia" w:ascii="宋体" w:hAnsi="宋体"/>
          <w:szCs w:val="24"/>
        </w:rPr>
        <w:t>最大试验荷载下的锚杆杆体应力，不应超过其极限强度标准值的</w:t>
      </w:r>
      <w:r>
        <w:rPr>
          <w:rFonts w:hint="eastAsia" w:ascii="Times New Roman" w:hAnsi="Times New Roman"/>
          <w:szCs w:val="24"/>
        </w:rPr>
        <w:t>0</w:t>
      </w:r>
      <w:r>
        <w:rPr>
          <w:rFonts w:hint="eastAsia" w:ascii="宋体" w:hAnsi="宋体"/>
          <w:szCs w:val="24"/>
        </w:rPr>
        <w:t>.</w:t>
      </w:r>
      <w:r>
        <w:rPr>
          <w:rFonts w:hint="eastAsia" w:ascii="Times New Roman" w:hAnsi="Times New Roman"/>
          <w:szCs w:val="24"/>
        </w:rPr>
        <w:t>85</w:t>
      </w:r>
      <w:r>
        <w:rPr>
          <w:rFonts w:hint="eastAsia" w:ascii="宋体" w:hAnsi="宋体"/>
          <w:szCs w:val="24"/>
        </w:rPr>
        <w:t>倍。</w:t>
      </w:r>
    </w:p>
    <w:p>
      <w:pPr>
        <w:pStyle w:val="3"/>
        <w:bidi w:val="0"/>
      </w:pPr>
      <w:bookmarkStart w:id="901" w:name="_Toc381951628"/>
      <w:bookmarkStart w:id="902" w:name="_Toc382559935"/>
      <w:bookmarkStart w:id="903" w:name="_Toc384300315"/>
      <w:bookmarkStart w:id="904" w:name="_Toc381951049"/>
      <w:bookmarkStart w:id="905" w:name="_Toc381951433"/>
      <w:bookmarkStart w:id="906" w:name="_Toc3685"/>
      <w:bookmarkStart w:id="907" w:name="_Toc375039724"/>
      <w:bookmarkStart w:id="908" w:name="_Toc382559773"/>
      <w:bookmarkStart w:id="909" w:name="_Toc368170521"/>
      <w:bookmarkStart w:id="910" w:name="_Toc32647"/>
      <w:bookmarkStart w:id="911" w:name="_Toc388643589"/>
      <w:bookmarkStart w:id="912" w:name="_Toc385581741"/>
      <w:bookmarkStart w:id="913" w:name="_Toc384304395"/>
      <w:bookmarkStart w:id="914" w:name="_Toc30983"/>
      <w:bookmarkStart w:id="915" w:name="_Toc384309887"/>
      <w:bookmarkStart w:id="916" w:name="_Toc388643472"/>
      <w:bookmarkStart w:id="917" w:name="_Toc381950787"/>
      <w:bookmarkStart w:id="918" w:name="_Toc385576965"/>
      <w:bookmarkStart w:id="919" w:name="_Toc385518868"/>
      <w:bookmarkStart w:id="920" w:name="_Toc384300167"/>
      <w:bookmarkStart w:id="921" w:name="_Toc384310108"/>
      <w:r>
        <w:rPr>
          <w:rFonts w:hint="eastAsia"/>
        </w:rPr>
        <w:t>A</w:t>
      </w:r>
      <w:r>
        <w:t xml:space="preserve">.2 </w:t>
      </w:r>
      <w:r>
        <w:rPr>
          <w:rFonts w:hint="eastAsia"/>
        </w:rPr>
        <w:t>基本试验</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pPr>
        <w:widowControl w:val="0"/>
        <w:tabs>
          <w:tab w:val="left" w:pos="658"/>
          <w:tab w:val="left" w:pos="1078"/>
          <w:tab w:val="left" w:pos="1274"/>
          <w:tab w:val="left" w:pos="1620"/>
          <w:tab w:val="left" w:pos="2520"/>
          <w:tab w:val="left" w:pos="4680"/>
          <w:tab w:val="left" w:pos="7020"/>
        </w:tabs>
        <w:spacing w:line="480" w:lineRule="exact"/>
        <w:rPr>
          <w:rFonts w:ascii="宋体" w:hAnsi="宋体"/>
          <w:b/>
          <w:szCs w:val="24"/>
        </w:rPr>
      </w:pPr>
      <w:r>
        <w:rPr>
          <w:rFonts w:hint="eastAsia" w:ascii="Times New Roman" w:hAnsi="Times New Roman"/>
          <w:b/>
        </w:rPr>
        <w:t>A.2</w:t>
      </w:r>
      <w:r>
        <w:rPr>
          <w:rFonts w:ascii="Times New Roman" w:hAnsi="Times New Roman"/>
          <w:b/>
        </w:rPr>
        <w:t>.</w:t>
      </w:r>
      <w:r>
        <w:rPr>
          <w:rFonts w:hint="eastAsia" w:ascii="Times New Roman" w:hAnsi="Times New Roman"/>
          <w:b/>
        </w:rPr>
        <w:t>1</w:t>
      </w:r>
      <w:r>
        <w:rPr>
          <w:rFonts w:ascii="宋体" w:hAnsi="宋体"/>
          <w:szCs w:val="24"/>
        </w:rPr>
        <w:t xml:space="preserve"> </w:t>
      </w:r>
      <w:r>
        <w:rPr>
          <w:rFonts w:hint="eastAsia" w:ascii="宋体" w:hAnsi="宋体"/>
          <w:szCs w:val="24"/>
        </w:rPr>
        <w:t>同一条件下极限抗拔承载力试验的锚杆数量不应少于</w:t>
      </w:r>
      <w:r>
        <w:rPr>
          <w:rFonts w:hint="eastAsia" w:ascii="Times New Roman" w:hAnsi="Times New Roman"/>
          <w:szCs w:val="24"/>
        </w:rPr>
        <w:t>3</w:t>
      </w:r>
      <w:r>
        <w:rPr>
          <w:rFonts w:hint="eastAsia" w:ascii="宋体" w:hAnsi="宋体"/>
          <w:szCs w:val="24"/>
        </w:rPr>
        <w:t>根。</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A.2</w:t>
      </w:r>
      <w:r>
        <w:rPr>
          <w:rFonts w:ascii="Times New Roman" w:hAnsi="Times New Roman"/>
          <w:b/>
        </w:rPr>
        <w:t>.</w:t>
      </w:r>
      <w:r>
        <w:rPr>
          <w:rFonts w:hint="eastAsia" w:ascii="Times New Roman" w:hAnsi="Times New Roman"/>
          <w:b/>
        </w:rPr>
        <w:t>2</w:t>
      </w:r>
      <w:r>
        <w:rPr>
          <w:rFonts w:ascii="Times New Roman" w:hAnsi="Times New Roman"/>
          <w:b/>
        </w:rPr>
        <w:t xml:space="preserve"> </w:t>
      </w:r>
      <w:r>
        <w:rPr>
          <w:rFonts w:hint="eastAsia" w:ascii="宋体" w:hAnsi="宋体"/>
          <w:szCs w:val="24"/>
        </w:rPr>
        <w:t>确定锚杆极限抗拔承载力的试验，最大试验荷载不应小于预估破坏荷载，且试验锚杆的杆体截面面积应符合本</w:t>
      </w:r>
      <w:r>
        <w:rPr>
          <w:rFonts w:hint="eastAsia" w:ascii="宋体" w:hAnsi="宋体"/>
          <w:szCs w:val="24"/>
          <w:lang w:eastAsia="zh-CN"/>
        </w:rPr>
        <w:t>标准</w:t>
      </w:r>
      <w:r>
        <w:rPr>
          <w:rFonts w:hint="eastAsia" w:ascii="宋体" w:hAnsi="宋体"/>
          <w:szCs w:val="24"/>
        </w:rPr>
        <w:t>第A</w:t>
      </w:r>
      <w:r>
        <w:rPr>
          <w:rFonts w:ascii="宋体" w:hAnsi="宋体"/>
          <w:szCs w:val="24"/>
        </w:rPr>
        <w:t>.</w:t>
      </w:r>
      <w:r>
        <w:rPr>
          <w:rFonts w:hint="eastAsia" w:ascii="Times New Roman" w:hAnsi="Times New Roman"/>
          <w:szCs w:val="24"/>
        </w:rPr>
        <w:t>1</w:t>
      </w:r>
      <w:r>
        <w:rPr>
          <w:rFonts w:ascii="宋体" w:hAnsi="宋体"/>
          <w:szCs w:val="24"/>
        </w:rPr>
        <w:t>.</w:t>
      </w:r>
      <w:r>
        <w:rPr>
          <w:rFonts w:hint="eastAsia" w:ascii="Times New Roman" w:hAnsi="Times New Roman"/>
          <w:szCs w:val="24"/>
        </w:rPr>
        <w:t>7</w:t>
      </w:r>
      <w:r>
        <w:rPr>
          <w:rFonts w:hint="eastAsia" w:ascii="宋体" w:hAnsi="宋体"/>
          <w:szCs w:val="24"/>
        </w:rPr>
        <w:t>条</w:t>
      </w:r>
      <w:r>
        <w:rPr>
          <w:rFonts w:hint="eastAsia"/>
        </w:rPr>
        <w:t>对锚杆杆体应力</w:t>
      </w:r>
      <w:r>
        <w:rPr>
          <w:rFonts w:hint="eastAsia" w:ascii="宋体" w:hAnsi="宋体"/>
          <w:szCs w:val="24"/>
        </w:rPr>
        <w:t>的规定。必要时，可增加试验锚杆的杆体截面面积。</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b/>
          <w:szCs w:val="24"/>
        </w:rPr>
      </w:pPr>
      <w:r>
        <w:rPr>
          <w:rFonts w:hint="eastAsia" w:ascii="Times New Roman" w:hAnsi="Times New Roman"/>
          <w:b/>
        </w:rPr>
        <w:t>A.2</w:t>
      </w:r>
      <w:r>
        <w:rPr>
          <w:rFonts w:ascii="Times New Roman" w:hAnsi="Times New Roman"/>
          <w:b/>
        </w:rPr>
        <w:t>.</w:t>
      </w:r>
      <w:r>
        <w:rPr>
          <w:rFonts w:hint="eastAsia" w:ascii="Times New Roman" w:hAnsi="Times New Roman"/>
          <w:b/>
        </w:rPr>
        <w:t>3</w:t>
      </w:r>
      <w:r>
        <w:rPr>
          <w:rFonts w:ascii="宋体" w:hAnsi="宋体"/>
          <w:szCs w:val="24"/>
        </w:rPr>
        <w:t xml:space="preserve"> </w:t>
      </w:r>
      <w:r>
        <w:rPr>
          <w:rFonts w:hint="eastAsia" w:ascii="宋体" w:hAnsi="宋体"/>
          <w:szCs w:val="24"/>
        </w:rPr>
        <w:t>锚杆极限抗拔承载力试验宜采用多循环加载法，其加载分级和锚头位移观测时间应按表A</w:t>
      </w:r>
      <w:r>
        <w:rPr>
          <w:rFonts w:ascii="宋体" w:hAnsi="宋体"/>
          <w:szCs w:val="24"/>
        </w:rPr>
        <w:t>.</w:t>
      </w:r>
      <w:r>
        <w:rPr>
          <w:rFonts w:ascii="Times New Roman" w:hAnsi="Times New Roman"/>
          <w:szCs w:val="24"/>
        </w:rPr>
        <w:t>2</w:t>
      </w:r>
      <w:r>
        <w:rPr>
          <w:rFonts w:ascii="宋体" w:hAnsi="宋体"/>
          <w:szCs w:val="24"/>
        </w:rPr>
        <w:t>.</w:t>
      </w:r>
      <w:r>
        <w:rPr>
          <w:rFonts w:hint="eastAsia" w:ascii="Times New Roman" w:hAnsi="Times New Roman"/>
          <w:szCs w:val="24"/>
        </w:rPr>
        <w:t>3</w:t>
      </w:r>
      <w:r>
        <w:rPr>
          <w:rFonts w:hint="eastAsia" w:ascii="宋体" w:hAnsi="宋体"/>
          <w:szCs w:val="24"/>
        </w:rPr>
        <w:t>确定。</w:t>
      </w:r>
    </w:p>
    <w:p>
      <w:pPr>
        <w:widowControl w:val="0"/>
        <w:tabs>
          <w:tab w:val="left" w:pos="658"/>
          <w:tab w:val="left" w:pos="1078"/>
          <w:tab w:val="left" w:pos="1274"/>
          <w:tab w:val="left" w:pos="1620"/>
          <w:tab w:val="left" w:pos="2520"/>
          <w:tab w:val="left" w:pos="4680"/>
          <w:tab w:val="left" w:pos="7020"/>
        </w:tabs>
        <w:spacing w:line="480" w:lineRule="exact"/>
        <w:jc w:val="center"/>
        <w:rPr>
          <w:rFonts w:ascii="宋体" w:hAnsi="宋体"/>
          <w:b/>
          <w:sz w:val="21"/>
          <w:szCs w:val="21"/>
        </w:rPr>
      </w:pPr>
      <w:r>
        <w:rPr>
          <w:rFonts w:hint="eastAsia" w:ascii="宋体" w:hAnsi="宋体"/>
          <w:b/>
          <w:sz w:val="21"/>
          <w:szCs w:val="21"/>
        </w:rPr>
        <w:t>表A.</w:t>
      </w:r>
      <w:r>
        <w:rPr>
          <w:rFonts w:hint="eastAsia" w:ascii="Times New Roman" w:hAnsi="Times New Roman"/>
          <w:b/>
          <w:sz w:val="21"/>
          <w:szCs w:val="21"/>
        </w:rPr>
        <w:t>2</w:t>
      </w:r>
      <w:r>
        <w:rPr>
          <w:rFonts w:hint="eastAsia" w:ascii="宋体" w:hAnsi="宋体"/>
          <w:b/>
          <w:sz w:val="21"/>
          <w:szCs w:val="21"/>
        </w:rPr>
        <w:t>.</w:t>
      </w:r>
      <w:r>
        <w:rPr>
          <w:rFonts w:hint="eastAsia" w:ascii="Times New Roman" w:hAnsi="Times New Roman"/>
          <w:b/>
          <w:sz w:val="21"/>
          <w:szCs w:val="21"/>
        </w:rPr>
        <w:t>3</w:t>
      </w:r>
      <w:r>
        <w:rPr>
          <w:rFonts w:hint="eastAsia" w:ascii="宋体" w:hAnsi="宋体"/>
          <w:b/>
          <w:sz w:val="21"/>
          <w:szCs w:val="21"/>
        </w:rPr>
        <w:t xml:space="preserve">  多循环加载试验的加载分级与锚头位移观测时间</w:t>
      </w:r>
    </w:p>
    <w:tbl>
      <w:tblPr>
        <w:tblStyle w:val="3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31"/>
        <w:gridCol w:w="1140"/>
        <w:gridCol w:w="1046"/>
        <w:gridCol w:w="1046"/>
        <w:gridCol w:w="1046"/>
        <w:gridCol w:w="1046"/>
        <w:gridCol w:w="1046"/>
        <w:gridCol w:w="10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4" w:hRule="atLeast"/>
          <w:jc w:val="center"/>
        </w:trPr>
        <w:tc>
          <w:tcPr>
            <w:tcW w:w="1331" w:type="dxa"/>
            <w:vMerge w:val="restart"/>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循环次数</w:t>
            </w:r>
          </w:p>
        </w:tc>
        <w:tc>
          <w:tcPr>
            <w:tcW w:w="7416" w:type="dxa"/>
            <w:gridSpan w:val="7"/>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分级荷载与最大试验荷载的百分比（%）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4" w:hRule="atLeast"/>
          <w:jc w:val="center"/>
        </w:trPr>
        <w:tc>
          <w:tcPr>
            <w:tcW w:w="1331" w:type="dxa"/>
            <w:vMerge w:val="continue"/>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初始荷载</w:t>
            </w:r>
          </w:p>
        </w:tc>
        <w:tc>
          <w:tcPr>
            <w:tcW w:w="3138" w:type="dxa"/>
            <w:gridSpan w:val="3"/>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加载过程</w:t>
            </w:r>
          </w:p>
        </w:tc>
        <w:tc>
          <w:tcPr>
            <w:tcW w:w="3138" w:type="dxa"/>
            <w:gridSpan w:val="3"/>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卸载过程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331"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第一循环</w:t>
            </w: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20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40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40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20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331"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第二循环</w:t>
            </w: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30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60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30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331"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第三循环</w:t>
            </w: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40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60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70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60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40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331"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第四循环</w:t>
            </w: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70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80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70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331"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第五循环</w:t>
            </w: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60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80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90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80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60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331"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第六循环</w:t>
            </w:r>
          </w:p>
        </w:tc>
        <w:tc>
          <w:tcPr>
            <w:tcW w:w="1140"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70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90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90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70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2471" w:type="dxa"/>
            <w:gridSpan w:val="2"/>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sz w:val="21"/>
                <w:szCs w:val="21"/>
              </w:rPr>
              <w:t>观测时间(min)</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10</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w:t>
            </w:r>
          </w:p>
        </w:tc>
        <w:tc>
          <w:tcPr>
            <w:tcW w:w="1046" w:type="dxa"/>
            <w:vAlign w:val="center"/>
          </w:tcPr>
          <w:p>
            <w:pPr>
              <w:widowControl w:val="0"/>
              <w:tabs>
                <w:tab w:val="left" w:pos="658"/>
                <w:tab w:val="left" w:pos="1078"/>
                <w:tab w:val="left" w:pos="1274"/>
                <w:tab w:val="left" w:pos="1620"/>
                <w:tab w:val="left" w:pos="2520"/>
                <w:tab w:val="left" w:pos="4680"/>
                <w:tab w:val="left" w:pos="7020"/>
              </w:tabs>
              <w:spacing w:line="40" w:lineRule="atLeast"/>
              <w:jc w:val="center"/>
              <w:rPr>
                <w:sz w:val="21"/>
                <w:szCs w:val="21"/>
              </w:rPr>
            </w:pPr>
            <w:r>
              <w:rPr>
                <w:rFonts w:hint="eastAsia" w:ascii="Times New Roman" w:hAnsi="Times New Roman"/>
                <w:sz w:val="21"/>
                <w:szCs w:val="21"/>
              </w:rPr>
              <w:t>5</w:t>
            </w:r>
          </w:p>
        </w:tc>
      </w:tr>
    </w:tbl>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.2.</w:t>
      </w:r>
      <w:r>
        <w:rPr>
          <w:rFonts w:hint="eastAsia" w:ascii="Times New Roman" w:hAnsi="Times New Roman"/>
          <w:b/>
        </w:rPr>
        <w:t>4</w:t>
      </w:r>
      <w:r>
        <w:rPr>
          <w:rFonts w:ascii="Times New Roman" w:hAnsi="Times New Roman"/>
          <w:b/>
        </w:rPr>
        <w:t xml:space="preserve"> </w:t>
      </w:r>
      <w:r>
        <w:rPr>
          <w:rFonts w:hint="eastAsia" w:ascii="宋体" w:hAnsi="宋体"/>
          <w:szCs w:val="24"/>
        </w:rPr>
        <w:t>当锚杆极限抗拔承载力试验采用单循环加载法时，其加载分级和锚头位移观测时间应按本</w:t>
      </w:r>
      <w:r>
        <w:rPr>
          <w:rFonts w:hint="eastAsia" w:ascii="宋体" w:hAnsi="宋体"/>
          <w:szCs w:val="24"/>
          <w:lang w:eastAsia="zh-CN"/>
        </w:rPr>
        <w:t>标准</w:t>
      </w:r>
      <w:r>
        <w:rPr>
          <w:rFonts w:hint="eastAsia" w:ascii="宋体" w:hAnsi="宋体"/>
          <w:szCs w:val="24"/>
        </w:rPr>
        <w:t>表A</w:t>
      </w:r>
      <w:r>
        <w:rPr>
          <w:rFonts w:ascii="宋体" w:hAnsi="宋体"/>
          <w:szCs w:val="24"/>
        </w:rPr>
        <w:t>.</w:t>
      </w:r>
      <w:r>
        <w:rPr>
          <w:rFonts w:ascii="Times New Roman" w:hAnsi="Times New Roman"/>
          <w:szCs w:val="24"/>
        </w:rPr>
        <w:t>2</w:t>
      </w:r>
      <w:r>
        <w:rPr>
          <w:rFonts w:ascii="宋体" w:hAnsi="宋体"/>
          <w:szCs w:val="24"/>
        </w:rPr>
        <w:t>.</w:t>
      </w:r>
      <w:r>
        <w:rPr>
          <w:rFonts w:hint="eastAsia" w:ascii="Times New Roman" w:hAnsi="Times New Roman"/>
          <w:szCs w:val="24"/>
        </w:rPr>
        <w:t>3</w:t>
      </w:r>
      <w:r>
        <w:rPr>
          <w:rFonts w:hint="eastAsia" w:ascii="宋体" w:hAnsi="宋体"/>
          <w:szCs w:val="24"/>
        </w:rPr>
        <w:t>中每一循环的最大荷载及相应的观测时间逐级加载和卸载。</w:t>
      </w:r>
    </w:p>
    <w:p>
      <w:pPr>
        <w:widowControl w:val="0"/>
        <w:tabs>
          <w:tab w:val="left" w:pos="658"/>
          <w:tab w:val="left" w:pos="1078"/>
          <w:tab w:val="left" w:pos="1274"/>
          <w:tab w:val="left" w:pos="1620"/>
          <w:tab w:val="left" w:pos="2520"/>
          <w:tab w:val="left" w:pos="4680"/>
          <w:tab w:val="left" w:pos="7020"/>
        </w:tabs>
        <w:spacing w:line="480" w:lineRule="exact"/>
        <w:rPr>
          <w:rFonts w:ascii="Times New Roman" w:hAnsi="Times New Roman"/>
        </w:rPr>
      </w:pPr>
      <w:r>
        <w:rPr>
          <w:rFonts w:hint="eastAsia" w:ascii="Times New Roman" w:hAnsi="Times New Roman"/>
          <w:b/>
        </w:rPr>
        <w:t>A</w:t>
      </w:r>
      <w:r>
        <w:rPr>
          <w:rFonts w:ascii="Times New Roman" w:hAnsi="Times New Roman"/>
          <w:b/>
        </w:rPr>
        <w:t>.2.</w:t>
      </w:r>
      <w:r>
        <w:rPr>
          <w:rFonts w:hint="eastAsia" w:ascii="Times New Roman" w:hAnsi="Times New Roman"/>
          <w:b/>
        </w:rPr>
        <w:t xml:space="preserve">5 </w:t>
      </w:r>
      <w:r>
        <w:rPr>
          <w:rFonts w:hint="eastAsia" w:ascii="Times New Roman" w:hAnsi="Times New Roman"/>
        </w:rPr>
        <w:t>锚杆极限抗拔承载力试验，其锚头位移测读和加卸载应符合下列规定：</w:t>
      </w:r>
    </w:p>
    <w:p>
      <w:pPr>
        <w:widowControl w:val="0"/>
        <w:tabs>
          <w:tab w:val="left" w:pos="658"/>
          <w:tab w:val="left" w:pos="1078"/>
          <w:tab w:val="left" w:pos="1274"/>
          <w:tab w:val="left" w:pos="1620"/>
          <w:tab w:val="left" w:pos="2520"/>
          <w:tab w:val="left" w:pos="4680"/>
          <w:tab w:val="left" w:pos="7020"/>
        </w:tabs>
        <w:spacing w:line="480" w:lineRule="exact"/>
        <w:ind w:firstLine="360" w:firstLineChars="150"/>
        <w:rPr>
          <w:rFonts w:ascii="Times New Roman" w:hAnsi="Times New Roman"/>
        </w:rPr>
      </w:pPr>
      <w:r>
        <w:rPr>
          <w:rFonts w:hint="eastAsia" w:ascii="Times New Roman" w:hAnsi="Times New Roman"/>
        </w:rPr>
        <w:t>1 初始荷载下，应测读锚头位移基准值3次，当每间隔5min的读数相同时，方可作为锚头位移基准值；</w:t>
      </w:r>
    </w:p>
    <w:p>
      <w:pPr>
        <w:widowControl w:val="0"/>
        <w:tabs>
          <w:tab w:val="left" w:pos="658"/>
          <w:tab w:val="left" w:pos="1078"/>
          <w:tab w:val="left" w:pos="1274"/>
          <w:tab w:val="left" w:pos="1620"/>
          <w:tab w:val="left" w:pos="2520"/>
          <w:tab w:val="left" w:pos="4680"/>
          <w:tab w:val="left" w:pos="7020"/>
        </w:tabs>
        <w:spacing w:line="480" w:lineRule="exact"/>
        <w:ind w:firstLine="360" w:firstLineChars="150"/>
        <w:rPr>
          <w:rFonts w:ascii="宋体" w:hAnsi="宋体"/>
          <w:szCs w:val="24"/>
        </w:rPr>
      </w:pPr>
      <w:r>
        <w:rPr>
          <w:rFonts w:hint="eastAsia" w:ascii="Times New Roman" w:hAnsi="Times New Roman"/>
          <w:szCs w:val="24"/>
        </w:rPr>
        <w:t xml:space="preserve">2 </w:t>
      </w:r>
      <w:r>
        <w:rPr>
          <w:rFonts w:hint="eastAsia" w:ascii="宋体" w:hAnsi="宋体"/>
          <w:szCs w:val="24"/>
        </w:rPr>
        <w:t>每级加、卸荷载稳定后，在观测时间内测读锚头位移不应少于</w:t>
      </w:r>
      <w:r>
        <w:rPr>
          <w:rFonts w:hint="eastAsia" w:ascii="Times New Roman" w:hAnsi="Times New Roman"/>
          <w:szCs w:val="24"/>
        </w:rPr>
        <w:t>3</w:t>
      </w:r>
      <w:r>
        <w:rPr>
          <w:rFonts w:hint="eastAsia" w:ascii="宋体" w:hAnsi="宋体"/>
          <w:szCs w:val="24"/>
        </w:rPr>
        <w:t>次；</w:t>
      </w:r>
    </w:p>
    <w:p>
      <w:pPr>
        <w:widowControl w:val="0"/>
        <w:tabs>
          <w:tab w:val="left" w:pos="658"/>
          <w:tab w:val="left" w:pos="1078"/>
          <w:tab w:val="left" w:pos="1274"/>
          <w:tab w:val="left" w:pos="1620"/>
          <w:tab w:val="left" w:pos="2520"/>
          <w:tab w:val="left" w:pos="4680"/>
          <w:tab w:val="left" w:pos="7020"/>
        </w:tabs>
        <w:spacing w:line="480" w:lineRule="exact"/>
        <w:ind w:firstLine="360" w:firstLineChars="150"/>
        <w:rPr>
          <w:rFonts w:ascii="宋体" w:hAnsi="宋体"/>
          <w:szCs w:val="24"/>
        </w:rPr>
      </w:pPr>
      <w:r>
        <w:rPr>
          <w:rFonts w:hint="eastAsia" w:ascii="Times New Roman" w:hAnsi="Times New Roman"/>
          <w:szCs w:val="24"/>
        </w:rPr>
        <w:t xml:space="preserve">3 </w:t>
      </w:r>
      <w:r>
        <w:rPr>
          <w:rFonts w:hint="eastAsia" w:ascii="宋体" w:hAnsi="宋体"/>
          <w:szCs w:val="24"/>
        </w:rPr>
        <w:t>在每级荷载的观测时间内，当锚头位移增量不大于</w:t>
      </w:r>
      <w:r>
        <w:rPr>
          <w:rFonts w:hint="eastAsia" w:ascii="Times New Roman" w:hAnsi="Times New Roman"/>
          <w:szCs w:val="24"/>
        </w:rPr>
        <w:t>0</w:t>
      </w:r>
      <w:r>
        <w:rPr>
          <w:rFonts w:hint="eastAsia" w:ascii="宋体" w:hAnsi="宋体"/>
          <w:szCs w:val="24"/>
        </w:rPr>
        <w:t>.1mm时，可施加下一级荷载；否则应延长观测时间，并应每隔30min测读锚头位移1次，当连续两次出现1h内的锚头位移增量小于</w:t>
      </w:r>
      <w:r>
        <w:rPr>
          <w:rFonts w:hint="eastAsia" w:ascii="Times New Roman" w:hAnsi="Times New Roman"/>
          <w:szCs w:val="24"/>
        </w:rPr>
        <w:t>0</w:t>
      </w:r>
      <w:r>
        <w:rPr>
          <w:rFonts w:hint="eastAsia" w:ascii="宋体" w:hAnsi="宋体"/>
          <w:szCs w:val="24"/>
        </w:rPr>
        <w:t>.1mm时，可施加下一级荷载；</w:t>
      </w:r>
    </w:p>
    <w:p>
      <w:pPr>
        <w:widowControl w:val="0"/>
        <w:tabs>
          <w:tab w:val="left" w:pos="658"/>
          <w:tab w:val="left" w:pos="1078"/>
          <w:tab w:val="left" w:pos="1274"/>
          <w:tab w:val="left" w:pos="1620"/>
          <w:tab w:val="left" w:pos="2520"/>
          <w:tab w:val="left" w:pos="4680"/>
          <w:tab w:val="left" w:pos="7020"/>
        </w:tabs>
        <w:spacing w:line="480" w:lineRule="exact"/>
        <w:ind w:firstLine="360" w:firstLineChars="150"/>
        <w:rPr>
          <w:rFonts w:ascii="宋体" w:hAnsi="宋体"/>
          <w:szCs w:val="24"/>
        </w:rPr>
      </w:pPr>
      <w:r>
        <w:rPr>
          <w:rFonts w:hint="eastAsia" w:ascii="宋体" w:hAnsi="宋体"/>
          <w:szCs w:val="24"/>
        </w:rPr>
        <w:t>4 加至最大试验荷载后，当未出现本</w:t>
      </w:r>
      <w:r>
        <w:rPr>
          <w:rFonts w:hint="eastAsia" w:ascii="宋体" w:hAnsi="宋体"/>
          <w:szCs w:val="24"/>
          <w:lang w:eastAsia="zh-CN"/>
        </w:rPr>
        <w:t>标准</w:t>
      </w:r>
      <w:r>
        <w:rPr>
          <w:rFonts w:hint="eastAsia" w:ascii="宋体" w:hAnsi="宋体"/>
          <w:szCs w:val="24"/>
        </w:rPr>
        <w:t>第A.</w:t>
      </w:r>
      <w:r>
        <w:rPr>
          <w:rFonts w:hint="eastAsia" w:ascii="Times New Roman" w:hAnsi="Times New Roman"/>
          <w:szCs w:val="24"/>
        </w:rPr>
        <w:t>2</w:t>
      </w:r>
      <w:r>
        <w:rPr>
          <w:rFonts w:hint="eastAsia" w:ascii="宋体" w:hAnsi="宋体"/>
          <w:szCs w:val="24"/>
        </w:rPr>
        <w:t>.</w:t>
      </w:r>
      <w:r>
        <w:rPr>
          <w:rFonts w:hint="eastAsia" w:ascii="Times New Roman" w:hAnsi="Times New Roman"/>
          <w:szCs w:val="24"/>
        </w:rPr>
        <w:t>6</w:t>
      </w:r>
      <w:r>
        <w:rPr>
          <w:rFonts w:hint="eastAsia" w:ascii="宋体" w:hAnsi="宋体"/>
          <w:szCs w:val="24"/>
        </w:rPr>
        <w:t>条规定的终止加载情况，且继续加载后满足本</w:t>
      </w:r>
      <w:r>
        <w:rPr>
          <w:rFonts w:hint="eastAsia" w:ascii="宋体" w:hAnsi="宋体"/>
          <w:szCs w:val="24"/>
          <w:lang w:eastAsia="zh-CN"/>
        </w:rPr>
        <w:t>标准</w:t>
      </w:r>
      <w:r>
        <w:rPr>
          <w:rFonts w:hint="eastAsia" w:ascii="宋体" w:hAnsi="宋体"/>
          <w:szCs w:val="24"/>
        </w:rPr>
        <w:t>第A.</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7</w:t>
      </w:r>
      <w:r>
        <w:rPr>
          <w:rFonts w:hint="eastAsia" w:ascii="宋体" w:hAnsi="宋体"/>
          <w:szCs w:val="24"/>
        </w:rPr>
        <w:t>条对锚杆</w:t>
      </w:r>
      <w:r>
        <w:rPr>
          <w:rFonts w:hint="eastAsia"/>
          <w:szCs w:val="24"/>
        </w:rPr>
        <w:t>杆体应力</w:t>
      </w:r>
      <w:r>
        <w:rPr>
          <w:rFonts w:hint="eastAsia" w:ascii="宋体" w:hAnsi="宋体"/>
          <w:szCs w:val="24"/>
        </w:rPr>
        <w:t>的要求时，宜继续进行下一循环加载，加卸载的各分级荷载增量宜取最大试验荷载的</w:t>
      </w:r>
      <w:r>
        <w:rPr>
          <w:rFonts w:hint="eastAsia" w:ascii="Times New Roman" w:hAnsi="Times New Roman"/>
          <w:szCs w:val="24"/>
        </w:rPr>
        <w:t>10</w:t>
      </w:r>
      <w:r>
        <w:rPr>
          <w:rFonts w:hint="eastAsia" w:ascii="宋体" w:hAnsi="宋体"/>
          <w:szCs w:val="24"/>
        </w:rPr>
        <w:t>％。</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.2.</w:t>
      </w:r>
      <w:r>
        <w:rPr>
          <w:rFonts w:hint="eastAsia" w:ascii="Times New Roman" w:hAnsi="Times New Roman"/>
          <w:b/>
        </w:rPr>
        <w:t>6</w:t>
      </w:r>
      <w:r>
        <w:rPr>
          <w:rFonts w:ascii="宋体" w:hAnsi="宋体"/>
          <w:szCs w:val="24"/>
        </w:rPr>
        <w:t xml:space="preserve"> </w:t>
      </w:r>
      <w:r>
        <w:rPr>
          <w:rFonts w:hint="eastAsia" w:ascii="宋体" w:hAnsi="宋体"/>
          <w:szCs w:val="24"/>
        </w:rPr>
        <w:t>锚杆试验中遇下列情况之一时，应终止继续加载：</w:t>
      </w:r>
    </w:p>
    <w:p>
      <w:pPr>
        <w:widowControl w:val="0"/>
        <w:tabs>
          <w:tab w:val="left" w:pos="658"/>
          <w:tab w:val="left" w:pos="1078"/>
          <w:tab w:val="left" w:pos="1274"/>
          <w:tab w:val="left" w:pos="1620"/>
          <w:tab w:val="left" w:pos="2520"/>
          <w:tab w:val="left" w:pos="4680"/>
          <w:tab w:val="left" w:pos="7020"/>
        </w:tabs>
        <w:spacing w:line="480" w:lineRule="exact"/>
        <w:ind w:firstLine="422"/>
        <w:rPr>
          <w:rFonts w:ascii="宋体" w:hAnsi="宋体"/>
          <w:szCs w:val="24"/>
        </w:rPr>
      </w:pPr>
      <w:r>
        <w:rPr>
          <w:rFonts w:ascii="Times New Roman" w:hAnsi="Times New Roman"/>
          <w:szCs w:val="24"/>
        </w:rPr>
        <w:t>1</w:t>
      </w:r>
      <w:r>
        <w:rPr>
          <w:rFonts w:ascii="宋体" w:hAnsi="宋体"/>
          <w:szCs w:val="24"/>
        </w:rPr>
        <w:t xml:space="preserve"> </w:t>
      </w:r>
      <w:r>
        <w:rPr>
          <w:rFonts w:hint="eastAsia" w:ascii="宋体" w:hAnsi="宋体"/>
          <w:szCs w:val="24"/>
        </w:rPr>
        <w:t>从第二级加载开始，后一级荷载产生的单位荷载下的锚头位移增量大于前一级荷载产生的单位荷载下的锚</w:t>
      </w:r>
      <w:r>
        <w:rPr>
          <w:rFonts w:hint="eastAsia" w:ascii="宋体" w:hAnsi="宋体"/>
          <w:color w:val="1F497D"/>
          <w:szCs w:val="24"/>
        </w:rPr>
        <w:t>杆</w:t>
      </w:r>
      <w:r>
        <w:rPr>
          <w:rFonts w:hint="eastAsia" w:ascii="宋体" w:hAnsi="宋体"/>
          <w:szCs w:val="24"/>
        </w:rPr>
        <w:t>位移增量的</w:t>
      </w:r>
      <w:r>
        <w:rPr>
          <w:rFonts w:hint="eastAsia" w:ascii="Times New Roman" w:hAnsi="Times New Roman"/>
          <w:szCs w:val="24"/>
        </w:rPr>
        <w:t>5</w:t>
      </w:r>
      <w:r>
        <w:rPr>
          <w:rFonts w:hint="eastAsia" w:ascii="宋体" w:hAnsi="宋体"/>
          <w:szCs w:val="24"/>
        </w:rPr>
        <w:t>倍；</w:t>
      </w:r>
    </w:p>
    <w:p>
      <w:pPr>
        <w:widowControl w:val="0"/>
        <w:tabs>
          <w:tab w:val="left" w:pos="658"/>
          <w:tab w:val="left" w:pos="1078"/>
          <w:tab w:val="left" w:pos="1274"/>
          <w:tab w:val="left" w:pos="1620"/>
          <w:tab w:val="left" w:pos="2520"/>
          <w:tab w:val="left" w:pos="4680"/>
          <w:tab w:val="left" w:pos="7020"/>
        </w:tabs>
        <w:spacing w:line="480" w:lineRule="exact"/>
        <w:ind w:firstLine="422"/>
        <w:rPr>
          <w:rFonts w:ascii="宋体" w:hAnsi="宋体"/>
          <w:szCs w:val="24"/>
        </w:rPr>
      </w:pPr>
      <w:r>
        <w:rPr>
          <w:rFonts w:ascii="Times New Roman" w:hAnsi="Times New Roman"/>
          <w:szCs w:val="24"/>
        </w:rPr>
        <w:t>2</w:t>
      </w:r>
      <w:r>
        <w:rPr>
          <w:rFonts w:ascii="宋体" w:hAnsi="宋体"/>
          <w:szCs w:val="24"/>
        </w:rPr>
        <w:t xml:space="preserve"> </w:t>
      </w:r>
      <w:r>
        <w:rPr>
          <w:rFonts w:hint="eastAsia" w:ascii="宋体" w:hAnsi="宋体"/>
          <w:szCs w:val="24"/>
        </w:rPr>
        <w:t>锚头位移不收敛；</w:t>
      </w:r>
    </w:p>
    <w:p>
      <w:pPr>
        <w:widowControl w:val="0"/>
        <w:tabs>
          <w:tab w:val="left" w:pos="658"/>
          <w:tab w:val="left" w:pos="1078"/>
          <w:tab w:val="left" w:pos="1274"/>
          <w:tab w:val="left" w:pos="1620"/>
          <w:tab w:val="left" w:pos="2520"/>
          <w:tab w:val="left" w:pos="4680"/>
          <w:tab w:val="left" w:pos="7020"/>
        </w:tabs>
        <w:spacing w:line="480" w:lineRule="exact"/>
        <w:ind w:firstLine="422"/>
        <w:rPr>
          <w:rFonts w:ascii="宋体" w:hAnsi="宋体"/>
          <w:szCs w:val="24"/>
        </w:rPr>
      </w:pPr>
      <w:r>
        <w:rPr>
          <w:rFonts w:ascii="Times New Roman" w:hAnsi="Times New Roman"/>
          <w:szCs w:val="24"/>
        </w:rPr>
        <w:t>3</w:t>
      </w:r>
      <w:r>
        <w:rPr>
          <w:rFonts w:ascii="宋体" w:hAnsi="宋体"/>
          <w:szCs w:val="24"/>
        </w:rPr>
        <w:t xml:space="preserve"> </w:t>
      </w:r>
      <w:r>
        <w:rPr>
          <w:rFonts w:hint="eastAsia" w:ascii="宋体" w:hAnsi="宋体"/>
          <w:szCs w:val="24"/>
        </w:rPr>
        <w:t>锚杆杆体破坏。</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.2.</w:t>
      </w:r>
      <w:r>
        <w:rPr>
          <w:rFonts w:hint="eastAsia" w:ascii="Times New Roman" w:hAnsi="Times New Roman"/>
          <w:b/>
        </w:rPr>
        <w:t>7</w:t>
      </w:r>
      <w:r>
        <w:rPr>
          <w:rFonts w:ascii="Times New Roman" w:hAnsi="Times New Roman"/>
          <w:b/>
        </w:rPr>
        <w:t xml:space="preserve"> </w:t>
      </w:r>
      <w:r>
        <w:rPr>
          <w:rFonts w:hint="eastAsia" w:ascii="Times New Roman" w:hAnsi="Times New Roman"/>
          <w:sz w:val="21"/>
          <w:szCs w:val="21"/>
        </w:rPr>
        <w:t>多</w:t>
      </w:r>
      <w:r>
        <w:rPr>
          <w:rFonts w:hint="eastAsia" w:ascii="宋体" w:hAnsi="宋体"/>
          <w:szCs w:val="24"/>
        </w:rPr>
        <w:t>循环加载试验应绘制锚杆的荷载—位移</w:t>
      </w:r>
      <w:r>
        <w:rPr>
          <w:rFonts w:ascii="宋体" w:hAnsi="宋体"/>
          <w:szCs w:val="24"/>
        </w:rPr>
        <w:t>(</w:t>
      </w:r>
      <w:r>
        <w:rPr>
          <w:rFonts w:ascii="宋体" w:hAnsi="宋体"/>
          <w:i/>
          <w:szCs w:val="24"/>
        </w:rPr>
        <w:t>Q</w:t>
      </w:r>
      <w:r>
        <w:rPr>
          <w:rFonts w:hint="eastAsia" w:ascii="宋体" w:hAnsi="宋体"/>
          <w:szCs w:val="24"/>
        </w:rPr>
        <w:t>—</w:t>
      </w:r>
      <w:r>
        <w:rPr>
          <w:rFonts w:hint="eastAsia" w:ascii="宋体" w:hAnsi="宋体"/>
          <w:i/>
          <w:szCs w:val="24"/>
        </w:rPr>
        <w:t>s</w:t>
      </w:r>
      <w:r>
        <w:rPr>
          <w:rFonts w:ascii="宋体" w:hAnsi="宋体"/>
          <w:szCs w:val="24"/>
        </w:rPr>
        <w:t>)</w:t>
      </w:r>
      <w:r>
        <w:rPr>
          <w:rFonts w:hint="eastAsia" w:ascii="宋体" w:hAnsi="宋体"/>
          <w:szCs w:val="24"/>
        </w:rPr>
        <w:t>曲线、荷载—弹性位移</w:t>
      </w:r>
      <w:r>
        <w:rPr>
          <w:rFonts w:ascii="宋体" w:hAnsi="宋体"/>
          <w:szCs w:val="24"/>
        </w:rPr>
        <w:t>(</w:t>
      </w:r>
      <w:r>
        <w:rPr>
          <w:rFonts w:ascii="宋体" w:hAnsi="宋体"/>
          <w:i/>
          <w:szCs w:val="24"/>
        </w:rPr>
        <w:t>Q</w:t>
      </w:r>
      <w:r>
        <w:rPr>
          <w:rFonts w:hint="eastAsia" w:ascii="宋体" w:hAnsi="宋体"/>
          <w:szCs w:val="24"/>
        </w:rPr>
        <w:t>—</w:t>
      </w:r>
      <w:r>
        <w:rPr>
          <w:rFonts w:hint="eastAsia" w:ascii="宋体" w:hAnsi="宋体"/>
          <w:i/>
          <w:szCs w:val="24"/>
        </w:rPr>
        <w:t>s</w:t>
      </w:r>
      <w:r>
        <w:rPr>
          <w:rFonts w:ascii="宋体" w:hAnsi="宋体"/>
          <w:szCs w:val="24"/>
          <w:vertAlign w:val="subscript"/>
        </w:rPr>
        <w:t>e</w:t>
      </w:r>
      <w:r>
        <w:rPr>
          <w:rFonts w:ascii="宋体" w:hAnsi="宋体"/>
          <w:szCs w:val="24"/>
        </w:rPr>
        <w:t>)</w:t>
      </w:r>
      <w:r>
        <w:rPr>
          <w:rFonts w:hint="eastAsia" w:ascii="宋体" w:hAnsi="宋体"/>
          <w:szCs w:val="24"/>
        </w:rPr>
        <w:t>曲线和荷载—塑性位移</w:t>
      </w:r>
      <w:r>
        <w:rPr>
          <w:rFonts w:ascii="宋体" w:hAnsi="宋体"/>
          <w:szCs w:val="24"/>
        </w:rPr>
        <w:t>(</w:t>
      </w:r>
      <w:r>
        <w:rPr>
          <w:rFonts w:ascii="宋体" w:hAnsi="宋体"/>
          <w:i/>
          <w:szCs w:val="24"/>
        </w:rPr>
        <w:t>Q</w:t>
      </w:r>
      <w:r>
        <w:rPr>
          <w:rFonts w:hint="eastAsia" w:ascii="宋体" w:hAnsi="宋体"/>
          <w:szCs w:val="24"/>
        </w:rPr>
        <w:t>—</w:t>
      </w:r>
      <w:r>
        <w:rPr>
          <w:rFonts w:hint="eastAsia" w:ascii="宋体" w:hAnsi="宋体"/>
          <w:i/>
          <w:szCs w:val="24"/>
        </w:rPr>
        <w:t>s</w:t>
      </w:r>
      <w:r>
        <w:rPr>
          <w:rFonts w:ascii="宋体" w:hAnsi="宋体"/>
          <w:szCs w:val="24"/>
          <w:vertAlign w:val="subscript"/>
        </w:rPr>
        <w:t>p</w:t>
      </w:r>
      <w:r>
        <w:rPr>
          <w:rFonts w:ascii="宋体" w:hAnsi="宋体"/>
          <w:szCs w:val="24"/>
        </w:rPr>
        <w:t>)</w:t>
      </w:r>
      <w:r>
        <w:rPr>
          <w:rFonts w:hint="eastAsia" w:ascii="宋体" w:hAnsi="宋体"/>
          <w:szCs w:val="24"/>
        </w:rPr>
        <w:t>曲线。锚杆的位移不应包括试验反力装置的变形。</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.2.</w:t>
      </w:r>
      <w:r>
        <w:rPr>
          <w:rFonts w:hint="eastAsia" w:ascii="Times New Roman" w:hAnsi="Times New Roman"/>
          <w:b/>
        </w:rPr>
        <w:t>8</w:t>
      </w:r>
      <w:r>
        <w:rPr>
          <w:rFonts w:ascii="宋体" w:hAnsi="宋体"/>
          <w:b/>
        </w:rPr>
        <w:t xml:space="preserve"> </w:t>
      </w:r>
      <w:r>
        <w:rPr>
          <w:rFonts w:hint="eastAsia" w:ascii="宋体" w:hAnsi="宋体"/>
          <w:szCs w:val="24"/>
        </w:rPr>
        <w:t>锚杆极限抗拔承载力标准值应按下列方法确定：</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szCs w:val="24"/>
        </w:rPr>
      </w:pPr>
      <w:r>
        <w:rPr>
          <w:rFonts w:hint="eastAsia" w:ascii="Times New Roman" w:hAnsi="Times New Roman"/>
          <w:szCs w:val="24"/>
        </w:rPr>
        <w:t xml:space="preserve">1 </w:t>
      </w:r>
      <w:r>
        <w:rPr>
          <w:rFonts w:hint="eastAsia" w:ascii="宋体" w:hAnsi="宋体"/>
          <w:szCs w:val="24"/>
        </w:rPr>
        <w:t>锚杆的极限抗拔承载力，在某级试验荷载下出现本</w:t>
      </w:r>
      <w:r>
        <w:rPr>
          <w:rFonts w:hint="eastAsia" w:ascii="宋体" w:hAnsi="宋体"/>
          <w:szCs w:val="24"/>
          <w:lang w:eastAsia="zh-CN"/>
        </w:rPr>
        <w:t>标准</w:t>
      </w:r>
      <w:r>
        <w:rPr>
          <w:rFonts w:hint="eastAsia" w:ascii="宋体" w:hAnsi="宋体"/>
          <w:szCs w:val="24"/>
        </w:rPr>
        <w:t>第A</w:t>
      </w:r>
      <w:r>
        <w:rPr>
          <w:rFonts w:ascii="宋体" w:hAnsi="宋体"/>
          <w:szCs w:val="24"/>
        </w:rPr>
        <w:t>.</w:t>
      </w:r>
      <w:r>
        <w:rPr>
          <w:rFonts w:ascii="Times New Roman" w:hAnsi="Times New Roman"/>
          <w:szCs w:val="24"/>
        </w:rPr>
        <w:t>2</w:t>
      </w:r>
      <w:r>
        <w:rPr>
          <w:rFonts w:ascii="宋体" w:hAnsi="宋体"/>
          <w:szCs w:val="24"/>
        </w:rPr>
        <w:t>.</w:t>
      </w:r>
      <w:r>
        <w:rPr>
          <w:rFonts w:hint="eastAsia" w:ascii="Times New Roman" w:hAnsi="Times New Roman"/>
          <w:szCs w:val="24"/>
        </w:rPr>
        <w:t>6</w:t>
      </w:r>
      <w:r>
        <w:rPr>
          <w:rFonts w:hint="eastAsia" w:ascii="宋体" w:hAnsi="宋体"/>
          <w:szCs w:val="24"/>
        </w:rPr>
        <w:t>条规定的终止继续加载情况时，应取终止加载时的前一级荷载值；未出现时，应取终止加载时的荷载值；</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szCs w:val="24"/>
        </w:rPr>
      </w:pPr>
      <w:r>
        <w:rPr>
          <w:rFonts w:hint="eastAsia" w:ascii="Times New Roman" w:hAnsi="Times New Roman"/>
          <w:szCs w:val="24"/>
        </w:rPr>
        <w:t>2</w:t>
      </w:r>
      <w:r>
        <w:rPr>
          <w:rFonts w:hint="eastAsia" w:ascii="宋体" w:hAnsi="宋体"/>
          <w:szCs w:val="24"/>
        </w:rPr>
        <w:t xml:space="preserve"> 参加统计的试验锚杆，当极限抗拔承载力的极差不超过其平均值的</w:t>
      </w:r>
      <w:r>
        <w:rPr>
          <w:rFonts w:hint="eastAsia" w:ascii="Times New Roman" w:hAnsi="Times New Roman"/>
          <w:szCs w:val="24"/>
        </w:rPr>
        <w:t>30</w:t>
      </w:r>
      <w:r>
        <w:rPr>
          <w:rFonts w:ascii="宋体" w:hAnsi="宋体"/>
          <w:szCs w:val="24"/>
        </w:rPr>
        <w:t>%</w:t>
      </w:r>
      <w:r>
        <w:rPr>
          <w:rFonts w:hint="eastAsia" w:ascii="宋体" w:hAnsi="宋体"/>
          <w:szCs w:val="24"/>
        </w:rPr>
        <w:t>时，锚杆极限抗拔承载力标准值可取平均值；当级差超过其平均值的</w:t>
      </w:r>
      <w:r>
        <w:rPr>
          <w:rFonts w:hint="eastAsia" w:ascii="Times New Roman" w:hAnsi="Times New Roman"/>
          <w:szCs w:val="24"/>
        </w:rPr>
        <w:t>30</w:t>
      </w:r>
      <w:r>
        <w:rPr>
          <w:rFonts w:ascii="宋体" w:hAnsi="宋体"/>
          <w:szCs w:val="24"/>
        </w:rPr>
        <w:t>%</w:t>
      </w:r>
      <w:r>
        <w:rPr>
          <w:rFonts w:hint="eastAsia" w:ascii="宋体" w:hAnsi="宋体"/>
          <w:szCs w:val="24"/>
        </w:rPr>
        <w:t>时，宜增加试验锚杆数量，并应根据级差过大的原因，按实际情况重新进行统计后确定锚杆极限抗拔承载力标准值。</w:t>
      </w:r>
    </w:p>
    <w:p>
      <w:pPr>
        <w:pStyle w:val="3"/>
        <w:bidi w:val="0"/>
      </w:pPr>
      <w:bookmarkStart w:id="922" w:name="_Toc368170522"/>
      <w:bookmarkStart w:id="923" w:name="_Toc9834"/>
      <w:bookmarkStart w:id="924" w:name="_Toc382559936"/>
      <w:bookmarkStart w:id="925" w:name="_Toc385576966"/>
      <w:bookmarkStart w:id="926" w:name="_Toc381951629"/>
      <w:bookmarkStart w:id="927" w:name="_Toc384300316"/>
      <w:bookmarkStart w:id="928" w:name="_Toc384309888"/>
      <w:bookmarkStart w:id="929" w:name="_Toc384310109"/>
      <w:bookmarkStart w:id="930" w:name="_Toc11901"/>
      <w:bookmarkStart w:id="931" w:name="_Toc375039725"/>
      <w:bookmarkStart w:id="932" w:name="_Toc384304396"/>
      <w:bookmarkStart w:id="933" w:name="_Toc388643590"/>
      <w:bookmarkStart w:id="934" w:name="_Toc384300168"/>
      <w:bookmarkStart w:id="935" w:name="_Toc381951050"/>
      <w:bookmarkStart w:id="936" w:name="_Toc385518869"/>
      <w:bookmarkStart w:id="937" w:name="_Toc381950788"/>
      <w:bookmarkStart w:id="938" w:name="_Toc19167"/>
      <w:bookmarkStart w:id="939" w:name="_Toc381951434"/>
      <w:bookmarkStart w:id="940" w:name="_Toc382559774"/>
      <w:bookmarkStart w:id="941" w:name="_Toc388643473"/>
      <w:bookmarkStart w:id="942" w:name="_Toc385581742"/>
      <w:r>
        <w:rPr>
          <w:rFonts w:hint="eastAsia"/>
        </w:rPr>
        <w:t>A</w:t>
      </w:r>
      <w:r>
        <w:t>.</w:t>
      </w:r>
      <w:r>
        <w:rPr>
          <w:rFonts w:hint="eastAsia"/>
        </w:rPr>
        <w:t>3 蠕变试验</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3</w:t>
      </w:r>
      <w:r>
        <w:rPr>
          <w:rFonts w:ascii="Times New Roman" w:hAnsi="Times New Roman"/>
          <w:b/>
        </w:rPr>
        <w:t xml:space="preserve">.1 </w:t>
      </w:r>
      <w:r>
        <w:rPr>
          <w:rFonts w:hint="eastAsia" w:ascii="宋体" w:hAnsi="宋体"/>
          <w:szCs w:val="24"/>
        </w:rPr>
        <w:t>蠕变试验的锚杆数量不应少于三根。</w:t>
      </w:r>
    </w:p>
    <w:p>
      <w:pPr>
        <w:widowControl w:val="0"/>
        <w:tabs>
          <w:tab w:val="left" w:pos="658"/>
          <w:tab w:val="left" w:pos="1078"/>
          <w:tab w:val="left" w:pos="1274"/>
          <w:tab w:val="left" w:pos="1620"/>
          <w:tab w:val="left" w:pos="2520"/>
          <w:tab w:val="left" w:pos="4680"/>
          <w:tab w:val="left" w:pos="7020"/>
        </w:tabs>
        <w:spacing w:line="480" w:lineRule="exact"/>
        <w:jc w:val="lef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3</w:t>
      </w:r>
      <w:r>
        <w:rPr>
          <w:rFonts w:ascii="Times New Roman" w:hAnsi="Times New Roman"/>
          <w:b/>
        </w:rPr>
        <w:t>.</w:t>
      </w:r>
      <w:r>
        <w:rPr>
          <w:rFonts w:hint="eastAsia" w:ascii="Times New Roman" w:hAnsi="Times New Roman"/>
          <w:b/>
        </w:rPr>
        <w:t>2</w:t>
      </w:r>
      <w:r>
        <w:rPr>
          <w:rFonts w:ascii="Times New Roman" w:hAnsi="Times New Roman"/>
          <w:b/>
        </w:rPr>
        <w:t xml:space="preserve"> </w:t>
      </w:r>
      <w:r>
        <w:rPr>
          <w:rFonts w:hint="eastAsia" w:ascii="宋体" w:hAnsi="宋体"/>
          <w:szCs w:val="24"/>
        </w:rPr>
        <w:t>蠕变试验的加载分级和锚头位移观测时间应按表A</w:t>
      </w:r>
      <w:r>
        <w:rPr>
          <w:rFonts w:ascii="宋体" w:hAnsi="宋体"/>
          <w:szCs w:val="24"/>
        </w:rPr>
        <w:t>.</w:t>
      </w:r>
      <w:r>
        <w:rPr>
          <w:rFonts w:hint="eastAsia" w:ascii="Times New Roman" w:hAnsi="Times New Roman"/>
          <w:szCs w:val="24"/>
        </w:rPr>
        <w:t>3</w:t>
      </w:r>
      <w:r>
        <w:rPr>
          <w:rFonts w:ascii="宋体" w:hAnsi="宋体"/>
          <w:szCs w:val="24"/>
        </w:rPr>
        <w:t>.</w:t>
      </w:r>
      <w:r>
        <w:rPr>
          <w:rFonts w:hint="eastAsia" w:ascii="Times New Roman" w:hAnsi="Times New Roman"/>
          <w:szCs w:val="24"/>
        </w:rPr>
        <w:t>2</w:t>
      </w:r>
      <w:r>
        <w:rPr>
          <w:rFonts w:hint="eastAsia" w:ascii="宋体" w:hAnsi="宋体"/>
          <w:szCs w:val="24"/>
        </w:rPr>
        <w:t>确定。在观测时间内荷载必须保持恒定。</w:t>
      </w:r>
    </w:p>
    <w:p>
      <w:pPr>
        <w:widowControl w:val="0"/>
        <w:tabs>
          <w:tab w:val="left" w:pos="658"/>
          <w:tab w:val="left" w:pos="1078"/>
          <w:tab w:val="left" w:pos="1274"/>
          <w:tab w:val="left" w:pos="1620"/>
          <w:tab w:val="left" w:pos="2520"/>
          <w:tab w:val="left" w:pos="4680"/>
          <w:tab w:val="left" w:pos="7020"/>
        </w:tabs>
        <w:spacing w:line="480" w:lineRule="exact"/>
        <w:jc w:val="center"/>
        <w:rPr>
          <w:rFonts w:ascii="宋体" w:hAnsi="宋体"/>
          <w:b/>
          <w:sz w:val="21"/>
          <w:szCs w:val="21"/>
        </w:rPr>
      </w:pPr>
      <w:r>
        <w:rPr>
          <w:rFonts w:hint="eastAsia" w:ascii="宋体" w:hAnsi="宋体"/>
          <w:b/>
          <w:sz w:val="21"/>
          <w:szCs w:val="21"/>
        </w:rPr>
        <w:t>表A</w:t>
      </w:r>
      <w:r>
        <w:rPr>
          <w:rFonts w:ascii="宋体" w:hAnsi="宋体"/>
          <w:b/>
          <w:sz w:val="21"/>
          <w:szCs w:val="21"/>
        </w:rPr>
        <w:t>.</w:t>
      </w:r>
      <w:r>
        <w:rPr>
          <w:rFonts w:hint="eastAsia" w:ascii="Times New Roman" w:hAnsi="Times New Roman"/>
          <w:b/>
          <w:sz w:val="21"/>
          <w:szCs w:val="21"/>
        </w:rPr>
        <w:t>3</w:t>
      </w:r>
      <w:r>
        <w:rPr>
          <w:rFonts w:ascii="宋体" w:hAnsi="宋体"/>
          <w:b/>
          <w:sz w:val="21"/>
          <w:szCs w:val="21"/>
        </w:rPr>
        <w:t>.</w:t>
      </w:r>
      <w:r>
        <w:rPr>
          <w:rFonts w:hint="eastAsia" w:ascii="Times New Roman" w:hAnsi="Times New Roman"/>
          <w:b/>
          <w:sz w:val="21"/>
          <w:szCs w:val="21"/>
        </w:rPr>
        <w:t>2</w:t>
      </w:r>
      <w:r>
        <w:rPr>
          <w:rFonts w:ascii="宋体" w:hAnsi="宋体"/>
          <w:b/>
          <w:sz w:val="21"/>
          <w:szCs w:val="21"/>
        </w:rPr>
        <w:t xml:space="preserve">  </w:t>
      </w:r>
      <w:r>
        <w:rPr>
          <w:rFonts w:hint="eastAsia" w:ascii="宋体" w:hAnsi="宋体"/>
          <w:b/>
          <w:sz w:val="21"/>
          <w:szCs w:val="21"/>
        </w:rPr>
        <w:t>蠕变试验的加载分级与锚头位移观测时间</w:t>
      </w:r>
    </w:p>
    <w:tbl>
      <w:tblPr>
        <w:tblStyle w:val="3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20"/>
        <w:gridCol w:w="1252"/>
        <w:gridCol w:w="1252"/>
        <w:gridCol w:w="1252"/>
        <w:gridCol w:w="1252"/>
        <w:gridCol w:w="12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2320"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sz w:val="21"/>
                <w:szCs w:val="21"/>
              </w:rPr>
              <w:t>加</w:t>
            </w:r>
            <w:r>
              <w:rPr>
                <w:rFonts w:hint="eastAsia"/>
                <w:sz w:val="21"/>
                <w:szCs w:val="21"/>
              </w:rPr>
              <w:t>载分</w:t>
            </w:r>
            <w:r>
              <w:rPr>
                <w:sz w:val="21"/>
                <w:szCs w:val="21"/>
              </w:rPr>
              <w:t>级</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ascii="Times New Roman" w:hAnsi="Times New Roman"/>
                <w:sz w:val="21"/>
                <w:szCs w:val="21"/>
              </w:rPr>
              <w:t>0</w:t>
            </w:r>
            <w:r>
              <w:rPr>
                <w:sz w:val="21"/>
                <w:szCs w:val="21"/>
              </w:rPr>
              <w:t>.</w:t>
            </w:r>
            <w:r>
              <w:rPr>
                <w:rFonts w:hint="eastAsia" w:ascii="Times New Roman" w:hAnsi="Times New Roman"/>
                <w:sz w:val="21"/>
                <w:szCs w:val="21"/>
              </w:rPr>
              <w:t>50</w:t>
            </w:r>
            <w:r>
              <w:rPr>
                <w:i/>
                <w:sz w:val="21"/>
                <w:szCs w:val="21"/>
              </w:rPr>
              <w:t xml:space="preserve"> N</w:t>
            </w:r>
            <w:r>
              <w:rPr>
                <w:rFonts w:hint="eastAsia"/>
                <w:sz w:val="21"/>
                <w:szCs w:val="21"/>
                <w:vertAlign w:val="subscript"/>
              </w:rPr>
              <w:t>k</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ascii="Times New Roman" w:hAnsi="Times New Roman"/>
                <w:sz w:val="21"/>
                <w:szCs w:val="21"/>
              </w:rPr>
              <w:t>0</w:t>
            </w:r>
            <w:r>
              <w:rPr>
                <w:sz w:val="21"/>
                <w:szCs w:val="21"/>
              </w:rPr>
              <w:t>.</w:t>
            </w:r>
            <w:r>
              <w:rPr>
                <w:rFonts w:hint="eastAsia" w:ascii="Times New Roman" w:hAnsi="Times New Roman"/>
                <w:sz w:val="21"/>
                <w:szCs w:val="21"/>
              </w:rPr>
              <w:t>75</w:t>
            </w:r>
            <w:r>
              <w:rPr>
                <w:i/>
                <w:sz w:val="21"/>
                <w:szCs w:val="21"/>
              </w:rPr>
              <w:t xml:space="preserve"> N</w:t>
            </w:r>
            <w:r>
              <w:rPr>
                <w:rFonts w:hint="eastAsia"/>
                <w:sz w:val="21"/>
                <w:szCs w:val="21"/>
                <w:vertAlign w:val="subscript"/>
              </w:rPr>
              <w:t>k</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ascii="Times New Roman" w:hAnsi="Times New Roman"/>
                <w:sz w:val="21"/>
                <w:szCs w:val="21"/>
              </w:rPr>
              <w:t>1</w:t>
            </w:r>
            <w:r>
              <w:rPr>
                <w:sz w:val="21"/>
                <w:szCs w:val="21"/>
              </w:rPr>
              <w:t>.</w:t>
            </w:r>
            <w:r>
              <w:rPr>
                <w:rFonts w:ascii="Times New Roman" w:hAnsi="Times New Roman"/>
                <w:sz w:val="21"/>
                <w:szCs w:val="21"/>
              </w:rPr>
              <w:t>0</w:t>
            </w:r>
            <w:r>
              <w:rPr>
                <w:rFonts w:hint="eastAsia" w:ascii="Times New Roman" w:hAnsi="Times New Roman"/>
                <w:sz w:val="21"/>
                <w:szCs w:val="21"/>
              </w:rPr>
              <w:t>0</w:t>
            </w:r>
            <w:r>
              <w:rPr>
                <w:i/>
                <w:sz w:val="21"/>
                <w:szCs w:val="21"/>
              </w:rPr>
              <w:t xml:space="preserve"> N</w:t>
            </w:r>
            <w:r>
              <w:rPr>
                <w:rFonts w:hint="eastAsia"/>
                <w:sz w:val="21"/>
                <w:szCs w:val="21"/>
                <w:vertAlign w:val="subscript"/>
              </w:rPr>
              <w:t>k</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ascii="Times New Roman" w:hAnsi="Times New Roman"/>
                <w:sz w:val="21"/>
                <w:szCs w:val="21"/>
              </w:rPr>
              <w:t>1</w:t>
            </w:r>
            <w:r>
              <w:rPr>
                <w:sz w:val="21"/>
                <w:szCs w:val="21"/>
              </w:rPr>
              <w:t>.</w:t>
            </w:r>
            <w:r>
              <w:rPr>
                <w:rFonts w:hint="eastAsia" w:ascii="Times New Roman" w:hAnsi="Times New Roman"/>
                <w:sz w:val="21"/>
                <w:szCs w:val="21"/>
              </w:rPr>
              <w:t>20</w:t>
            </w:r>
            <w:r>
              <w:rPr>
                <w:i/>
                <w:sz w:val="21"/>
                <w:szCs w:val="21"/>
              </w:rPr>
              <w:t>N</w:t>
            </w:r>
            <w:r>
              <w:rPr>
                <w:rFonts w:hint="eastAsia"/>
                <w:sz w:val="21"/>
                <w:szCs w:val="21"/>
                <w:vertAlign w:val="subscript"/>
              </w:rPr>
              <w:t>k</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ascii="Times New Roman" w:hAnsi="Times New Roman"/>
                <w:sz w:val="21"/>
                <w:szCs w:val="21"/>
              </w:rPr>
              <w:t>1</w:t>
            </w:r>
            <w:r>
              <w:rPr>
                <w:sz w:val="21"/>
                <w:szCs w:val="21"/>
              </w:rPr>
              <w:t>.</w:t>
            </w:r>
            <w:r>
              <w:rPr>
                <w:rFonts w:hint="eastAsia" w:ascii="Times New Roman" w:hAnsi="Times New Roman"/>
                <w:sz w:val="21"/>
                <w:szCs w:val="21"/>
              </w:rPr>
              <w:t>50</w:t>
            </w:r>
            <w:r>
              <w:rPr>
                <w:i/>
                <w:sz w:val="21"/>
                <w:szCs w:val="21"/>
              </w:rPr>
              <w:t>N</w:t>
            </w:r>
            <w:r>
              <w:rPr>
                <w:rFonts w:hint="eastAsia"/>
                <w:sz w:val="21"/>
                <w:szCs w:val="21"/>
                <w:vertAlign w:val="subscript"/>
              </w:rPr>
              <w:t>k</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2320"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sz w:val="21"/>
                <w:szCs w:val="21"/>
              </w:rPr>
              <w:t>观测时间</w:t>
            </w:r>
            <w:r>
              <w:rPr>
                <w:rFonts w:hint="eastAsia"/>
                <w:i/>
                <w:sz w:val="21"/>
                <w:szCs w:val="21"/>
              </w:rPr>
              <w:t>t</w:t>
            </w:r>
            <w:r>
              <w:rPr>
                <w:rFonts w:hint="eastAsia" w:ascii="Times New Roman" w:hAnsi="Times New Roman"/>
                <w:sz w:val="21"/>
                <w:szCs w:val="21"/>
                <w:vertAlign w:val="subscript"/>
              </w:rPr>
              <w:t>2</w:t>
            </w:r>
            <w:r>
              <w:rPr>
                <w:sz w:val="21"/>
                <w:szCs w:val="21"/>
              </w:rPr>
              <w:t>(min)</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w:t>
            </w:r>
            <w:r>
              <w:rPr>
                <w:rFonts w:ascii="Times New Roman" w:hAnsi="Times New Roman"/>
                <w:sz w:val="21"/>
                <w:szCs w:val="21"/>
              </w:rPr>
              <w:t>0</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3</w:t>
            </w:r>
            <w:r>
              <w:rPr>
                <w:rFonts w:ascii="Times New Roman" w:hAnsi="Times New Roman"/>
                <w:sz w:val="21"/>
                <w:szCs w:val="21"/>
              </w:rPr>
              <w:t>0</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6</w:t>
            </w:r>
            <w:r>
              <w:rPr>
                <w:rFonts w:ascii="Times New Roman" w:hAnsi="Times New Roman"/>
                <w:sz w:val="21"/>
                <w:szCs w:val="21"/>
              </w:rPr>
              <w:t>0</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90</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2320"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sz w:val="21"/>
                <w:szCs w:val="21"/>
              </w:rPr>
              <w:t>观测时间</w:t>
            </w:r>
            <w:r>
              <w:rPr>
                <w:rFonts w:hint="eastAsia"/>
                <w:i/>
                <w:sz w:val="21"/>
                <w:szCs w:val="21"/>
              </w:rPr>
              <w:t>t</w:t>
            </w:r>
            <w:r>
              <w:rPr>
                <w:rFonts w:hint="eastAsia" w:ascii="Times New Roman" w:hAnsi="Times New Roman"/>
                <w:sz w:val="21"/>
                <w:szCs w:val="21"/>
                <w:vertAlign w:val="subscript"/>
              </w:rPr>
              <w:t>1</w:t>
            </w:r>
            <w:r>
              <w:rPr>
                <w:sz w:val="21"/>
                <w:szCs w:val="21"/>
              </w:rPr>
              <w:t>(min)</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15</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30</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45</w:t>
            </w:r>
          </w:p>
        </w:tc>
        <w:tc>
          <w:tcPr>
            <w:tcW w:w="125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60</w:t>
            </w:r>
          </w:p>
        </w:tc>
      </w:tr>
    </w:tbl>
    <w:p>
      <w:pPr>
        <w:widowControl w:val="0"/>
        <w:tabs>
          <w:tab w:val="left" w:pos="658"/>
          <w:tab w:val="left" w:pos="1078"/>
          <w:tab w:val="left" w:pos="1274"/>
          <w:tab w:val="left" w:pos="1620"/>
          <w:tab w:val="left" w:pos="2520"/>
          <w:tab w:val="left" w:pos="4680"/>
          <w:tab w:val="left" w:pos="7020"/>
        </w:tabs>
        <w:ind w:firstLine="735" w:firstLineChars="350"/>
        <w:rPr>
          <w:sz w:val="21"/>
          <w:szCs w:val="21"/>
        </w:rPr>
      </w:pPr>
      <w:r>
        <w:rPr>
          <w:rFonts w:hint="eastAsia"/>
          <w:sz w:val="21"/>
          <w:szCs w:val="21"/>
        </w:rPr>
        <w:t>注：表中</w:t>
      </w:r>
      <w:r>
        <w:rPr>
          <w:i/>
          <w:sz w:val="21"/>
          <w:szCs w:val="21"/>
        </w:rPr>
        <w:t>N</w:t>
      </w:r>
      <w:r>
        <w:rPr>
          <w:rFonts w:hint="eastAsia"/>
          <w:sz w:val="21"/>
          <w:szCs w:val="21"/>
          <w:vertAlign w:val="subscript"/>
        </w:rPr>
        <w:t>k</w:t>
      </w:r>
      <w:r>
        <w:rPr>
          <w:rFonts w:hint="eastAsia"/>
          <w:sz w:val="21"/>
          <w:szCs w:val="21"/>
        </w:rPr>
        <w:t>为锚杆轴向拉力标准值。</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3</w:t>
      </w:r>
      <w:r>
        <w:rPr>
          <w:rFonts w:ascii="Times New Roman" w:hAnsi="Times New Roman"/>
          <w:b/>
        </w:rPr>
        <w:t>.</w:t>
      </w:r>
      <w:r>
        <w:rPr>
          <w:rFonts w:hint="eastAsia" w:ascii="Times New Roman" w:hAnsi="Times New Roman"/>
          <w:b/>
        </w:rPr>
        <w:t>3</w:t>
      </w:r>
      <w:r>
        <w:rPr>
          <w:rFonts w:ascii="宋体" w:hAnsi="宋体"/>
          <w:szCs w:val="24"/>
        </w:rPr>
        <w:t xml:space="preserve"> </w:t>
      </w:r>
      <w:r>
        <w:rPr>
          <w:rFonts w:hint="eastAsia" w:ascii="宋体" w:hAnsi="宋体"/>
          <w:szCs w:val="24"/>
        </w:rPr>
        <w:t>每级荷载按时间间隔</w:t>
      </w:r>
      <w:r>
        <w:rPr>
          <w:rFonts w:ascii="Times New Roman" w:hAnsi="Times New Roman"/>
          <w:szCs w:val="24"/>
        </w:rPr>
        <w:t>1</w:t>
      </w:r>
      <w:r>
        <w:rPr>
          <w:rFonts w:ascii="宋体" w:hAnsi="宋体"/>
          <w:szCs w:val="24"/>
        </w:rPr>
        <w:t>min</w:t>
      </w:r>
      <w:r>
        <w:rPr>
          <w:rFonts w:hint="eastAsia" w:ascii="宋体" w:hAnsi="宋体"/>
          <w:szCs w:val="24"/>
        </w:rPr>
        <w:t>、</w:t>
      </w:r>
      <w:r>
        <w:rPr>
          <w:rFonts w:ascii="Times New Roman" w:hAnsi="Times New Roman"/>
          <w:szCs w:val="24"/>
        </w:rPr>
        <w:t>5</w:t>
      </w:r>
      <w:r>
        <w:rPr>
          <w:rFonts w:ascii="宋体" w:hAnsi="宋体"/>
          <w:szCs w:val="24"/>
        </w:rPr>
        <w:t>min</w:t>
      </w:r>
      <w:r>
        <w:rPr>
          <w:rFonts w:hint="eastAsia" w:ascii="宋体" w:hAnsi="宋体"/>
          <w:szCs w:val="24"/>
        </w:rPr>
        <w:t>、</w:t>
      </w:r>
      <w:r>
        <w:rPr>
          <w:rFonts w:ascii="Times New Roman" w:hAnsi="Times New Roman"/>
          <w:szCs w:val="24"/>
        </w:rPr>
        <w:t>10</w:t>
      </w:r>
      <w:r>
        <w:rPr>
          <w:rFonts w:ascii="宋体" w:hAnsi="宋体"/>
          <w:szCs w:val="24"/>
        </w:rPr>
        <w:t>min</w:t>
      </w:r>
      <w:r>
        <w:rPr>
          <w:rFonts w:hint="eastAsia" w:ascii="宋体" w:hAnsi="宋体"/>
          <w:szCs w:val="24"/>
        </w:rPr>
        <w:t>、</w:t>
      </w:r>
      <w:r>
        <w:rPr>
          <w:rFonts w:ascii="Times New Roman" w:hAnsi="Times New Roman"/>
          <w:szCs w:val="24"/>
        </w:rPr>
        <w:t>15</w:t>
      </w:r>
      <w:r>
        <w:rPr>
          <w:rFonts w:ascii="宋体" w:hAnsi="宋体"/>
          <w:szCs w:val="24"/>
        </w:rPr>
        <w:t>min</w:t>
      </w:r>
      <w:r>
        <w:rPr>
          <w:rFonts w:hint="eastAsia" w:ascii="宋体" w:hAnsi="宋体"/>
          <w:szCs w:val="24"/>
        </w:rPr>
        <w:t>、</w:t>
      </w:r>
      <w:r>
        <w:rPr>
          <w:rFonts w:ascii="Times New Roman" w:hAnsi="Times New Roman"/>
          <w:szCs w:val="24"/>
        </w:rPr>
        <w:t>30</w:t>
      </w:r>
      <w:r>
        <w:rPr>
          <w:rFonts w:ascii="宋体" w:hAnsi="宋体"/>
          <w:szCs w:val="24"/>
        </w:rPr>
        <w:t>min</w:t>
      </w:r>
      <w:r>
        <w:rPr>
          <w:rFonts w:hint="eastAsia" w:ascii="宋体" w:hAnsi="宋体"/>
          <w:szCs w:val="24"/>
        </w:rPr>
        <w:t>、</w:t>
      </w:r>
      <w:r>
        <w:rPr>
          <w:rFonts w:ascii="Times New Roman" w:hAnsi="Times New Roman"/>
          <w:szCs w:val="24"/>
        </w:rPr>
        <w:t>45</w:t>
      </w:r>
      <w:r>
        <w:rPr>
          <w:rFonts w:ascii="宋体" w:hAnsi="宋体"/>
          <w:szCs w:val="24"/>
        </w:rPr>
        <w:t>min</w:t>
      </w:r>
      <w:r>
        <w:rPr>
          <w:rFonts w:hint="eastAsia" w:ascii="宋体" w:hAnsi="宋体"/>
          <w:szCs w:val="24"/>
        </w:rPr>
        <w:t>、</w:t>
      </w:r>
      <w:r>
        <w:rPr>
          <w:rFonts w:ascii="Times New Roman" w:hAnsi="Times New Roman"/>
          <w:szCs w:val="24"/>
        </w:rPr>
        <w:t>60</w:t>
      </w:r>
      <w:r>
        <w:rPr>
          <w:rFonts w:ascii="宋体" w:hAnsi="宋体"/>
          <w:szCs w:val="24"/>
        </w:rPr>
        <w:t>min</w:t>
      </w:r>
      <w:r>
        <w:rPr>
          <w:rFonts w:hint="eastAsia" w:ascii="宋体" w:hAnsi="宋体"/>
          <w:szCs w:val="24"/>
        </w:rPr>
        <w:t>、</w:t>
      </w:r>
      <w:r>
        <w:rPr>
          <w:rFonts w:ascii="Times New Roman" w:hAnsi="Times New Roman"/>
          <w:szCs w:val="24"/>
        </w:rPr>
        <w:t>90</w:t>
      </w:r>
      <w:r>
        <w:rPr>
          <w:rFonts w:ascii="宋体" w:hAnsi="宋体"/>
          <w:szCs w:val="24"/>
        </w:rPr>
        <w:t>min</w:t>
      </w:r>
      <w:r>
        <w:rPr>
          <w:rFonts w:hint="eastAsia" w:ascii="宋体" w:hAnsi="宋体"/>
          <w:szCs w:val="24"/>
        </w:rPr>
        <w:t>、</w:t>
      </w:r>
      <w:r>
        <w:rPr>
          <w:rFonts w:hint="eastAsia" w:ascii="Times New Roman" w:hAnsi="Times New Roman"/>
          <w:szCs w:val="24"/>
        </w:rPr>
        <w:t>120</w:t>
      </w:r>
      <w:r>
        <w:rPr>
          <w:rFonts w:ascii="宋体" w:hAnsi="宋体"/>
          <w:szCs w:val="24"/>
        </w:rPr>
        <w:t>min</w:t>
      </w:r>
      <w:r>
        <w:rPr>
          <w:rFonts w:hint="eastAsia" w:ascii="宋体" w:hAnsi="宋体"/>
          <w:szCs w:val="24"/>
        </w:rPr>
        <w:t>记录蠕变量。</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3</w:t>
      </w:r>
      <w:r>
        <w:rPr>
          <w:rFonts w:ascii="Times New Roman" w:hAnsi="Times New Roman"/>
          <w:b/>
        </w:rPr>
        <w:t>.</w:t>
      </w:r>
      <w:r>
        <w:rPr>
          <w:rFonts w:hint="eastAsia" w:ascii="Times New Roman" w:hAnsi="Times New Roman"/>
          <w:b/>
        </w:rPr>
        <w:t>4</w:t>
      </w:r>
      <w:r>
        <w:rPr>
          <w:rFonts w:ascii="Times New Roman" w:hAnsi="Times New Roman"/>
          <w:b/>
        </w:rPr>
        <w:t xml:space="preserve"> </w:t>
      </w:r>
      <w:r>
        <w:rPr>
          <w:rFonts w:hint="eastAsia" w:ascii="宋体" w:hAnsi="宋体"/>
          <w:szCs w:val="24"/>
        </w:rPr>
        <w:t>试验时应绘制每级荷载下锚杆的蠕变量—时间对数</w:t>
      </w:r>
      <w:r>
        <w:rPr>
          <w:rFonts w:ascii="宋体" w:hAnsi="宋体"/>
          <w:szCs w:val="24"/>
        </w:rPr>
        <w:t>(</w:t>
      </w:r>
      <w:r>
        <w:rPr>
          <w:rFonts w:hint="eastAsia" w:ascii="宋体" w:hAnsi="宋体"/>
          <w:i/>
          <w:color w:val="000000"/>
          <w:szCs w:val="24"/>
        </w:rPr>
        <w:t>s</w:t>
      </w:r>
      <w:r>
        <w:rPr>
          <w:rFonts w:hint="eastAsia" w:ascii="宋体" w:hAnsi="宋体"/>
          <w:szCs w:val="24"/>
        </w:rPr>
        <w:t>—</w:t>
      </w:r>
      <w:r>
        <w:rPr>
          <w:rFonts w:ascii="宋体" w:hAnsi="宋体"/>
          <w:szCs w:val="24"/>
        </w:rPr>
        <w:t>lg</w:t>
      </w:r>
      <w:r>
        <w:rPr>
          <w:rFonts w:ascii="宋体" w:hAnsi="宋体"/>
          <w:i/>
          <w:szCs w:val="24"/>
        </w:rPr>
        <w:t>t</w:t>
      </w:r>
      <w:r>
        <w:rPr>
          <w:rFonts w:ascii="宋体" w:hAnsi="宋体"/>
          <w:szCs w:val="24"/>
        </w:rPr>
        <w:t>)</w:t>
      </w:r>
      <w:r>
        <w:rPr>
          <w:rFonts w:hint="eastAsia" w:ascii="宋体" w:hAnsi="宋体"/>
          <w:szCs w:val="24"/>
        </w:rPr>
        <w:t>曲线。蠕变率应按下列公式计算：</w:t>
      </w:r>
      <w:r>
        <w:tab/>
      </w:r>
      <w:r>
        <w:tab/>
      </w:r>
      <w:r>
        <w:tab/>
      </w:r>
      <w:r>
        <w:tab/>
      </w:r>
      <w:r>
        <w:tab/>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tabs>
                <w:tab w:val="left" w:pos="658"/>
                <w:tab w:val="left" w:pos="1078"/>
                <w:tab w:val="left" w:pos="1274"/>
                <w:tab w:val="left" w:pos="1620"/>
                <w:tab w:val="left" w:pos="2520"/>
                <w:tab w:val="left" w:pos="5205"/>
                <w:tab w:val="left" w:pos="7020"/>
              </w:tabs>
              <w:jc w:val="right"/>
              <w:rPr>
                <w:position w:val="-30"/>
              </w:rPr>
            </w:pPr>
            <w:r>
              <w:rPr>
                <w:position w:val="-30"/>
              </w:rPr>
              <w:drawing>
                <wp:inline distT="0" distB="0" distL="0" distR="0">
                  <wp:extent cx="1002665" cy="451485"/>
                  <wp:effectExtent l="0" t="0" r="0" b="5080"/>
                  <wp:docPr id="381" name="图片 3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true" noChangeArrowheads="true"/>
                          </pic:cNvPicPr>
                        </pic:nvPicPr>
                        <pic:blipFill>
                          <a:blip r:embed="rId706" cstate="print">
                            <a:extLst>
                              <a:ext uri="{28A0092B-C50C-407E-A947-70E740481C1C}">
                                <a14:useLocalDpi xmlns:a14="http://schemas.microsoft.com/office/drawing/2010/main" val="false"/>
                              </a:ext>
                            </a:extLst>
                          </a:blip>
                          <a:srcRect/>
                          <a:stretch>
                            <a:fillRect/>
                          </a:stretch>
                        </pic:blipFill>
                        <pic:spPr>
                          <a:xfrm>
                            <a:off x="0" y="0"/>
                            <a:ext cx="1002665" cy="451485"/>
                          </a:xfrm>
                          <a:prstGeom prst="rect">
                            <a:avLst/>
                          </a:prstGeom>
                          <a:noFill/>
                          <a:ln>
                            <a:noFill/>
                          </a:ln>
                        </pic:spPr>
                      </pic:pic>
                    </a:graphicData>
                  </a:graphic>
                </wp:inline>
              </w:drawing>
            </w:r>
          </w:p>
        </w:tc>
        <w:tc>
          <w:tcPr>
            <w:tcW w:w="4927" w:type="dxa"/>
          </w:tcPr>
          <w:p>
            <w:pPr>
              <w:widowControl w:val="0"/>
              <w:tabs>
                <w:tab w:val="left" w:pos="658"/>
                <w:tab w:val="left" w:pos="1078"/>
                <w:tab w:val="left" w:pos="1274"/>
                <w:tab w:val="left" w:pos="1620"/>
                <w:tab w:val="left" w:pos="2520"/>
                <w:tab w:val="left" w:pos="5205"/>
                <w:tab w:val="left" w:pos="7020"/>
              </w:tabs>
              <w:spacing w:line="720" w:lineRule="auto"/>
              <w:jc w:val="right"/>
              <w:rPr>
                <w:position w:val="-30"/>
              </w:rPr>
            </w:pPr>
            <w:r>
              <w:rPr>
                <w:rFonts w:ascii="宋体" w:hAnsi="宋体"/>
                <w:szCs w:val="24"/>
              </w:rPr>
              <w:t>(</w:t>
            </w:r>
            <w:r>
              <w:rPr>
                <w:rFonts w:hint="eastAsia" w:ascii="宋体" w:hAnsi="宋体"/>
                <w:szCs w:val="24"/>
              </w:rPr>
              <w:t>A</w:t>
            </w:r>
            <w:r>
              <w:rPr>
                <w:rFonts w:ascii="宋体" w:hAnsi="宋体"/>
                <w:szCs w:val="24"/>
              </w:rPr>
              <w:t>.</w:t>
            </w:r>
            <w:r>
              <w:rPr>
                <w:rFonts w:hint="eastAsia" w:ascii="Times New Roman" w:hAnsi="Times New Roman"/>
                <w:szCs w:val="24"/>
              </w:rPr>
              <w:t>3</w:t>
            </w:r>
            <w:r>
              <w:rPr>
                <w:rFonts w:ascii="宋体" w:hAnsi="宋体"/>
                <w:szCs w:val="24"/>
              </w:rPr>
              <w:t>.</w:t>
            </w:r>
            <w:r>
              <w:rPr>
                <w:rFonts w:hint="eastAsia" w:ascii="Times New Roman" w:hAnsi="Times New Roman"/>
                <w:szCs w:val="24"/>
              </w:rPr>
              <w:t>4</w:t>
            </w:r>
            <w:r>
              <w:rPr>
                <w:rFonts w:ascii="宋体" w:hAnsi="宋体"/>
                <w:szCs w:val="24"/>
              </w:rPr>
              <w:t>)</w:t>
            </w:r>
          </w:p>
        </w:tc>
      </w:tr>
    </w:tbl>
    <w:p>
      <w:pPr>
        <w:widowControl w:val="0"/>
        <w:tabs>
          <w:tab w:val="left" w:pos="658"/>
          <w:tab w:val="left" w:pos="1078"/>
          <w:tab w:val="left" w:pos="1274"/>
          <w:tab w:val="left" w:pos="1620"/>
          <w:tab w:val="left" w:pos="2520"/>
          <w:tab w:val="left" w:pos="4680"/>
          <w:tab w:val="left" w:pos="7020"/>
        </w:tabs>
        <w:spacing w:line="480" w:lineRule="exact"/>
        <w:rPr>
          <w:szCs w:val="24"/>
        </w:rPr>
      </w:pPr>
      <w:r>
        <w:rPr>
          <w:rFonts w:hint="eastAsia"/>
          <w:szCs w:val="24"/>
        </w:rPr>
        <w:t xml:space="preserve">式中： </w:t>
      </w:r>
      <w:r>
        <w:rPr>
          <w:rFonts w:hint="eastAsia"/>
          <w:i/>
          <w:szCs w:val="24"/>
        </w:rPr>
        <w:t>k</w:t>
      </w:r>
      <w:r>
        <w:rPr>
          <w:rFonts w:hint="eastAsia"/>
          <w:szCs w:val="24"/>
          <w:vertAlign w:val="subscript"/>
        </w:rPr>
        <w:t>c</w:t>
      </w:r>
      <w:r>
        <w:rPr>
          <w:rFonts w:ascii="Times New Roman" w:hAnsi="Times New Roman"/>
          <w:szCs w:val="24"/>
        </w:rPr>
        <w:t>——</w:t>
      </w:r>
      <w:r>
        <w:rPr>
          <w:rFonts w:hint="eastAsia"/>
          <w:szCs w:val="24"/>
        </w:rPr>
        <w:t>锚杆蠕变率；</w:t>
      </w:r>
    </w:p>
    <w:p>
      <w:pPr>
        <w:widowControl w:val="0"/>
        <w:tabs>
          <w:tab w:val="left" w:pos="658"/>
          <w:tab w:val="left" w:pos="1078"/>
          <w:tab w:val="left" w:pos="1274"/>
          <w:tab w:val="left" w:pos="1620"/>
          <w:tab w:val="left" w:pos="2520"/>
          <w:tab w:val="left" w:pos="4680"/>
          <w:tab w:val="left" w:pos="7020"/>
        </w:tabs>
        <w:spacing w:line="480" w:lineRule="exact"/>
        <w:ind w:firstLine="840" w:firstLineChars="350"/>
        <w:rPr>
          <w:szCs w:val="24"/>
        </w:rPr>
      </w:pPr>
      <w:r>
        <w:rPr>
          <w:rFonts w:hint="eastAsia"/>
          <w:i/>
          <w:szCs w:val="24"/>
        </w:rPr>
        <w:t>s</w:t>
      </w:r>
      <w:r>
        <w:rPr>
          <w:rFonts w:ascii="Times New Roman" w:hAnsi="Times New Roman"/>
          <w:szCs w:val="24"/>
          <w:vertAlign w:val="subscript"/>
        </w:rPr>
        <w:t>1</w:t>
      </w:r>
      <w:r>
        <w:rPr>
          <w:rFonts w:ascii="Times New Roman" w:hAnsi="Times New Roman"/>
          <w:szCs w:val="24"/>
        </w:rPr>
        <w:t>——</w:t>
      </w:r>
      <w:r>
        <w:rPr>
          <w:i/>
          <w:szCs w:val="24"/>
        </w:rPr>
        <w:t>t</w:t>
      </w:r>
      <w:r>
        <w:rPr>
          <w:szCs w:val="24"/>
          <w:vertAlign w:val="subscript"/>
        </w:rPr>
        <w:t xml:space="preserve"> </w:t>
      </w:r>
      <w:r>
        <w:rPr>
          <w:rFonts w:ascii="Times New Roman" w:hAnsi="Times New Roman"/>
          <w:szCs w:val="24"/>
          <w:vertAlign w:val="subscript"/>
        </w:rPr>
        <w:t>1</w:t>
      </w:r>
      <w:r>
        <w:rPr>
          <w:rFonts w:hint="eastAsia"/>
          <w:szCs w:val="24"/>
        </w:rPr>
        <w:t>时间测得的蠕变量(mm)；</w:t>
      </w:r>
      <w:r>
        <w:rPr>
          <w:szCs w:val="24"/>
        </w:rPr>
        <w:t xml:space="preserve"> </w:t>
      </w:r>
    </w:p>
    <w:p>
      <w:pPr>
        <w:widowControl w:val="0"/>
        <w:tabs>
          <w:tab w:val="left" w:pos="900"/>
          <w:tab w:val="left" w:pos="1078"/>
          <w:tab w:val="left" w:pos="1274"/>
          <w:tab w:val="left" w:pos="1620"/>
          <w:tab w:val="left" w:pos="2520"/>
          <w:tab w:val="left" w:pos="4680"/>
          <w:tab w:val="left" w:pos="7020"/>
        </w:tabs>
        <w:spacing w:line="480" w:lineRule="exact"/>
        <w:rPr>
          <w:szCs w:val="24"/>
        </w:rPr>
      </w:pPr>
      <w:r>
        <w:rPr>
          <w:szCs w:val="24"/>
        </w:rPr>
        <w:tab/>
      </w:r>
      <w:r>
        <w:rPr>
          <w:rFonts w:hint="eastAsia"/>
          <w:i/>
          <w:szCs w:val="24"/>
        </w:rPr>
        <w:t>s</w:t>
      </w:r>
      <w:r>
        <w:rPr>
          <w:rFonts w:ascii="Times New Roman" w:hAnsi="Times New Roman"/>
          <w:szCs w:val="24"/>
          <w:vertAlign w:val="subscript"/>
        </w:rPr>
        <w:t>2</w:t>
      </w:r>
      <w:r>
        <w:rPr>
          <w:rFonts w:ascii="Times New Roman" w:hAnsi="Times New Roman"/>
          <w:szCs w:val="24"/>
        </w:rPr>
        <w:t>——</w:t>
      </w:r>
      <w:r>
        <w:rPr>
          <w:i/>
          <w:szCs w:val="24"/>
        </w:rPr>
        <w:t>t</w:t>
      </w:r>
      <w:r>
        <w:rPr>
          <w:rFonts w:ascii="Times New Roman" w:hAnsi="Times New Roman"/>
          <w:szCs w:val="24"/>
          <w:vertAlign w:val="subscript"/>
        </w:rPr>
        <w:t>2</w:t>
      </w:r>
      <w:r>
        <w:rPr>
          <w:rFonts w:hint="eastAsia"/>
          <w:szCs w:val="24"/>
        </w:rPr>
        <w:t>时间测得的蠕变量(mm)。</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3</w:t>
      </w:r>
      <w:r>
        <w:rPr>
          <w:rFonts w:ascii="Times New Roman" w:hAnsi="Times New Roman"/>
          <w:b/>
        </w:rPr>
        <w:t>.</w:t>
      </w:r>
      <w:r>
        <w:rPr>
          <w:rFonts w:hint="eastAsia" w:ascii="Times New Roman" w:hAnsi="Times New Roman"/>
          <w:b/>
        </w:rPr>
        <w:t>5</w:t>
      </w:r>
      <w:r>
        <w:rPr>
          <w:rFonts w:ascii="Times New Roman" w:hAnsi="Times New Roman"/>
          <w:b/>
        </w:rPr>
        <w:t xml:space="preserve"> </w:t>
      </w:r>
      <w:r>
        <w:rPr>
          <w:rFonts w:hint="eastAsia" w:ascii="宋体" w:hAnsi="宋体"/>
          <w:szCs w:val="24"/>
        </w:rPr>
        <w:t>锚杆的蠕变率不应大于</w:t>
      </w:r>
      <w:r>
        <w:rPr>
          <w:rFonts w:ascii="Times New Roman" w:hAnsi="Times New Roman"/>
          <w:szCs w:val="24"/>
        </w:rPr>
        <w:t>2</w:t>
      </w:r>
      <w:r>
        <w:rPr>
          <w:rFonts w:ascii="宋体" w:hAnsi="宋体"/>
          <w:szCs w:val="24"/>
        </w:rPr>
        <w:t>.</w:t>
      </w:r>
      <w:r>
        <w:rPr>
          <w:rFonts w:ascii="Times New Roman" w:hAnsi="Times New Roman"/>
          <w:szCs w:val="24"/>
        </w:rPr>
        <w:t>0</w:t>
      </w:r>
      <w:r>
        <w:rPr>
          <w:rFonts w:ascii="宋体" w:hAnsi="宋体"/>
          <w:szCs w:val="24"/>
        </w:rPr>
        <w:t>mm</w:t>
      </w:r>
      <w:r>
        <w:rPr>
          <w:rFonts w:hint="eastAsia" w:ascii="宋体" w:hAnsi="宋体"/>
          <w:szCs w:val="24"/>
        </w:rPr>
        <w:t>。</w:t>
      </w:r>
    </w:p>
    <w:p>
      <w:pPr>
        <w:pStyle w:val="3"/>
        <w:bidi w:val="0"/>
      </w:pPr>
      <w:bookmarkStart w:id="943" w:name="_Toc384310110"/>
      <w:bookmarkStart w:id="944" w:name="_Toc385581743"/>
      <w:bookmarkStart w:id="945" w:name="_Toc375039726"/>
      <w:bookmarkStart w:id="946" w:name="_Toc381951435"/>
      <w:bookmarkStart w:id="947" w:name="_Toc388643591"/>
      <w:bookmarkStart w:id="948" w:name="_Toc384309889"/>
      <w:bookmarkStart w:id="949" w:name="_Toc27087"/>
      <w:bookmarkStart w:id="950" w:name="_Toc381950789"/>
      <w:bookmarkStart w:id="951" w:name="_Toc381951630"/>
      <w:bookmarkStart w:id="952" w:name="_Toc385518870"/>
      <w:bookmarkStart w:id="953" w:name="_Toc384300169"/>
      <w:bookmarkStart w:id="954" w:name="_Toc384304397"/>
      <w:bookmarkStart w:id="955" w:name="_Toc368170523"/>
      <w:bookmarkStart w:id="956" w:name="_Toc16097"/>
      <w:bookmarkStart w:id="957" w:name="_Toc382559937"/>
      <w:bookmarkStart w:id="958" w:name="_Toc388643474"/>
      <w:bookmarkStart w:id="959" w:name="_Toc13778"/>
      <w:bookmarkStart w:id="960" w:name="_Toc385576967"/>
      <w:bookmarkStart w:id="961" w:name="_Toc381951051"/>
      <w:bookmarkStart w:id="962" w:name="_Toc382559775"/>
      <w:bookmarkStart w:id="963" w:name="_Toc384300317"/>
      <w:r>
        <w:rPr>
          <w:rFonts w:hint="eastAsia"/>
        </w:rPr>
        <w:t>A</w:t>
      </w:r>
      <w:r>
        <w:t>.</w:t>
      </w:r>
      <w:r>
        <w:rPr>
          <w:rFonts w:hint="eastAsia"/>
        </w:rPr>
        <w:t>4 验收试验</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A.4</w:t>
      </w:r>
      <w:r>
        <w:rPr>
          <w:rFonts w:ascii="Times New Roman" w:hAnsi="Times New Roman"/>
          <w:b/>
        </w:rPr>
        <w:t>.</w:t>
      </w:r>
      <w:r>
        <w:rPr>
          <w:rFonts w:hint="eastAsia" w:ascii="Times New Roman" w:hAnsi="Times New Roman"/>
          <w:b/>
        </w:rPr>
        <w:t>1</w:t>
      </w:r>
      <w:r>
        <w:rPr>
          <w:rFonts w:ascii="Times New Roman" w:hAnsi="Times New Roman"/>
          <w:b/>
        </w:rPr>
        <w:t xml:space="preserve"> </w:t>
      </w:r>
      <w:r>
        <w:rPr>
          <w:rFonts w:hint="eastAsia" w:ascii="宋体" w:hAnsi="宋体"/>
          <w:szCs w:val="24"/>
        </w:rPr>
        <w:t>锚杆抗拔承载力检测试验，最大试验荷载不应小于本</w:t>
      </w:r>
      <w:r>
        <w:rPr>
          <w:rFonts w:hint="eastAsia" w:ascii="宋体" w:hAnsi="宋体"/>
          <w:szCs w:val="24"/>
          <w:lang w:eastAsia="zh-CN"/>
        </w:rPr>
        <w:t>标准</w:t>
      </w:r>
      <w:r>
        <w:rPr>
          <w:rFonts w:hint="eastAsia" w:ascii="宋体" w:hAnsi="宋体"/>
          <w:szCs w:val="24"/>
        </w:rPr>
        <w:t>第8</w:t>
      </w:r>
      <w:r>
        <w:rPr>
          <w:rFonts w:ascii="宋体" w:hAnsi="宋体"/>
          <w:szCs w:val="24"/>
        </w:rPr>
        <w:t>.</w:t>
      </w:r>
      <w:r>
        <w:rPr>
          <w:rFonts w:hint="eastAsia" w:ascii="宋体" w:hAnsi="宋体"/>
          <w:szCs w:val="24"/>
        </w:rPr>
        <w:t>3</w:t>
      </w:r>
      <w:r>
        <w:rPr>
          <w:rFonts w:ascii="宋体" w:hAnsi="宋体"/>
          <w:szCs w:val="24"/>
        </w:rPr>
        <w:t>.</w:t>
      </w:r>
      <w:r>
        <w:rPr>
          <w:rFonts w:hint="eastAsia" w:ascii="宋体" w:hAnsi="宋体"/>
          <w:szCs w:val="24"/>
        </w:rPr>
        <w:t>3</w:t>
      </w:r>
      <w:r>
        <w:rPr>
          <w:rFonts w:ascii="宋体" w:hAnsi="宋体"/>
          <w:szCs w:val="24"/>
        </w:rPr>
        <w:t>.</w:t>
      </w:r>
      <w:r>
        <w:rPr>
          <w:rFonts w:hint="eastAsia" w:ascii="宋体" w:hAnsi="宋体"/>
          <w:szCs w:val="24"/>
        </w:rPr>
        <w:t>10条规定的抗拔承载力检测值。</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4</w:t>
      </w:r>
      <w:r>
        <w:rPr>
          <w:rFonts w:ascii="Times New Roman" w:hAnsi="Times New Roman"/>
          <w:b/>
        </w:rPr>
        <w:t>.</w:t>
      </w:r>
      <w:r>
        <w:rPr>
          <w:rFonts w:hint="eastAsia" w:ascii="Times New Roman" w:hAnsi="Times New Roman"/>
          <w:b/>
        </w:rPr>
        <w:t>2</w:t>
      </w:r>
      <w:r>
        <w:rPr>
          <w:rFonts w:ascii="Times New Roman" w:hAnsi="Times New Roman"/>
          <w:b/>
        </w:rPr>
        <w:t xml:space="preserve"> </w:t>
      </w:r>
      <w:r>
        <w:rPr>
          <w:rFonts w:hint="eastAsia" w:ascii="宋体" w:hAnsi="宋体"/>
          <w:szCs w:val="24"/>
        </w:rPr>
        <w:t>锚杆抗拔承载力检测试验可采用单循环加载法，其加载分级和锚头位移观测时间应按表A</w:t>
      </w:r>
      <w:r>
        <w:rPr>
          <w:rFonts w:ascii="宋体" w:hAnsi="宋体"/>
          <w:szCs w:val="24"/>
        </w:rPr>
        <w:t>.</w:t>
      </w:r>
      <w:r>
        <w:rPr>
          <w:rFonts w:hint="eastAsia" w:ascii="Times New Roman" w:hAnsi="Times New Roman"/>
          <w:szCs w:val="24"/>
        </w:rPr>
        <w:t>4</w:t>
      </w:r>
      <w:r>
        <w:rPr>
          <w:rFonts w:ascii="宋体" w:hAnsi="宋体"/>
          <w:szCs w:val="24"/>
        </w:rPr>
        <w:t>.</w:t>
      </w:r>
      <w:r>
        <w:rPr>
          <w:rFonts w:hint="eastAsia" w:ascii="Times New Roman" w:hAnsi="Times New Roman"/>
          <w:szCs w:val="24"/>
        </w:rPr>
        <w:t>2</w:t>
      </w:r>
      <w:r>
        <w:rPr>
          <w:rFonts w:hint="eastAsia"/>
        </w:rPr>
        <w:t>确定</w:t>
      </w:r>
      <w:r>
        <w:rPr>
          <w:rFonts w:hint="eastAsia" w:ascii="宋体" w:hAnsi="宋体"/>
          <w:szCs w:val="24"/>
        </w:rPr>
        <w:t>。</w:t>
      </w:r>
    </w:p>
    <w:p>
      <w:pPr>
        <w:widowControl w:val="0"/>
        <w:tabs>
          <w:tab w:val="left" w:pos="658"/>
          <w:tab w:val="left" w:pos="1078"/>
          <w:tab w:val="left" w:pos="1274"/>
          <w:tab w:val="left" w:pos="1620"/>
          <w:tab w:val="left" w:pos="2520"/>
          <w:tab w:val="left" w:pos="4680"/>
          <w:tab w:val="left" w:pos="7020"/>
        </w:tabs>
        <w:spacing w:line="480" w:lineRule="exact"/>
        <w:jc w:val="center"/>
        <w:rPr>
          <w:rFonts w:ascii="宋体" w:hAnsi="宋体"/>
          <w:b/>
          <w:sz w:val="21"/>
          <w:szCs w:val="21"/>
        </w:rPr>
      </w:pPr>
      <w:r>
        <w:rPr>
          <w:rFonts w:hint="eastAsia" w:ascii="宋体" w:hAnsi="宋体"/>
          <w:b/>
          <w:sz w:val="21"/>
          <w:szCs w:val="21"/>
        </w:rPr>
        <w:t>表A.</w:t>
      </w:r>
      <w:r>
        <w:rPr>
          <w:rFonts w:hint="eastAsia" w:ascii="Times New Roman" w:hAnsi="Times New Roman"/>
          <w:b/>
          <w:sz w:val="21"/>
          <w:szCs w:val="21"/>
        </w:rPr>
        <w:t>4</w:t>
      </w:r>
      <w:r>
        <w:rPr>
          <w:rFonts w:hint="eastAsia" w:ascii="宋体" w:hAnsi="宋体"/>
          <w:b/>
          <w:sz w:val="21"/>
          <w:szCs w:val="21"/>
        </w:rPr>
        <w:t>.</w:t>
      </w:r>
      <w:r>
        <w:rPr>
          <w:rFonts w:hint="eastAsia" w:ascii="Times New Roman" w:hAnsi="Times New Roman"/>
          <w:b/>
          <w:sz w:val="21"/>
          <w:szCs w:val="21"/>
        </w:rPr>
        <w:t>2</w:t>
      </w:r>
      <w:r>
        <w:rPr>
          <w:rFonts w:hint="eastAsia" w:ascii="宋体" w:hAnsi="宋体"/>
          <w:b/>
          <w:sz w:val="21"/>
          <w:szCs w:val="21"/>
        </w:rPr>
        <w:t xml:space="preserve">  单循环加载试验的加载分级与锚头位移观测时间</w:t>
      </w:r>
    </w:p>
    <w:tbl>
      <w:tblPr>
        <w:tblStyle w:val="3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37"/>
        <w:gridCol w:w="911"/>
        <w:gridCol w:w="911"/>
        <w:gridCol w:w="12"/>
        <w:gridCol w:w="899"/>
        <w:gridCol w:w="911"/>
        <w:gridCol w:w="922"/>
        <w:gridCol w:w="911"/>
        <w:gridCol w:w="911"/>
        <w:gridCol w:w="9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437"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最大试</w:t>
            </w:r>
          </w:p>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验荷载</w:t>
            </w:r>
          </w:p>
        </w:tc>
        <w:tc>
          <w:tcPr>
            <w:tcW w:w="7300" w:type="dxa"/>
            <w:gridSpan w:val="9"/>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分级荷载与锚杆轴向拉力标准值N</w:t>
            </w:r>
            <w:r>
              <w:rPr>
                <w:rFonts w:hint="eastAsia"/>
                <w:sz w:val="21"/>
                <w:szCs w:val="21"/>
                <w:vertAlign w:val="subscript"/>
              </w:rPr>
              <w:t>k</w:t>
            </w:r>
            <w:r>
              <w:rPr>
                <w:rFonts w:hint="eastAsia"/>
                <w:sz w:val="21"/>
                <w:szCs w:val="21"/>
              </w:rPr>
              <w:t>的百分比（%）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437" w:type="dxa"/>
            <w:vMerge w:val="restart"/>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4</w:t>
            </w:r>
            <w:r>
              <w:rPr>
                <w:rFonts w:hint="eastAsia"/>
                <w:i/>
                <w:sz w:val="21"/>
                <w:szCs w:val="21"/>
              </w:rPr>
              <w:t>N</w:t>
            </w:r>
            <w:r>
              <w:rPr>
                <w:rFonts w:hint="eastAsia"/>
                <w:sz w:val="21"/>
                <w:szCs w:val="21"/>
                <w:vertAlign w:val="subscript"/>
              </w:rPr>
              <w:t>k</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加载</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c>
          <w:tcPr>
            <w:tcW w:w="911"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40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60</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80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120</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437" w:type="dxa"/>
            <w:vMerge w:val="continue"/>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卸载</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c>
          <w:tcPr>
            <w:tcW w:w="911"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30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50</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80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120</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437" w:type="dxa"/>
            <w:vMerge w:val="restart"/>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3</w:t>
            </w:r>
            <w:r>
              <w:rPr>
                <w:rFonts w:hint="eastAsia"/>
                <w:i/>
                <w:sz w:val="21"/>
                <w:szCs w:val="21"/>
              </w:rPr>
              <w:t>N</w:t>
            </w:r>
            <w:r>
              <w:rPr>
                <w:rFonts w:hint="eastAsia"/>
                <w:sz w:val="21"/>
                <w:szCs w:val="21"/>
                <w:vertAlign w:val="subscript"/>
              </w:rPr>
              <w:t>k</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加载</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c>
          <w:tcPr>
            <w:tcW w:w="911"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40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60</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80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120</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437" w:type="dxa"/>
            <w:vMerge w:val="continue"/>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卸载</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c>
          <w:tcPr>
            <w:tcW w:w="911"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30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50</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80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120</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437" w:type="dxa"/>
            <w:vMerge w:val="restart"/>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2</w:t>
            </w:r>
            <w:r>
              <w:rPr>
                <w:rFonts w:hint="eastAsia"/>
                <w:i/>
                <w:sz w:val="21"/>
                <w:szCs w:val="21"/>
              </w:rPr>
              <w:t>N</w:t>
            </w:r>
            <w:r>
              <w:rPr>
                <w:rFonts w:hint="eastAsia"/>
                <w:sz w:val="21"/>
                <w:szCs w:val="21"/>
                <w:vertAlign w:val="subscript"/>
              </w:rPr>
              <w:t>k</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加载</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c>
          <w:tcPr>
            <w:tcW w:w="911"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40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60</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80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437" w:type="dxa"/>
            <w:vMerge w:val="continue"/>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卸载</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c>
          <w:tcPr>
            <w:tcW w:w="911"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30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50</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80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100</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2348"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sz w:val="21"/>
                <w:szCs w:val="21"/>
              </w:rPr>
              <w:t>观测时间(min)</w:t>
            </w:r>
          </w:p>
        </w:tc>
        <w:tc>
          <w:tcPr>
            <w:tcW w:w="923" w:type="dxa"/>
            <w:gridSpan w:val="2"/>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899"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92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911"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5</w:t>
            </w:r>
          </w:p>
        </w:tc>
        <w:tc>
          <w:tcPr>
            <w:tcW w:w="912" w:type="dxa"/>
            <w:vAlign w:val="center"/>
          </w:tcPr>
          <w:p>
            <w:pPr>
              <w:widowControl w:val="0"/>
              <w:tabs>
                <w:tab w:val="left" w:pos="658"/>
                <w:tab w:val="left" w:pos="1078"/>
                <w:tab w:val="left" w:pos="1274"/>
                <w:tab w:val="left" w:pos="1620"/>
                <w:tab w:val="left" w:pos="2520"/>
                <w:tab w:val="left" w:pos="4680"/>
                <w:tab w:val="left" w:pos="7020"/>
              </w:tabs>
              <w:jc w:val="center"/>
              <w:rPr>
                <w:sz w:val="21"/>
                <w:szCs w:val="21"/>
              </w:rPr>
            </w:pPr>
            <w:r>
              <w:rPr>
                <w:rFonts w:hint="eastAsia" w:ascii="Times New Roman" w:hAnsi="Times New Roman"/>
                <w:sz w:val="21"/>
                <w:szCs w:val="21"/>
              </w:rPr>
              <w:t>10</w:t>
            </w:r>
          </w:p>
        </w:tc>
      </w:tr>
    </w:tbl>
    <w:p>
      <w:pPr>
        <w:widowControl w:val="0"/>
        <w:tabs>
          <w:tab w:val="left" w:pos="658"/>
          <w:tab w:val="left" w:pos="1078"/>
          <w:tab w:val="left" w:pos="1274"/>
          <w:tab w:val="left" w:pos="1620"/>
          <w:tab w:val="left" w:pos="2520"/>
          <w:tab w:val="left" w:pos="4680"/>
          <w:tab w:val="left" w:pos="7020"/>
        </w:tabs>
        <w:spacing w:line="480" w:lineRule="exact"/>
        <w:rPr>
          <w:rFonts w:ascii="Times New Roman" w:hAnsi="Times New Roman"/>
        </w:rPr>
      </w:pPr>
      <w:r>
        <w:rPr>
          <w:rFonts w:hint="eastAsia" w:ascii="Times New Roman" w:hAnsi="Times New Roman"/>
          <w:b/>
        </w:rPr>
        <w:t xml:space="preserve">A.4.3 </w:t>
      </w:r>
      <w:r>
        <w:rPr>
          <w:rFonts w:hint="eastAsia" w:ascii="Times New Roman" w:hAnsi="Times New Roman"/>
        </w:rPr>
        <w:t>锚杆抗拔承载力检测试验，其锚头位移测读和加、卸载应符合下列规定：</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rPr>
      </w:pPr>
      <w:r>
        <w:rPr>
          <w:rFonts w:hint="eastAsia" w:ascii="Times New Roman" w:hAnsi="Times New Roman"/>
        </w:rPr>
        <w:t>1 初始荷载下，应测读锚头位移基准值3次，当每间隔5min的读数相同时，方可作为锚头位移基准值；</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szCs w:val="24"/>
        </w:rPr>
      </w:pPr>
      <w:r>
        <w:rPr>
          <w:rFonts w:hint="eastAsia" w:ascii="Times New Roman" w:hAnsi="Times New Roman"/>
          <w:szCs w:val="24"/>
        </w:rPr>
        <w:t xml:space="preserve">2 </w:t>
      </w:r>
      <w:r>
        <w:rPr>
          <w:rFonts w:hint="eastAsia" w:ascii="宋体" w:hAnsi="宋体"/>
          <w:szCs w:val="24"/>
        </w:rPr>
        <w:t>每级加、卸荷载稳定后，在观测时间内测读锚头位移不应少于</w:t>
      </w:r>
      <w:r>
        <w:rPr>
          <w:rFonts w:hint="eastAsia" w:ascii="Times New Roman" w:hAnsi="Times New Roman"/>
          <w:szCs w:val="24"/>
        </w:rPr>
        <w:t>3</w:t>
      </w:r>
      <w:r>
        <w:rPr>
          <w:rFonts w:hint="eastAsia" w:ascii="宋体" w:hAnsi="宋体"/>
          <w:szCs w:val="24"/>
        </w:rPr>
        <w:t>次；</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szCs w:val="24"/>
        </w:rPr>
      </w:pPr>
      <w:r>
        <w:rPr>
          <w:rFonts w:hint="eastAsia" w:ascii="Times New Roman" w:hAnsi="Times New Roman"/>
          <w:szCs w:val="24"/>
        </w:rPr>
        <w:t xml:space="preserve">3 </w:t>
      </w:r>
      <w:r>
        <w:rPr>
          <w:rFonts w:hint="eastAsia" w:ascii="宋体" w:hAnsi="宋体"/>
          <w:szCs w:val="24"/>
        </w:rPr>
        <w:t>当观测时间内锚头位移增量不大于</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0</w:t>
      </w:r>
      <w:r>
        <w:rPr>
          <w:rFonts w:hint="eastAsia" w:ascii="宋体" w:hAnsi="宋体"/>
          <w:szCs w:val="24"/>
        </w:rPr>
        <w:t>mm时，可视为位移收敛；否则，观测时间应延长至</w:t>
      </w:r>
      <w:r>
        <w:rPr>
          <w:rFonts w:hint="eastAsia" w:ascii="Times New Roman" w:hAnsi="Times New Roman"/>
          <w:szCs w:val="24"/>
        </w:rPr>
        <w:t>60</w:t>
      </w:r>
      <w:r>
        <w:rPr>
          <w:rFonts w:hint="eastAsia" w:ascii="宋体" w:hAnsi="宋体"/>
          <w:szCs w:val="24"/>
        </w:rPr>
        <w:t>min，并应每隔</w:t>
      </w:r>
      <w:r>
        <w:rPr>
          <w:rFonts w:hint="eastAsia" w:ascii="Times New Roman" w:hAnsi="Times New Roman"/>
          <w:szCs w:val="24"/>
        </w:rPr>
        <w:t>10</w:t>
      </w:r>
      <w:r>
        <w:rPr>
          <w:rFonts w:hint="eastAsia" w:ascii="宋体" w:hAnsi="宋体"/>
          <w:szCs w:val="24"/>
        </w:rPr>
        <w:t>min测读锚头位移</w:t>
      </w:r>
      <w:r>
        <w:rPr>
          <w:rFonts w:hint="eastAsia" w:ascii="Times New Roman" w:hAnsi="Times New Roman"/>
          <w:szCs w:val="24"/>
        </w:rPr>
        <w:t>1</w:t>
      </w:r>
      <w:r>
        <w:rPr>
          <w:rFonts w:hint="eastAsia" w:ascii="宋体" w:hAnsi="宋体"/>
          <w:szCs w:val="24"/>
        </w:rPr>
        <w:t>次，当该60min内锚头位移增量小于</w:t>
      </w:r>
      <w:r>
        <w:rPr>
          <w:rFonts w:hint="eastAsia" w:ascii="Times New Roman" w:hAnsi="Times New Roman"/>
          <w:szCs w:val="24"/>
        </w:rPr>
        <w:t>2</w:t>
      </w:r>
      <w:r>
        <w:rPr>
          <w:rFonts w:hint="eastAsia" w:ascii="宋体" w:hAnsi="宋体"/>
          <w:szCs w:val="24"/>
        </w:rPr>
        <w:t>.</w:t>
      </w:r>
      <w:r>
        <w:rPr>
          <w:rFonts w:hint="eastAsia" w:ascii="Times New Roman" w:hAnsi="Times New Roman"/>
          <w:szCs w:val="24"/>
        </w:rPr>
        <w:t>0</w:t>
      </w:r>
      <w:r>
        <w:rPr>
          <w:rFonts w:hint="eastAsia" w:ascii="宋体" w:hAnsi="宋体"/>
          <w:szCs w:val="24"/>
        </w:rPr>
        <w:t>mm时，可视为锚头位移收敛，否则视为不收敛。</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 xml:space="preserve">A.4.3 </w:t>
      </w:r>
      <w:r>
        <w:rPr>
          <w:rFonts w:hint="eastAsia" w:ascii="宋体" w:hAnsi="宋体"/>
          <w:szCs w:val="24"/>
        </w:rPr>
        <w:t>锚杆试验中遇本</w:t>
      </w:r>
      <w:r>
        <w:rPr>
          <w:rFonts w:hint="eastAsia" w:ascii="宋体" w:hAnsi="宋体"/>
          <w:szCs w:val="24"/>
          <w:lang w:eastAsia="zh-CN"/>
        </w:rPr>
        <w:t>标准</w:t>
      </w:r>
      <w:r>
        <w:rPr>
          <w:rFonts w:hint="eastAsia" w:ascii="宋体" w:hAnsi="宋体"/>
          <w:szCs w:val="24"/>
        </w:rPr>
        <w:t>第A.</w:t>
      </w:r>
      <w:r>
        <w:rPr>
          <w:rFonts w:hint="eastAsia" w:ascii="Times New Roman" w:hAnsi="Times New Roman"/>
          <w:szCs w:val="24"/>
        </w:rPr>
        <w:t>2</w:t>
      </w:r>
      <w:r>
        <w:rPr>
          <w:rFonts w:hint="eastAsia" w:ascii="宋体" w:hAnsi="宋体"/>
          <w:szCs w:val="24"/>
        </w:rPr>
        <w:t>.</w:t>
      </w:r>
      <w:r>
        <w:rPr>
          <w:rFonts w:hint="eastAsia" w:ascii="Times New Roman" w:hAnsi="Times New Roman"/>
          <w:szCs w:val="24"/>
        </w:rPr>
        <w:t>6</w:t>
      </w:r>
      <w:r>
        <w:rPr>
          <w:rFonts w:hint="eastAsia" w:ascii="宋体" w:hAnsi="宋体"/>
          <w:szCs w:val="24"/>
        </w:rPr>
        <w:t>条规定的终止继续加载情况时，应终止继续加载。</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4</w:t>
      </w:r>
      <w:r>
        <w:rPr>
          <w:rFonts w:ascii="Times New Roman" w:hAnsi="Times New Roman"/>
          <w:b/>
        </w:rPr>
        <w:t>.</w:t>
      </w:r>
      <w:r>
        <w:rPr>
          <w:rFonts w:hint="eastAsia" w:ascii="Times New Roman" w:hAnsi="Times New Roman"/>
          <w:b/>
        </w:rPr>
        <w:t>4</w:t>
      </w:r>
      <w:r>
        <w:rPr>
          <w:rFonts w:ascii="Times New Roman" w:hAnsi="Times New Roman"/>
          <w:b/>
        </w:rPr>
        <w:t xml:space="preserve"> </w:t>
      </w:r>
      <w:r>
        <w:rPr>
          <w:rFonts w:hint="eastAsia" w:ascii="宋体" w:hAnsi="宋体"/>
          <w:szCs w:val="24"/>
        </w:rPr>
        <w:t>单循环加载试验应绘制锚杆的荷载—位移</w:t>
      </w:r>
      <w:r>
        <w:rPr>
          <w:rFonts w:ascii="宋体" w:hAnsi="宋体"/>
          <w:szCs w:val="24"/>
        </w:rPr>
        <w:t>(</w:t>
      </w:r>
      <w:r>
        <w:rPr>
          <w:rFonts w:ascii="宋体" w:hAnsi="宋体"/>
          <w:i/>
          <w:szCs w:val="24"/>
        </w:rPr>
        <w:t>Q</w:t>
      </w:r>
      <w:r>
        <w:rPr>
          <w:rFonts w:hint="eastAsia" w:ascii="宋体" w:hAnsi="宋体"/>
          <w:szCs w:val="24"/>
        </w:rPr>
        <w:t>—</w:t>
      </w:r>
      <w:r>
        <w:rPr>
          <w:rFonts w:hint="eastAsia" w:ascii="宋体" w:hAnsi="宋体"/>
          <w:i/>
          <w:color w:val="000000"/>
          <w:szCs w:val="24"/>
        </w:rPr>
        <w:t>s</w:t>
      </w:r>
      <w:r>
        <w:rPr>
          <w:rFonts w:ascii="宋体" w:hAnsi="宋体"/>
          <w:szCs w:val="24"/>
        </w:rPr>
        <w:t>)</w:t>
      </w:r>
      <w:r>
        <w:rPr>
          <w:rFonts w:hint="eastAsia" w:ascii="宋体" w:hAnsi="宋体"/>
          <w:szCs w:val="24"/>
        </w:rPr>
        <w:t>曲线。锚杆的位移不应包括试验反力装置的变形。</w:t>
      </w:r>
    </w:p>
    <w:p>
      <w:pPr>
        <w:widowControl w:val="0"/>
        <w:tabs>
          <w:tab w:val="left" w:pos="658"/>
          <w:tab w:val="left" w:pos="1078"/>
          <w:tab w:val="left" w:pos="1274"/>
          <w:tab w:val="left" w:pos="1620"/>
          <w:tab w:val="left" w:pos="2520"/>
          <w:tab w:val="left" w:pos="4680"/>
          <w:tab w:val="left" w:pos="7020"/>
        </w:tabs>
        <w:spacing w:line="480" w:lineRule="exact"/>
        <w:rPr>
          <w:rFonts w:ascii="宋体" w:hAnsi="宋体"/>
          <w:szCs w:val="24"/>
        </w:rPr>
      </w:pPr>
      <w:r>
        <w:rPr>
          <w:rFonts w:hint="eastAsia" w:ascii="Times New Roman" w:hAnsi="Times New Roman"/>
          <w:b/>
        </w:rPr>
        <w:t>A</w:t>
      </w:r>
      <w:r>
        <w:rPr>
          <w:rFonts w:ascii="Times New Roman" w:hAnsi="Times New Roman"/>
          <w:b/>
        </w:rPr>
        <w:t>.</w:t>
      </w:r>
      <w:r>
        <w:rPr>
          <w:rFonts w:hint="eastAsia" w:ascii="Times New Roman" w:hAnsi="Times New Roman"/>
          <w:b/>
        </w:rPr>
        <w:t>4</w:t>
      </w:r>
      <w:r>
        <w:rPr>
          <w:rFonts w:ascii="Times New Roman" w:hAnsi="Times New Roman"/>
          <w:b/>
        </w:rPr>
        <w:t>.</w:t>
      </w:r>
      <w:r>
        <w:rPr>
          <w:rFonts w:hint="eastAsia" w:ascii="Times New Roman" w:hAnsi="Times New Roman"/>
          <w:b/>
        </w:rPr>
        <w:t>5</w:t>
      </w:r>
      <w:r>
        <w:rPr>
          <w:rFonts w:ascii="宋体" w:hAnsi="宋体"/>
          <w:b/>
        </w:rPr>
        <w:t xml:space="preserve"> </w:t>
      </w:r>
      <w:r>
        <w:rPr>
          <w:rFonts w:hint="eastAsia" w:ascii="宋体" w:hAnsi="宋体"/>
          <w:szCs w:val="24"/>
        </w:rPr>
        <w:t>检测试验中，符合下列要求的锚杆应判定合格：</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hint="eastAsia" w:ascii="Times New Roman" w:hAnsi="Times New Roman"/>
          <w:szCs w:val="24"/>
        </w:rPr>
      </w:pPr>
      <w:bookmarkStart w:id="964" w:name="_Toc10002"/>
      <w:bookmarkStart w:id="965" w:name="_Toc28685"/>
      <w:r>
        <w:rPr>
          <w:rFonts w:hint="eastAsia" w:ascii="Times New Roman" w:hAnsi="Times New Roman"/>
          <w:szCs w:val="24"/>
        </w:rPr>
        <w:t>1 在抗拔承载力检测值下，锚杆位移稳定或收敛；</w:t>
      </w:r>
      <w:bookmarkEnd w:id="964"/>
      <w:bookmarkEnd w:id="965"/>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szCs w:val="24"/>
        </w:rPr>
      </w:pPr>
      <w:r>
        <w:rPr>
          <w:rFonts w:hint="eastAsia" w:ascii="Times New Roman" w:hAnsi="Times New Roman"/>
          <w:szCs w:val="24"/>
        </w:rPr>
        <w:t>2</w:t>
      </w:r>
      <w:r>
        <w:rPr>
          <w:rFonts w:hint="eastAsia" w:ascii="宋体" w:hAnsi="宋体"/>
          <w:szCs w:val="24"/>
        </w:rPr>
        <w:t>在抗拔承载力检测值下测得的弹性位移量应大于杆体自由段长度理论弹性伸长量的</w:t>
      </w:r>
      <w:r>
        <w:rPr>
          <w:rFonts w:ascii="Times New Roman" w:hAnsi="Times New Roman"/>
          <w:szCs w:val="24"/>
        </w:rPr>
        <w:t>80</w:t>
      </w:r>
      <w:r>
        <w:rPr>
          <w:rFonts w:ascii="宋体" w:hAnsi="宋体"/>
          <w:szCs w:val="24"/>
        </w:rPr>
        <w:t>%</w:t>
      </w:r>
      <w:r>
        <w:rPr>
          <w:rFonts w:hint="eastAsia" w:ascii="宋体" w:hAnsi="宋体"/>
          <w:szCs w:val="24"/>
        </w:rPr>
        <w:t>。</w:t>
      </w:r>
    </w:p>
    <w:p>
      <w:pPr>
        <w:widowControl w:val="0"/>
        <w:tabs>
          <w:tab w:val="left" w:pos="658"/>
          <w:tab w:val="left" w:pos="1078"/>
          <w:tab w:val="left" w:pos="1274"/>
          <w:tab w:val="left" w:pos="1620"/>
          <w:tab w:val="left" w:pos="2520"/>
          <w:tab w:val="left" w:pos="4680"/>
          <w:tab w:val="left" w:pos="7020"/>
        </w:tabs>
        <w:spacing w:line="480" w:lineRule="exact"/>
        <w:jc w:val="left"/>
        <w:rPr>
          <w:rFonts w:ascii="Times New Roman" w:hAnsi="Times New Roman"/>
          <w:bCs/>
          <w:color w:val="auto"/>
        </w:rPr>
      </w:pPr>
      <w:r>
        <w:rPr>
          <w:rFonts w:hint="eastAsia" w:ascii="Times New Roman" w:hAnsi="Times New Roman"/>
          <w:b/>
          <w:color w:val="auto"/>
        </w:rPr>
        <w:t>A</w:t>
      </w:r>
      <w:r>
        <w:rPr>
          <w:rFonts w:ascii="Times New Roman" w:hAnsi="Times New Roman"/>
          <w:b/>
          <w:color w:val="auto"/>
        </w:rPr>
        <w:t>.</w:t>
      </w:r>
      <w:r>
        <w:rPr>
          <w:rFonts w:hint="eastAsia" w:ascii="Times New Roman" w:hAnsi="Times New Roman"/>
          <w:b/>
          <w:color w:val="auto"/>
        </w:rPr>
        <w:t>4</w:t>
      </w:r>
      <w:r>
        <w:rPr>
          <w:rFonts w:ascii="Times New Roman" w:hAnsi="Times New Roman"/>
          <w:b/>
          <w:color w:val="auto"/>
        </w:rPr>
        <w:t>.</w:t>
      </w:r>
      <w:r>
        <w:rPr>
          <w:rFonts w:hint="eastAsia" w:ascii="Times New Roman" w:hAnsi="Times New Roman"/>
          <w:b/>
          <w:color w:val="auto"/>
        </w:rPr>
        <w:t xml:space="preserve">6 </w:t>
      </w:r>
      <w:r>
        <w:rPr>
          <w:rFonts w:hint="eastAsia" w:ascii="Times New Roman" w:hAnsi="Times New Roman"/>
          <w:bCs/>
          <w:color w:val="auto"/>
        </w:rPr>
        <w:t>检验报告应包含下列内容：</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color w:val="auto"/>
          <w:szCs w:val="24"/>
        </w:rPr>
      </w:pPr>
      <w:r>
        <w:rPr>
          <w:rFonts w:hint="eastAsia" w:ascii="Times New Roman" w:hAnsi="Times New Roman"/>
          <w:color w:val="auto"/>
          <w:szCs w:val="24"/>
        </w:rPr>
        <w:t>1</w:t>
      </w:r>
      <w:r>
        <w:rPr>
          <w:rFonts w:hint="eastAsia" w:ascii="宋体" w:hAnsi="宋体"/>
          <w:color w:val="auto"/>
          <w:szCs w:val="24"/>
        </w:rPr>
        <w:t xml:space="preserve"> 委托方名称，工程名称、地点，建设、勘察、设计、监理和施工单位，基坑安全等级、深度、支护形式，设计要求，检测目的，检测依据，检测数量，检测日期；</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color w:val="auto"/>
          <w:szCs w:val="24"/>
        </w:rPr>
      </w:pPr>
      <w:r>
        <w:rPr>
          <w:rFonts w:hint="eastAsia" w:ascii="Times New Roman" w:hAnsi="Times New Roman"/>
          <w:color w:val="auto"/>
          <w:szCs w:val="24"/>
        </w:rPr>
        <w:t>2</w:t>
      </w:r>
      <w:r>
        <w:rPr>
          <w:rFonts w:hint="eastAsia" w:ascii="宋体" w:hAnsi="宋体"/>
          <w:color w:val="auto"/>
          <w:szCs w:val="24"/>
        </w:rPr>
        <w:t>工程地质条件描述；</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3 受检锚杆的材料、尺寸、编号、位置、和相关施工记录；</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4 检测方法，检测仪器设备，检测过程叙述；</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5 受检锚杆的检测数据，实测与计算分析曲线、表格和汇总结果；</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hint="eastAsia" w:ascii="Times New Roman" w:hAnsi="Times New Roman"/>
          <w:color w:val="auto"/>
          <w:szCs w:val="24"/>
        </w:rPr>
      </w:pPr>
      <w:r>
        <w:rPr>
          <w:rFonts w:hint="eastAsia" w:ascii="Times New Roman" w:hAnsi="Times New Roman"/>
          <w:color w:val="auto"/>
          <w:szCs w:val="24"/>
        </w:rPr>
        <w:t>6 与检测内容相应的检测结论。</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hint="eastAsia" w:ascii="Times New Roman" w:hAnsi="Times New Roman"/>
          <w:color w:val="auto"/>
          <w:szCs w:val="24"/>
        </w:rPr>
      </w:pPr>
    </w:p>
    <w:p>
      <w:pPr>
        <w:rPr>
          <w:rFonts w:hint="eastAsia" w:ascii="Times New Roman" w:hAnsi="Times New Roman"/>
          <w:color w:val="0070C0"/>
          <w:szCs w:val="24"/>
        </w:rPr>
      </w:pPr>
      <w:r>
        <w:rPr>
          <w:rFonts w:hint="eastAsia" w:ascii="Times New Roman" w:hAnsi="Times New Roman"/>
          <w:color w:val="0070C0"/>
          <w:szCs w:val="24"/>
        </w:rPr>
        <w:br w:type="page"/>
      </w:r>
    </w:p>
    <w:p>
      <w:pPr>
        <w:pStyle w:val="2"/>
        <w:bidi w:val="0"/>
        <w:rPr>
          <w:b/>
          <w:bCs/>
          <w:sz w:val="36"/>
          <w:szCs w:val="36"/>
        </w:rPr>
      </w:pPr>
      <w:bookmarkStart w:id="966" w:name="_Toc17194"/>
      <w:bookmarkStart w:id="967" w:name="_Toc22472"/>
      <w:r>
        <w:rPr>
          <w:rFonts w:hint="eastAsia" w:ascii="黑体" w:hAnsi="黑体" w:eastAsia="黑体" w:cs="黑体"/>
          <w:b/>
          <w:bCs/>
          <w:sz w:val="40"/>
          <w:szCs w:val="40"/>
          <w:lang w:val="en-US" w:eastAsia="zh-CN"/>
        </w:rPr>
        <w:t>附录B  土钉抗拔试验要点</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66"/>
      <w:bookmarkEnd w:id="967"/>
    </w:p>
    <w:p>
      <w:pPr>
        <w:widowControl w:val="0"/>
        <w:spacing w:line="480" w:lineRule="exact"/>
      </w:pPr>
      <w:r>
        <w:rPr>
          <w:rFonts w:hint="eastAsia" w:ascii="Times New Roman" w:hAnsi="Times New Roman"/>
          <w:b/>
        </w:rPr>
        <w:t xml:space="preserve">B.0.1 </w:t>
      </w:r>
      <w:r>
        <w:rPr>
          <w:rFonts w:hint="eastAsia"/>
        </w:rPr>
        <w:t>试验土钉的参数、材</w:t>
      </w:r>
      <w:r>
        <w:rPr>
          <w:rFonts w:hint="eastAsia"/>
          <w:color w:val="000000"/>
        </w:rPr>
        <w:t>料、施工工艺及所处的地质条件</w:t>
      </w:r>
      <w:r>
        <w:rPr>
          <w:rFonts w:hint="eastAsia"/>
        </w:rPr>
        <w:t>应与工程土钉相同。</w:t>
      </w:r>
    </w:p>
    <w:p>
      <w:pPr>
        <w:widowControl w:val="0"/>
        <w:spacing w:line="480" w:lineRule="exact"/>
        <w:rPr>
          <w:color w:val="auto"/>
        </w:rPr>
      </w:pPr>
      <w:r>
        <w:rPr>
          <w:rFonts w:hint="eastAsia" w:ascii="Times New Roman" w:hAnsi="Times New Roman"/>
          <w:b/>
        </w:rPr>
        <w:t>B.0.2</w:t>
      </w:r>
      <w:r>
        <w:rPr>
          <w:rFonts w:hint="eastAsia"/>
        </w:rPr>
        <w:t xml:space="preserve"> </w:t>
      </w:r>
      <w:r>
        <w:rPr>
          <w:rFonts w:hint="eastAsia"/>
          <w:color w:val="auto"/>
        </w:rPr>
        <w:t>土钉抗拔试验应在注浆固结体强度达到</w:t>
      </w:r>
      <w:r>
        <w:rPr>
          <w:rFonts w:hint="eastAsia" w:ascii="宋体" w:hAnsi="宋体"/>
          <w:color w:val="auto"/>
        </w:rPr>
        <w:t>10Mpa</w:t>
      </w:r>
      <w:r>
        <w:rPr>
          <w:rFonts w:hint="eastAsia"/>
          <w:color w:val="auto"/>
        </w:rPr>
        <w:t>或达到设计强度等级的</w:t>
      </w:r>
      <w:r>
        <w:rPr>
          <w:rFonts w:hint="eastAsia" w:ascii="Times New Roman" w:hAnsi="Times New Roman"/>
          <w:color w:val="auto"/>
        </w:rPr>
        <w:t>70</w:t>
      </w:r>
      <w:r>
        <w:rPr>
          <w:rFonts w:hint="eastAsia"/>
          <w:color w:val="auto"/>
        </w:rPr>
        <w:t>%后进行。</w:t>
      </w:r>
    </w:p>
    <w:p>
      <w:pPr>
        <w:widowControl w:val="0"/>
        <w:spacing w:line="480" w:lineRule="exact"/>
      </w:pPr>
      <w:r>
        <w:rPr>
          <w:rFonts w:hint="eastAsia" w:ascii="Times New Roman" w:hAnsi="Times New Roman"/>
          <w:b/>
          <w:color w:val="auto"/>
        </w:rPr>
        <w:t>B.0.3</w:t>
      </w:r>
      <w:r>
        <w:rPr>
          <w:rFonts w:hint="eastAsia"/>
          <w:color w:val="auto"/>
        </w:rPr>
        <w:t xml:space="preserve"> 加载装置（千斤顶、油压系统）的额定压力</w:t>
      </w:r>
      <w:r>
        <w:rPr>
          <w:rFonts w:hint="eastAsia"/>
        </w:rPr>
        <w:t>必须大于</w:t>
      </w:r>
      <w:r>
        <w:rPr>
          <w:rFonts w:hint="eastAsia"/>
          <w:color w:val="000000"/>
        </w:rPr>
        <w:t>最大</w:t>
      </w:r>
      <w:r>
        <w:rPr>
          <w:rFonts w:hint="eastAsia"/>
        </w:rPr>
        <w:t>试验压力，且试验前应进行标定。</w:t>
      </w:r>
    </w:p>
    <w:p>
      <w:pPr>
        <w:widowControl w:val="0"/>
        <w:spacing w:line="480" w:lineRule="exact"/>
      </w:pPr>
      <w:r>
        <w:rPr>
          <w:rFonts w:hint="eastAsia" w:ascii="Times New Roman" w:hAnsi="Times New Roman"/>
          <w:b/>
        </w:rPr>
        <w:t>B.0.4</w:t>
      </w:r>
      <w:r>
        <w:rPr>
          <w:rFonts w:hint="eastAsia"/>
        </w:rPr>
        <w:t xml:space="preserve"> 加荷反力装置的承载力和刚度应满足最大试验荷载的要求，</w:t>
      </w:r>
      <w:r>
        <w:rPr>
          <w:rFonts w:hint="eastAsia"/>
          <w:color w:val="000000"/>
        </w:rPr>
        <w:t>加载时</w:t>
      </w:r>
      <w:r>
        <w:rPr>
          <w:rFonts w:hint="eastAsia"/>
        </w:rPr>
        <w:t>千斤顶</w:t>
      </w:r>
      <w:r>
        <w:rPr>
          <w:rFonts w:hint="eastAsia"/>
          <w:color w:val="000000"/>
        </w:rPr>
        <w:t>应与</w:t>
      </w:r>
      <w:r>
        <w:rPr>
          <w:rFonts w:hint="eastAsia"/>
        </w:rPr>
        <w:t>土钉同轴。</w:t>
      </w:r>
    </w:p>
    <w:p>
      <w:pPr>
        <w:widowControl w:val="0"/>
        <w:spacing w:line="480" w:lineRule="exact"/>
      </w:pPr>
      <w:r>
        <w:rPr>
          <w:rFonts w:hint="eastAsia" w:ascii="Times New Roman" w:hAnsi="Times New Roman"/>
          <w:b/>
        </w:rPr>
        <w:t>B.0.5</w:t>
      </w:r>
      <w:r>
        <w:rPr>
          <w:rFonts w:hint="eastAsia" w:ascii="宋体" w:hAnsi="宋体"/>
          <w:b/>
        </w:rPr>
        <w:t xml:space="preserve"> </w:t>
      </w:r>
      <w:r>
        <w:rPr>
          <w:rFonts w:hint="eastAsia"/>
        </w:rPr>
        <w:t>计量仪表（位移计、压力表）的精度应满足试验要求。</w:t>
      </w:r>
    </w:p>
    <w:p>
      <w:pPr>
        <w:widowControl w:val="0"/>
        <w:spacing w:line="480" w:lineRule="exact"/>
      </w:pPr>
      <w:r>
        <w:rPr>
          <w:rFonts w:hint="eastAsia" w:ascii="Times New Roman" w:hAnsi="Times New Roman"/>
          <w:b/>
        </w:rPr>
        <w:t>B.0.6</w:t>
      </w:r>
      <w:r>
        <w:rPr>
          <w:rFonts w:hint="eastAsia" w:ascii="宋体" w:hAnsi="宋体"/>
          <w:b/>
        </w:rPr>
        <w:t xml:space="preserve"> </w:t>
      </w:r>
      <w:r>
        <w:rPr>
          <w:rFonts w:hint="eastAsia"/>
        </w:rPr>
        <w:t>在土钉墙面层上进行试验时，试验土钉应与喷射混凝土面层分离。</w:t>
      </w:r>
    </w:p>
    <w:p>
      <w:pPr>
        <w:widowControl w:val="0"/>
        <w:spacing w:line="480" w:lineRule="exact"/>
      </w:pPr>
      <w:r>
        <w:rPr>
          <w:rFonts w:hint="eastAsia" w:ascii="Times New Roman" w:hAnsi="Times New Roman"/>
          <w:b/>
        </w:rPr>
        <w:t>B.0.7</w:t>
      </w:r>
      <w:r>
        <w:rPr>
          <w:rFonts w:hint="eastAsia" w:ascii="宋体" w:hAnsi="宋体"/>
          <w:b/>
        </w:rPr>
        <w:t xml:space="preserve"> </w:t>
      </w:r>
      <w:r>
        <w:rPr>
          <w:rFonts w:hint="eastAsia"/>
        </w:rPr>
        <w:t>最大试验荷载下的土钉杆体应力不应超过其屈服强度标准值。</w:t>
      </w:r>
    </w:p>
    <w:p>
      <w:pPr>
        <w:widowControl w:val="0"/>
        <w:spacing w:line="480" w:lineRule="exact"/>
      </w:pPr>
      <w:r>
        <w:rPr>
          <w:rFonts w:hint="eastAsia" w:ascii="Times New Roman" w:hAnsi="Times New Roman"/>
          <w:b/>
        </w:rPr>
        <w:t>B.0.8</w:t>
      </w:r>
      <w:r>
        <w:rPr>
          <w:rFonts w:hint="eastAsia" w:ascii="宋体" w:hAnsi="宋体"/>
          <w:b/>
        </w:rPr>
        <w:t xml:space="preserve"> </w:t>
      </w:r>
      <w:r>
        <w:rPr>
          <w:rFonts w:hint="eastAsia"/>
        </w:rPr>
        <w:t>同一条件下的极限抗拔承载力试验的土钉数量不应少于3根。</w:t>
      </w:r>
    </w:p>
    <w:p>
      <w:pPr>
        <w:widowControl w:val="0"/>
        <w:spacing w:line="480" w:lineRule="exact"/>
      </w:pPr>
      <w:r>
        <w:rPr>
          <w:rFonts w:hint="eastAsia" w:ascii="Times New Roman" w:hAnsi="Times New Roman"/>
          <w:b/>
        </w:rPr>
        <w:t>B.0.9</w:t>
      </w:r>
      <w:r>
        <w:rPr>
          <w:rFonts w:hint="eastAsia"/>
        </w:rPr>
        <w:t xml:space="preserve"> 确定土钉极限抗拔承载力的试验，最大试验荷载不应小于预估破坏荷载，且试验土钉的杆体截面面积应符合本</w:t>
      </w:r>
      <w:r>
        <w:rPr>
          <w:rFonts w:hint="eastAsia"/>
          <w:lang w:eastAsia="zh-CN"/>
        </w:rPr>
        <w:t>标准</w:t>
      </w:r>
      <w:r>
        <w:rPr>
          <w:rFonts w:hint="eastAsia"/>
        </w:rPr>
        <w:t>第B. 0. 7条对土钉杆体应力的规定。必要时，可增加试验土钉的杆体截面面积。</w:t>
      </w:r>
    </w:p>
    <w:p>
      <w:pPr>
        <w:widowControl w:val="0"/>
        <w:spacing w:line="480" w:lineRule="exact"/>
      </w:pPr>
      <w:r>
        <w:rPr>
          <w:rFonts w:hint="eastAsia" w:ascii="Times New Roman" w:hAnsi="Times New Roman"/>
          <w:b/>
        </w:rPr>
        <w:t>B.0.10</w:t>
      </w:r>
      <w:r>
        <w:rPr>
          <w:rFonts w:hint="eastAsia"/>
        </w:rPr>
        <w:t xml:space="preserve"> 土钉抗拔承载力检测试验，最大试验荷载不应小于本</w:t>
      </w:r>
      <w:r>
        <w:rPr>
          <w:rFonts w:hint="eastAsia"/>
          <w:lang w:eastAsia="zh-CN"/>
        </w:rPr>
        <w:t>标准</w:t>
      </w:r>
      <w:r>
        <w:rPr>
          <w:rFonts w:hint="eastAsia"/>
          <w:color w:val="auto"/>
          <w:highlight w:val="none"/>
          <w:shd w:val="clear"/>
        </w:rPr>
        <w:t>第</w:t>
      </w:r>
      <w:r>
        <w:rPr>
          <w:rFonts w:hint="eastAsia" w:ascii="Calibri" w:eastAsia="宋体"/>
          <w:color w:val="auto"/>
          <w:highlight w:val="none"/>
          <w:shd w:val="clear"/>
          <w:lang w:val="en-US" w:eastAsia="zh-CN"/>
        </w:rPr>
        <w:t>9.4.11</w:t>
      </w:r>
      <w:r>
        <w:rPr>
          <w:rFonts w:hint="eastAsia"/>
          <w:color w:val="auto"/>
          <w:highlight w:val="none"/>
          <w:shd w:val="clear"/>
        </w:rPr>
        <w:t>条</w:t>
      </w:r>
      <w:r>
        <w:rPr>
          <w:rFonts w:hint="eastAsia"/>
          <w:color w:val="auto"/>
          <w:shd w:val="clear"/>
        </w:rPr>
        <w:t>规</w:t>
      </w:r>
      <w:r>
        <w:rPr>
          <w:rFonts w:hint="eastAsia"/>
        </w:rPr>
        <w:t>定的抗拔承载力检测值。</w:t>
      </w:r>
    </w:p>
    <w:p>
      <w:pPr>
        <w:widowControl w:val="0"/>
        <w:spacing w:line="480" w:lineRule="exact"/>
      </w:pPr>
      <w:r>
        <w:rPr>
          <w:rFonts w:hint="eastAsia" w:ascii="Times New Roman" w:hAnsi="Times New Roman"/>
          <w:b/>
        </w:rPr>
        <w:t>B.0.11</w:t>
      </w:r>
      <w:r>
        <w:rPr>
          <w:rFonts w:hint="eastAsia" w:ascii="宋体" w:hAnsi="宋体"/>
          <w:b/>
        </w:rPr>
        <w:t xml:space="preserve"> </w:t>
      </w:r>
      <w:r>
        <w:rPr>
          <w:rFonts w:hint="eastAsia"/>
        </w:rPr>
        <w:t>确定土钉极限抗拔承载力的试验和土钉抗拔承载力检测试验可采用单循环加载法，其加载分级和土钉位移观测时间应按表B.</w:t>
      </w:r>
      <w:r>
        <w:rPr>
          <w:rFonts w:hint="eastAsia" w:ascii="Times New Roman" w:hAnsi="Times New Roman"/>
        </w:rPr>
        <w:t>0</w:t>
      </w:r>
      <w:r>
        <w:rPr>
          <w:rFonts w:hint="eastAsia"/>
        </w:rPr>
        <w:t>.</w:t>
      </w:r>
      <w:r>
        <w:rPr>
          <w:rFonts w:hint="eastAsia" w:ascii="Times New Roman" w:hAnsi="Times New Roman"/>
        </w:rPr>
        <w:t>11</w:t>
      </w:r>
      <w:r>
        <w:rPr>
          <w:rFonts w:hint="eastAsia"/>
        </w:rPr>
        <w:t>确定。</w:t>
      </w:r>
    </w:p>
    <w:p>
      <w:pPr>
        <w:widowControl w:val="0"/>
        <w:jc w:val="center"/>
        <w:rPr>
          <w:rFonts w:ascii="宋体" w:hAnsi="宋体"/>
          <w:b/>
          <w:sz w:val="21"/>
          <w:szCs w:val="21"/>
        </w:rPr>
      </w:pPr>
      <w:r>
        <w:rPr>
          <w:rFonts w:hint="eastAsia"/>
          <w:b/>
          <w:sz w:val="21"/>
          <w:szCs w:val="21"/>
        </w:rPr>
        <w:t>表B.</w:t>
      </w:r>
      <w:r>
        <w:rPr>
          <w:rFonts w:hint="eastAsia" w:ascii="Times New Roman" w:hAnsi="Times New Roman"/>
          <w:b/>
          <w:sz w:val="21"/>
          <w:szCs w:val="21"/>
        </w:rPr>
        <w:t>0</w:t>
      </w:r>
      <w:r>
        <w:rPr>
          <w:rFonts w:hint="eastAsia"/>
          <w:b/>
          <w:sz w:val="21"/>
          <w:szCs w:val="21"/>
        </w:rPr>
        <w:t>.</w:t>
      </w:r>
      <w:r>
        <w:rPr>
          <w:rFonts w:hint="eastAsia" w:ascii="Times New Roman" w:hAnsi="Times New Roman"/>
          <w:b/>
          <w:sz w:val="21"/>
          <w:szCs w:val="21"/>
        </w:rPr>
        <w:t xml:space="preserve">11   </w:t>
      </w:r>
      <w:r>
        <w:rPr>
          <w:rFonts w:hint="eastAsia" w:ascii="宋体" w:hAnsi="宋体"/>
          <w:b/>
          <w:color w:val="FF0000"/>
          <w:sz w:val="21"/>
          <w:szCs w:val="21"/>
        </w:rPr>
        <w:t xml:space="preserve"> </w:t>
      </w:r>
      <w:r>
        <w:rPr>
          <w:rFonts w:hint="eastAsia" w:ascii="宋体" w:hAnsi="宋体"/>
          <w:b/>
          <w:color w:val="auto"/>
          <w:sz w:val="21"/>
          <w:szCs w:val="21"/>
        </w:rPr>
        <w:t>单循环加载试</w:t>
      </w:r>
      <w:r>
        <w:rPr>
          <w:rFonts w:hint="eastAsia" w:ascii="宋体" w:hAnsi="宋体"/>
          <w:b/>
          <w:sz w:val="21"/>
          <w:szCs w:val="21"/>
        </w:rPr>
        <w:t xml:space="preserve">验的加载分级与士钉位移观测时间     </w:t>
      </w:r>
      <w:r>
        <w:rPr>
          <w:rFonts w:hint="eastAsia"/>
          <w:b/>
          <w:sz w:val="21"/>
          <w:szCs w:val="21"/>
        </w:rPr>
        <w:t xml:space="preserve">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604"/>
        <w:gridCol w:w="916"/>
        <w:gridCol w:w="916"/>
        <w:gridCol w:w="916"/>
        <w:gridCol w:w="916"/>
        <w:gridCol w:w="91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04" w:type="dxa"/>
            <w:gridSpan w:val="2"/>
            <w:vAlign w:val="center"/>
          </w:tcPr>
          <w:p>
            <w:pPr>
              <w:widowControl w:val="0"/>
              <w:spacing w:line="480" w:lineRule="exact"/>
              <w:jc w:val="center"/>
              <w:rPr>
                <w:sz w:val="21"/>
                <w:szCs w:val="21"/>
              </w:rPr>
            </w:pPr>
            <w:r>
              <w:rPr>
                <w:rFonts w:hint="eastAsia"/>
                <w:sz w:val="21"/>
                <w:szCs w:val="21"/>
              </w:rPr>
              <w:t>测读间隔（min）</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2000" w:type="dxa"/>
            <w:vMerge w:val="restart"/>
            <w:vAlign w:val="center"/>
          </w:tcPr>
          <w:p>
            <w:pPr>
              <w:widowControl w:val="0"/>
              <w:spacing w:line="480" w:lineRule="exact"/>
              <w:jc w:val="center"/>
              <w:rPr>
                <w:sz w:val="21"/>
                <w:szCs w:val="21"/>
              </w:rPr>
            </w:pPr>
            <w:r>
              <w:rPr>
                <w:rFonts w:hint="eastAsia"/>
                <w:sz w:val="21"/>
                <w:szCs w:val="21"/>
              </w:rPr>
              <w:t>加载量与最大试验荷载的百分比(%)</w:t>
            </w:r>
          </w:p>
        </w:tc>
        <w:tc>
          <w:tcPr>
            <w:tcW w:w="1604" w:type="dxa"/>
            <w:vAlign w:val="center"/>
          </w:tcPr>
          <w:p>
            <w:pPr>
              <w:widowControl w:val="0"/>
              <w:spacing w:line="480" w:lineRule="exact"/>
              <w:jc w:val="center"/>
              <w:rPr>
                <w:sz w:val="21"/>
                <w:szCs w:val="21"/>
              </w:rPr>
            </w:pPr>
            <w:r>
              <w:rPr>
                <w:rFonts w:hint="eastAsia"/>
                <w:sz w:val="21"/>
                <w:szCs w:val="21"/>
              </w:rPr>
              <w:t>初始荷载</w:t>
            </w:r>
          </w:p>
        </w:tc>
        <w:tc>
          <w:tcPr>
            <w:tcW w:w="916" w:type="dxa"/>
            <w:vAlign w:val="center"/>
          </w:tcPr>
          <w:p>
            <w:pPr>
              <w:widowControl w:val="0"/>
              <w:spacing w:line="480" w:lineRule="exact"/>
              <w:jc w:val="center"/>
              <w:rPr>
                <w:sz w:val="21"/>
                <w:szCs w:val="21"/>
              </w:rPr>
            </w:pPr>
            <w:r>
              <w:rPr>
                <w:rFonts w:hint="eastAsia"/>
                <w:sz w:val="21"/>
                <w:szCs w:val="21"/>
              </w:rPr>
              <w:t>—</w:t>
            </w:r>
          </w:p>
        </w:tc>
        <w:tc>
          <w:tcPr>
            <w:tcW w:w="916" w:type="dxa"/>
            <w:vAlign w:val="center"/>
          </w:tcPr>
          <w:p>
            <w:pPr>
              <w:widowControl w:val="0"/>
              <w:spacing w:line="480" w:lineRule="exact"/>
              <w:jc w:val="center"/>
              <w:rPr>
                <w:sz w:val="21"/>
                <w:szCs w:val="21"/>
              </w:rPr>
            </w:pPr>
            <w:r>
              <w:rPr>
                <w:rFonts w:hint="eastAsia"/>
                <w:sz w:val="21"/>
                <w:szCs w:val="21"/>
              </w:rPr>
              <w:t>—</w:t>
            </w:r>
          </w:p>
        </w:tc>
        <w:tc>
          <w:tcPr>
            <w:tcW w:w="916" w:type="dxa"/>
            <w:vAlign w:val="center"/>
          </w:tcPr>
          <w:p>
            <w:pPr>
              <w:widowControl w:val="0"/>
              <w:spacing w:line="480" w:lineRule="exact"/>
              <w:jc w:val="center"/>
              <w:rPr>
                <w:sz w:val="21"/>
                <w:szCs w:val="21"/>
              </w:rPr>
            </w:pPr>
            <w:r>
              <w:rPr>
                <w:rFonts w:hint="eastAsia"/>
                <w:sz w:val="21"/>
                <w:szCs w:val="21"/>
              </w:rPr>
              <w:t>—</w:t>
            </w:r>
          </w:p>
        </w:tc>
        <w:tc>
          <w:tcPr>
            <w:tcW w:w="916" w:type="dxa"/>
            <w:vAlign w:val="center"/>
          </w:tcPr>
          <w:p>
            <w:pPr>
              <w:widowControl w:val="0"/>
              <w:spacing w:line="480" w:lineRule="exact"/>
              <w:jc w:val="center"/>
              <w:rPr>
                <w:sz w:val="21"/>
                <w:szCs w:val="21"/>
              </w:rPr>
            </w:pPr>
            <w:r>
              <w:rPr>
                <w:rFonts w:hint="eastAsia"/>
                <w:sz w:val="21"/>
                <w:szCs w:val="21"/>
              </w:rPr>
              <w:t>—</w:t>
            </w:r>
          </w:p>
        </w:tc>
        <w:tc>
          <w:tcPr>
            <w:tcW w:w="916" w:type="dxa"/>
            <w:vAlign w:val="center"/>
          </w:tcPr>
          <w:p>
            <w:pPr>
              <w:widowControl w:val="0"/>
              <w:spacing w:line="480" w:lineRule="exact"/>
              <w:jc w:val="center"/>
              <w:rPr>
                <w:sz w:val="21"/>
                <w:szCs w:val="21"/>
              </w:rPr>
            </w:pPr>
            <w:r>
              <w:rPr>
                <w:rFonts w:hint="eastAsia"/>
                <w:sz w:val="21"/>
                <w:szCs w:val="21"/>
              </w:rPr>
              <w:t>—</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2000" w:type="dxa"/>
            <w:vMerge w:val="continue"/>
            <w:vAlign w:val="center"/>
          </w:tcPr>
          <w:p>
            <w:pPr>
              <w:widowControl w:val="0"/>
              <w:spacing w:line="480" w:lineRule="exact"/>
              <w:jc w:val="center"/>
              <w:rPr>
                <w:sz w:val="21"/>
                <w:szCs w:val="21"/>
              </w:rPr>
            </w:pPr>
          </w:p>
        </w:tc>
        <w:tc>
          <w:tcPr>
            <w:tcW w:w="1604" w:type="dxa"/>
            <w:vAlign w:val="center"/>
          </w:tcPr>
          <w:p>
            <w:pPr>
              <w:widowControl w:val="0"/>
              <w:spacing w:line="480" w:lineRule="exact"/>
              <w:jc w:val="center"/>
              <w:rPr>
                <w:sz w:val="21"/>
                <w:szCs w:val="21"/>
              </w:rPr>
            </w:pPr>
            <w:r>
              <w:rPr>
                <w:rFonts w:hint="eastAsia"/>
                <w:sz w:val="21"/>
                <w:szCs w:val="21"/>
              </w:rPr>
              <w:t>加载</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10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70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80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90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2000" w:type="dxa"/>
            <w:vMerge w:val="continue"/>
            <w:vAlign w:val="center"/>
          </w:tcPr>
          <w:p>
            <w:pPr>
              <w:widowControl w:val="0"/>
              <w:spacing w:line="480" w:lineRule="exact"/>
              <w:jc w:val="center"/>
              <w:rPr>
                <w:sz w:val="21"/>
                <w:szCs w:val="21"/>
              </w:rPr>
            </w:pPr>
          </w:p>
        </w:tc>
        <w:tc>
          <w:tcPr>
            <w:tcW w:w="1604" w:type="dxa"/>
            <w:vAlign w:val="center"/>
          </w:tcPr>
          <w:p>
            <w:pPr>
              <w:widowControl w:val="0"/>
              <w:spacing w:line="480" w:lineRule="exact"/>
              <w:jc w:val="center"/>
              <w:rPr>
                <w:sz w:val="21"/>
                <w:szCs w:val="21"/>
              </w:rPr>
            </w:pPr>
            <w:r>
              <w:rPr>
                <w:rFonts w:hint="eastAsia"/>
                <w:sz w:val="21"/>
                <w:szCs w:val="21"/>
              </w:rPr>
              <w:t>卸载</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10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20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50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80</w:t>
            </w:r>
          </w:p>
        </w:tc>
        <w:tc>
          <w:tcPr>
            <w:tcW w:w="916" w:type="dxa"/>
            <w:vAlign w:val="center"/>
          </w:tcPr>
          <w:p>
            <w:pPr>
              <w:widowControl w:val="0"/>
              <w:spacing w:line="480" w:lineRule="exact"/>
              <w:jc w:val="center"/>
              <w:rPr>
                <w:sz w:val="21"/>
                <w:szCs w:val="21"/>
              </w:rPr>
            </w:pPr>
            <w:r>
              <w:rPr>
                <w:rFonts w:hint="eastAsia" w:ascii="Times New Roman" w:hAnsi="Times New Roman"/>
                <w:sz w:val="21"/>
                <w:szCs w:val="21"/>
              </w:rPr>
              <w:t>90</w:t>
            </w:r>
          </w:p>
        </w:tc>
        <w:tc>
          <w:tcPr>
            <w:tcW w:w="916" w:type="dxa"/>
            <w:vAlign w:val="center"/>
          </w:tcPr>
          <w:p>
            <w:pPr>
              <w:widowControl w:val="0"/>
              <w:spacing w:line="480" w:lineRule="exact"/>
              <w:jc w:val="center"/>
              <w:rPr>
                <w:sz w:val="21"/>
                <w:szCs w:val="21"/>
              </w:rPr>
            </w:pPr>
            <w:r>
              <w:rPr>
                <w:rFonts w:hint="eastAsia"/>
                <w:sz w:val="21"/>
                <w:szCs w:val="21"/>
              </w:rPr>
              <w:t>—</w:t>
            </w:r>
          </w:p>
        </w:tc>
      </w:tr>
    </w:tbl>
    <w:p>
      <w:pPr>
        <w:widowControl w:val="0"/>
        <w:spacing w:line="480" w:lineRule="exact"/>
        <w:ind w:left="240" w:leftChars="100" w:firstLine="105" w:firstLineChars="50"/>
        <w:rPr>
          <w:sz w:val="21"/>
          <w:szCs w:val="21"/>
        </w:rPr>
      </w:pPr>
      <w:r>
        <w:rPr>
          <w:rFonts w:hint="eastAsia"/>
          <w:sz w:val="21"/>
          <w:szCs w:val="21"/>
        </w:rPr>
        <w:t>注：单循环加载试验用于士钉抗拔承载力检测时，加至最大试验荷载后，可一次卸载至最大试验荷载的10%。</w:t>
      </w:r>
    </w:p>
    <w:p>
      <w:pPr>
        <w:widowControl w:val="0"/>
        <w:spacing w:line="480" w:lineRule="exact"/>
      </w:pPr>
      <w:r>
        <w:rPr>
          <w:rFonts w:hint="eastAsia" w:ascii="Times New Roman" w:hAnsi="Times New Roman"/>
          <w:b/>
        </w:rPr>
        <w:t xml:space="preserve">B.0.12 </w:t>
      </w:r>
      <w:r>
        <w:rPr>
          <w:rFonts w:hint="eastAsia"/>
        </w:rPr>
        <w:t>土钉极限抗拔承载力试验，其土钉位移测读和加卸载应符合下列规定:</w:t>
      </w:r>
    </w:p>
    <w:p>
      <w:pPr>
        <w:widowControl w:val="0"/>
        <w:spacing w:line="480" w:lineRule="exact"/>
        <w:ind w:firstLine="480" w:firstLineChars="200"/>
      </w:pPr>
      <w:r>
        <w:rPr>
          <w:rFonts w:hint="eastAsia"/>
        </w:rPr>
        <w:t>1 初始荷载下，应测读土钉位移基准值3次，当每间隔5min的读数相同时，方可作为土钉位移基准值;</w:t>
      </w:r>
    </w:p>
    <w:p>
      <w:pPr>
        <w:widowControl w:val="0"/>
        <w:spacing w:line="480" w:lineRule="exact"/>
        <w:ind w:firstLine="480" w:firstLineChars="200"/>
      </w:pPr>
      <w:r>
        <w:rPr>
          <w:rFonts w:hint="eastAsia"/>
        </w:rPr>
        <w:t>2 每级加、卸载稳定后，在观测时间内测读土钉位移不应少于3次;</w:t>
      </w:r>
    </w:p>
    <w:p>
      <w:pPr>
        <w:widowControl w:val="0"/>
        <w:spacing w:line="480" w:lineRule="exact"/>
        <w:ind w:firstLine="480" w:firstLineChars="200"/>
      </w:pPr>
      <w:r>
        <w:rPr>
          <w:rFonts w:hint="eastAsia"/>
        </w:rPr>
        <w:t>3 在每级荷载的观测时间内，当土钉位移增量不大于0.1mm时，可施加下一级荷载;否则应延</w:t>
      </w:r>
      <w:r>
        <w:rPr>
          <w:rFonts w:hint="eastAsia" w:ascii="Microsoft JhengHei" w:hAnsi="Microsoft JhengHei" w:eastAsia="Microsoft JhengHei" w:cs="Microsoft JhengHei"/>
        </w:rPr>
        <w:t>⻓</w:t>
      </w:r>
      <w:r>
        <w:rPr>
          <w:rFonts w:hint="eastAsia" w:ascii="宋体" w:hAnsi="宋体" w:cs="宋体"/>
        </w:rPr>
        <w:t>观测时间，并应每隔</w:t>
      </w:r>
      <w:r>
        <w:rPr>
          <w:rFonts w:hint="eastAsia"/>
        </w:rPr>
        <w:t>30min测读土钉位移1次;当连续两次出现1h内的土钉位移增量小于0.1mm时，可施加下一级荷载。</w:t>
      </w:r>
    </w:p>
    <w:p>
      <w:pPr>
        <w:widowControl w:val="0"/>
        <w:spacing w:line="480" w:lineRule="exact"/>
      </w:pPr>
      <w:r>
        <w:rPr>
          <w:rFonts w:hint="eastAsia" w:ascii="Times New Roman" w:hAnsi="Times New Roman"/>
          <w:b/>
        </w:rPr>
        <w:t xml:space="preserve">B.0.13 </w:t>
      </w:r>
      <w:r>
        <w:rPr>
          <w:rFonts w:hint="eastAsia"/>
        </w:rPr>
        <w:t>土钉抗拔承载力检测试验，其土钉位移测读和加、卸载应符合下列规定:</w:t>
      </w:r>
    </w:p>
    <w:p>
      <w:pPr>
        <w:widowControl w:val="0"/>
        <w:spacing w:line="480" w:lineRule="exact"/>
        <w:ind w:firstLine="480" w:firstLineChars="200"/>
        <w:rPr>
          <w:rFonts w:ascii="Times New Roman" w:hAnsi="Times New Roman"/>
        </w:rPr>
      </w:pPr>
      <w:r>
        <w:rPr>
          <w:rFonts w:hint="eastAsia" w:ascii="Times New Roman" w:hAnsi="Times New Roman"/>
        </w:rPr>
        <w:t>1 初始荷载下，应测读土钉位移基准值3次，当每间隔5min的读数相同时，方可作为土钉位移基准值;</w:t>
      </w:r>
    </w:p>
    <w:p>
      <w:pPr>
        <w:widowControl w:val="0"/>
        <w:spacing w:line="480" w:lineRule="exact"/>
        <w:ind w:firstLine="480" w:firstLineChars="200"/>
        <w:rPr>
          <w:rFonts w:ascii="Times New Roman" w:hAnsi="Times New Roman"/>
        </w:rPr>
      </w:pPr>
      <w:r>
        <w:rPr>
          <w:rFonts w:hint="eastAsia" w:ascii="Times New Roman" w:hAnsi="Times New Roman"/>
        </w:rPr>
        <w:t>2 每级加、卸载稳定后，在观测时间内测读土钉位移不应少于3次;</w:t>
      </w:r>
    </w:p>
    <w:p>
      <w:pPr>
        <w:widowControl w:val="0"/>
        <w:spacing w:line="480" w:lineRule="exact"/>
        <w:ind w:firstLine="480" w:firstLineChars="200"/>
        <w:rPr>
          <w:rFonts w:ascii="Times New Roman" w:hAnsi="Times New Roman"/>
        </w:rPr>
      </w:pPr>
      <w:r>
        <w:rPr>
          <w:rFonts w:hint="eastAsia" w:ascii="Times New Roman" w:hAnsi="Times New Roman"/>
        </w:rPr>
        <w:t>3 当观测时间内土钉位移增量不大于1.0mm时，可视为位移收敛;否则，观测时间应延</w:t>
      </w:r>
      <w:r>
        <w:rPr>
          <w:rFonts w:hint="eastAsia" w:ascii="Microsoft JhengHei" w:hAnsi="Microsoft JhengHei" w:eastAsia="Microsoft JhengHei" w:cs="Microsoft JhengHei"/>
        </w:rPr>
        <w:t>⻓</w:t>
      </w:r>
      <w:r>
        <w:rPr>
          <w:rFonts w:hint="eastAsia" w:ascii="宋体" w:hAnsi="宋体" w:cs="宋体"/>
        </w:rPr>
        <w:t>至</w:t>
      </w:r>
      <w:r>
        <w:rPr>
          <w:rFonts w:hint="eastAsia" w:ascii="Times New Roman" w:hAnsi="Times New Roman"/>
        </w:rPr>
        <w:t>60min，并应每隔10min测读土钉位移1次;当该60min内土钉位移增量小于2.0mm时，可视为土钉位移收敛，否则视为不收敛。</w:t>
      </w:r>
    </w:p>
    <w:p>
      <w:pPr>
        <w:widowControl w:val="0"/>
        <w:spacing w:line="480" w:lineRule="exact"/>
      </w:pPr>
      <w:r>
        <w:rPr>
          <w:rFonts w:hint="eastAsia" w:ascii="Times New Roman" w:hAnsi="Times New Roman"/>
          <w:b/>
        </w:rPr>
        <w:t>B.0.14</w:t>
      </w:r>
      <w:r>
        <w:rPr>
          <w:rFonts w:hint="eastAsia"/>
        </w:rPr>
        <w:t xml:space="preserve"> 土钉试验中遇下列情况之一时，应终止继续加载：</w:t>
      </w:r>
    </w:p>
    <w:p>
      <w:pPr>
        <w:widowControl w:val="0"/>
        <w:spacing w:line="480" w:lineRule="exact"/>
        <w:ind w:firstLine="480" w:firstLineChars="200"/>
      </w:pPr>
      <w:r>
        <w:rPr>
          <w:rFonts w:hint="eastAsia" w:ascii="Times New Roman" w:hAnsi="Times New Roman"/>
        </w:rPr>
        <w:t>1</w:t>
      </w:r>
      <w:r>
        <w:rPr>
          <w:rFonts w:hint="eastAsia"/>
        </w:rPr>
        <w:t xml:space="preserve"> 从第二级加载开始，后一级荷载产生的单位荷载下的土钉位移增量大于前一级荷载产生的单位荷载下的土钉位移增量的</w:t>
      </w:r>
      <w:r>
        <w:rPr>
          <w:rFonts w:hint="eastAsia" w:ascii="Times New Roman" w:hAnsi="Times New Roman"/>
        </w:rPr>
        <w:t>5</w:t>
      </w:r>
      <w:r>
        <w:rPr>
          <w:rFonts w:hint="eastAsia"/>
        </w:rPr>
        <w:t>倍；</w:t>
      </w:r>
    </w:p>
    <w:p>
      <w:pPr>
        <w:widowControl w:val="0"/>
        <w:spacing w:line="480" w:lineRule="exact"/>
        <w:ind w:firstLine="480" w:firstLineChars="200"/>
      </w:pPr>
      <w:r>
        <w:rPr>
          <w:rFonts w:hint="eastAsia" w:ascii="Times New Roman" w:hAnsi="Times New Roman"/>
        </w:rPr>
        <w:t>2</w:t>
      </w:r>
      <w:r>
        <w:rPr>
          <w:rFonts w:hint="eastAsia"/>
        </w:rPr>
        <w:t xml:space="preserve"> 土钉位移不收敛；</w:t>
      </w:r>
    </w:p>
    <w:p>
      <w:pPr>
        <w:widowControl w:val="0"/>
        <w:spacing w:line="480" w:lineRule="exact"/>
        <w:ind w:firstLine="480" w:firstLineChars="200"/>
      </w:pPr>
      <w:r>
        <w:rPr>
          <w:rFonts w:hint="eastAsia" w:ascii="Times New Roman" w:hAnsi="Times New Roman"/>
        </w:rPr>
        <w:t>3</w:t>
      </w:r>
      <w:r>
        <w:rPr>
          <w:rFonts w:hint="eastAsia"/>
        </w:rPr>
        <w:t xml:space="preserve"> 土钉杆体破坏。</w:t>
      </w:r>
    </w:p>
    <w:p>
      <w:pPr>
        <w:widowControl w:val="0"/>
        <w:spacing w:line="480" w:lineRule="exact"/>
      </w:pPr>
      <w:r>
        <w:rPr>
          <w:rFonts w:hint="eastAsia" w:ascii="Times New Roman" w:hAnsi="Times New Roman"/>
          <w:b/>
        </w:rPr>
        <w:t>B.0.15</w:t>
      </w:r>
      <w:r>
        <w:rPr>
          <w:rFonts w:hint="eastAsia"/>
        </w:rPr>
        <w:t xml:space="preserve"> 试验应绘制土钉的荷载—位移（</w:t>
      </w:r>
      <w:r>
        <w:rPr>
          <w:rFonts w:hint="eastAsia"/>
          <w:i/>
          <w:iCs/>
        </w:rPr>
        <w:t>Q</w:t>
      </w:r>
      <w:r>
        <w:rPr>
          <w:rFonts w:hint="eastAsia"/>
        </w:rPr>
        <w:t>—</w:t>
      </w:r>
      <w:r>
        <w:rPr>
          <w:rFonts w:hint="eastAsia"/>
          <w:i/>
          <w:iCs/>
        </w:rPr>
        <w:t>s</w:t>
      </w:r>
      <w:r>
        <w:rPr>
          <w:rFonts w:hint="eastAsia"/>
        </w:rPr>
        <w:t>）曲线。土钉的位移不应包括试验反力装置的变形。</w:t>
      </w:r>
    </w:p>
    <w:p>
      <w:pPr>
        <w:widowControl w:val="0"/>
        <w:spacing w:line="480" w:lineRule="exact"/>
      </w:pPr>
      <w:r>
        <w:rPr>
          <w:rFonts w:hint="eastAsia" w:ascii="Times New Roman" w:hAnsi="Times New Roman"/>
          <w:b/>
        </w:rPr>
        <w:t>B</w:t>
      </w:r>
      <w:r>
        <w:rPr>
          <w:rFonts w:ascii="Times New Roman" w:hAnsi="Times New Roman"/>
          <w:b/>
        </w:rPr>
        <w:t>.0.1</w:t>
      </w:r>
      <w:r>
        <w:rPr>
          <w:rFonts w:hint="eastAsia" w:ascii="Times New Roman" w:hAnsi="Times New Roman"/>
          <w:b/>
        </w:rPr>
        <w:t>6</w:t>
      </w:r>
      <w:r>
        <w:rPr>
          <w:rFonts w:hint="eastAsia"/>
        </w:rPr>
        <w:t xml:space="preserve"> 土钉极限抗拔承载力标准值应按下列方法确定:：</w:t>
      </w:r>
    </w:p>
    <w:p>
      <w:pPr>
        <w:widowControl w:val="0"/>
        <w:spacing w:line="480" w:lineRule="exact"/>
        <w:ind w:firstLine="480" w:firstLineChars="200"/>
        <w:rPr>
          <w:rFonts w:ascii="Times New Roman" w:hAnsi="Times New Roman"/>
        </w:rPr>
      </w:pPr>
      <w:r>
        <w:rPr>
          <w:rFonts w:hint="eastAsia" w:ascii="Times New Roman" w:hAnsi="Times New Roman"/>
        </w:rPr>
        <w:t>1 土钉的极限抗拔承载力，在某级试验荷载下出现本</w:t>
      </w:r>
      <w:r>
        <w:rPr>
          <w:rFonts w:hint="eastAsia" w:ascii="Times New Roman" w:hAnsi="Times New Roman"/>
          <w:lang w:eastAsia="zh-CN"/>
        </w:rPr>
        <w:t>标准</w:t>
      </w:r>
      <w:r>
        <w:rPr>
          <w:rFonts w:hint="eastAsia" w:ascii="Times New Roman" w:hAnsi="Times New Roman"/>
        </w:rPr>
        <w:t>B.0. 14条规定的终止继续加载情况时，应取终止加载时的前一级荷载值;未出现时，应取终止加载时的荷载值;</w:t>
      </w:r>
    </w:p>
    <w:p>
      <w:pPr>
        <w:widowControl w:val="0"/>
        <w:spacing w:line="480" w:lineRule="exact"/>
        <w:ind w:firstLine="480" w:firstLineChars="200"/>
        <w:rPr>
          <w:rFonts w:ascii="Times New Roman" w:hAnsi="Times New Roman"/>
        </w:rPr>
      </w:pPr>
      <w:r>
        <w:rPr>
          <w:rFonts w:hint="eastAsia" w:ascii="Times New Roman" w:hAnsi="Times New Roman"/>
        </w:rPr>
        <w:t>2 参加统计的试验土钉，当满足其级差不超过平均值的30%时，土钉极限抗拔承载力标准值可取平均值;当级差超过平均值的30%时，宜增加试验土钉数量，并应根据级差过大的原</w:t>
      </w:r>
    </w:p>
    <w:p>
      <w:pPr>
        <w:widowControl w:val="0"/>
        <w:spacing w:line="480" w:lineRule="exact"/>
        <w:rPr>
          <w:rFonts w:ascii="Times New Roman" w:hAnsi="Times New Roman"/>
        </w:rPr>
      </w:pPr>
      <w:r>
        <w:rPr>
          <w:rFonts w:hint="eastAsia" w:ascii="Times New Roman" w:hAnsi="Times New Roman"/>
        </w:rPr>
        <w:t>因，按实际情况重新进行统计后确定土钉极限抗拔承载力标准值。</w:t>
      </w:r>
    </w:p>
    <w:p>
      <w:pPr>
        <w:spacing w:line="640" w:lineRule="exact"/>
        <w:rPr>
          <w:rFonts w:ascii="宋体" w:hAnsi="宋体"/>
          <w:szCs w:val="24"/>
        </w:rPr>
      </w:pPr>
      <w:r>
        <w:rPr>
          <w:rFonts w:hint="eastAsia" w:ascii="Times New Roman" w:hAnsi="Times New Roman"/>
          <w:b/>
        </w:rPr>
        <w:t>B</w:t>
      </w:r>
      <w:r>
        <w:rPr>
          <w:rFonts w:ascii="Times New Roman" w:hAnsi="Times New Roman"/>
          <w:b/>
        </w:rPr>
        <w:t>.0.1</w:t>
      </w:r>
      <w:r>
        <w:rPr>
          <w:rFonts w:hint="eastAsia" w:ascii="Times New Roman" w:hAnsi="Times New Roman"/>
          <w:b/>
        </w:rPr>
        <w:t xml:space="preserve">7 </w:t>
      </w:r>
      <w:r>
        <w:rPr>
          <w:rFonts w:hint="eastAsia" w:ascii="宋体" w:hAnsi="宋体"/>
          <w:szCs w:val="24"/>
        </w:rPr>
        <w:t>检测试验中，在抗拔承载力检测值下，土钉位移稳定或收敛应判定士钉合格。</w:t>
      </w:r>
    </w:p>
    <w:p>
      <w:pPr>
        <w:widowControl w:val="0"/>
        <w:tabs>
          <w:tab w:val="left" w:pos="658"/>
          <w:tab w:val="left" w:pos="1078"/>
          <w:tab w:val="left" w:pos="1274"/>
          <w:tab w:val="left" w:pos="1620"/>
          <w:tab w:val="left" w:pos="2520"/>
          <w:tab w:val="left" w:pos="4680"/>
          <w:tab w:val="left" w:pos="7020"/>
        </w:tabs>
        <w:spacing w:line="480" w:lineRule="exact"/>
        <w:jc w:val="left"/>
        <w:rPr>
          <w:rFonts w:ascii="Times New Roman" w:hAnsi="Times New Roman"/>
          <w:bCs/>
          <w:color w:val="auto"/>
        </w:rPr>
      </w:pPr>
      <w:r>
        <w:rPr>
          <w:rFonts w:hint="eastAsia" w:ascii="Times New Roman" w:hAnsi="Times New Roman"/>
          <w:b/>
          <w:color w:val="auto"/>
        </w:rPr>
        <w:t>B</w:t>
      </w:r>
      <w:r>
        <w:rPr>
          <w:rFonts w:ascii="Times New Roman" w:hAnsi="Times New Roman"/>
          <w:b/>
          <w:color w:val="auto"/>
        </w:rPr>
        <w:t>.</w:t>
      </w:r>
      <w:r>
        <w:rPr>
          <w:rFonts w:hint="eastAsia" w:ascii="Times New Roman" w:hAnsi="Times New Roman"/>
          <w:b/>
          <w:color w:val="auto"/>
        </w:rPr>
        <w:t xml:space="preserve">0.18 </w:t>
      </w:r>
      <w:r>
        <w:rPr>
          <w:rFonts w:hint="eastAsia" w:ascii="Times New Roman" w:hAnsi="Times New Roman"/>
          <w:bCs/>
          <w:color w:val="auto"/>
        </w:rPr>
        <w:t>检验报告应包含下列内容：</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color w:val="auto"/>
          <w:szCs w:val="24"/>
        </w:rPr>
      </w:pPr>
      <w:r>
        <w:rPr>
          <w:rFonts w:hint="eastAsia" w:ascii="Times New Roman" w:hAnsi="Times New Roman"/>
          <w:color w:val="auto"/>
          <w:szCs w:val="24"/>
        </w:rPr>
        <w:t>1</w:t>
      </w:r>
      <w:r>
        <w:rPr>
          <w:rFonts w:hint="eastAsia" w:ascii="宋体" w:hAnsi="宋体"/>
          <w:color w:val="auto"/>
          <w:szCs w:val="24"/>
        </w:rPr>
        <w:t xml:space="preserve"> 委托方名称，工程名称、地点，建设、勘察、设计、监理和施工单位，基坑安全等级、深度、支护形式，设计要求，检测目的，检测依据，检测数量，检测日期；</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宋体" w:hAnsi="宋体"/>
          <w:color w:val="auto"/>
          <w:szCs w:val="24"/>
        </w:rPr>
      </w:pPr>
      <w:r>
        <w:rPr>
          <w:rFonts w:hint="eastAsia" w:ascii="Times New Roman" w:hAnsi="Times New Roman"/>
          <w:color w:val="auto"/>
          <w:szCs w:val="24"/>
        </w:rPr>
        <w:t>2</w:t>
      </w:r>
      <w:r>
        <w:rPr>
          <w:rFonts w:hint="eastAsia" w:ascii="宋体" w:hAnsi="宋体"/>
          <w:color w:val="auto"/>
          <w:szCs w:val="24"/>
        </w:rPr>
        <w:t>工程地质条件描述；</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3 受检土钉的材料、尺寸、编号、位置、和相关施工记录；</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4 检测方法，检测仪器设备，检测过程叙述；</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5 受检土钉的检测数据，实测与计算分析曲线、表格和汇总结果；</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r>
        <w:rPr>
          <w:rFonts w:hint="eastAsia" w:ascii="Times New Roman" w:hAnsi="Times New Roman"/>
          <w:color w:val="auto"/>
          <w:szCs w:val="24"/>
        </w:rPr>
        <w:t>6 与检测内容相应的检测结论。</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color w:val="auto"/>
          <w:szCs w:val="24"/>
        </w:rPr>
      </w:pPr>
    </w:p>
    <w:p>
      <w:pPr>
        <w:jc w:val="left"/>
      </w:pPr>
    </w:p>
    <w:p>
      <w:pPr>
        <w:jc w:val="left"/>
        <w:rPr>
          <w:rFonts w:ascii="Times New Roman" w:hAnsi="Times New Roman"/>
          <w:color w:val="0070C0"/>
          <w:szCs w:val="24"/>
        </w:rPr>
      </w:pPr>
      <w:r>
        <w:rPr>
          <w:rFonts w:ascii="Times New Roman" w:hAnsi="Times New Roman"/>
          <w:color w:val="0070C0"/>
          <w:szCs w:val="24"/>
        </w:rPr>
        <w:br w:type="page"/>
      </w:r>
    </w:p>
    <w:p>
      <w:pPr>
        <w:pStyle w:val="2"/>
        <w:bidi w:val="0"/>
        <w:rPr>
          <w:rFonts w:hint="eastAsia"/>
          <w:color w:val="auto"/>
          <w:sz w:val="36"/>
          <w:szCs w:val="36"/>
        </w:rPr>
      </w:pPr>
      <w:bookmarkStart w:id="968" w:name="_Toc385581745"/>
      <w:bookmarkStart w:id="969" w:name="_Toc381951437"/>
      <w:bookmarkStart w:id="970" w:name="_Toc384304399"/>
      <w:bookmarkStart w:id="971" w:name="_Toc384300171"/>
      <w:bookmarkStart w:id="972" w:name="_Toc384310112"/>
      <w:bookmarkStart w:id="973" w:name="_Toc381950791"/>
      <w:bookmarkStart w:id="974" w:name="_Toc388643476"/>
      <w:bookmarkStart w:id="975" w:name="_Toc388643593"/>
      <w:bookmarkStart w:id="976" w:name="_Toc15783"/>
      <w:bookmarkStart w:id="977" w:name="_Toc385518872"/>
      <w:bookmarkStart w:id="978" w:name="_Toc384300319"/>
      <w:bookmarkStart w:id="979" w:name="_Toc381951632"/>
      <w:bookmarkStart w:id="980" w:name="_Toc382559777"/>
      <w:bookmarkStart w:id="981" w:name="_Toc385576969"/>
      <w:bookmarkStart w:id="982" w:name="_Toc13328"/>
      <w:bookmarkStart w:id="983" w:name="_Toc375039728"/>
      <w:bookmarkStart w:id="984" w:name="_Toc384309891"/>
      <w:bookmarkStart w:id="985" w:name="_Toc31187"/>
      <w:bookmarkStart w:id="986" w:name="_Toc382559939"/>
      <w:bookmarkStart w:id="987" w:name="_Toc381951053"/>
      <w:r>
        <w:rPr>
          <w:rFonts w:hint="eastAsia"/>
          <w:color w:val="auto"/>
          <w:sz w:val="36"/>
          <w:szCs w:val="36"/>
        </w:rPr>
        <w:t>附录C  土的渗透变形</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pPr>
        <w:widowControl w:val="0"/>
        <w:spacing w:line="480" w:lineRule="exact"/>
        <w:rPr>
          <w:rFonts w:ascii="宋体" w:hAnsi="宋体"/>
          <w:b/>
          <w:szCs w:val="24"/>
        </w:rPr>
      </w:pPr>
      <w:r>
        <w:rPr>
          <w:rFonts w:hint="eastAsia" w:ascii="Times New Roman" w:hAnsi="Times New Roman"/>
          <w:b/>
          <w:szCs w:val="24"/>
        </w:rPr>
        <w:t>C</w:t>
      </w:r>
      <w:r>
        <w:rPr>
          <w:rFonts w:ascii="Times New Roman" w:hAnsi="Times New Roman"/>
          <w:b/>
          <w:szCs w:val="24"/>
        </w:rPr>
        <w:t>.0.</w:t>
      </w:r>
      <w:r>
        <w:rPr>
          <w:rFonts w:hint="eastAsia" w:ascii="Times New Roman" w:hAnsi="Times New Roman"/>
          <w:b/>
          <w:szCs w:val="24"/>
        </w:rPr>
        <w:t>1</w:t>
      </w:r>
      <w:r>
        <w:rPr>
          <w:rFonts w:ascii="宋体" w:hAnsi="宋体"/>
          <w:b/>
          <w:szCs w:val="24"/>
        </w:rPr>
        <w:t xml:space="preserve"> </w:t>
      </w:r>
      <w:r>
        <w:rPr>
          <w:rFonts w:hint="eastAsia" w:ascii="宋体" w:hAnsi="宋体"/>
          <w:szCs w:val="24"/>
        </w:rPr>
        <w:t>土的</w:t>
      </w:r>
      <w:r>
        <w:rPr>
          <w:rFonts w:hint="eastAsia" w:ascii="宋体" w:hAnsi="宋体" w:cs="宋体"/>
          <w:szCs w:val="24"/>
        </w:rPr>
        <w:t>渗</w:t>
      </w:r>
      <w:r>
        <w:rPr>
          <w:rFonts w:hint="eastAsia" w:ascii="宋体" w:hAnsi="宋体"/>
          <w:szCs w:val="24"/>
        </w:rPr>
        <w:t>透</w:t>
      </w:r>
      <w:r>
        <w:rPr>
          <w:rFonts w:hint="eastAsia" w:ascii="宋体" w:hAnsi="宋体" w:cs="宋体"/>
          <w:szCs w:val="24"/>
        </w:rPr>
        <w:t>变</w:t>
      </w:r>
      <w:r>
        <w:rPr>
          <w:rFonts w:hint="eastAsia" w:ascii="宋体" w:hAnsi="宋体"/>
          <w:szCs w:val="24"/>
        </w:rPr>
        <w:t>形可分</w:t>
      </w:r>
      <w:r>
        <w:rPr>
          <w:rFonts w:hint="eastAsia" w:ascii="宋体" w:hAnsi="宋体" w:cs="宋体"/>
          <w:szCs w:val="24"/>
        </w:rPr>
        <w:t>为</w:t>
      </w:r>
      <w:r>
        <w:rPr>
          <w:rFonts w:hint="eastAsia" w:ascii="宋体" w:hAnsi="宋体"/>
          <w:szCs w:val="24"/>
        </w:rPr>
        <w:t>以下四</w:t>
      </w:r>
      <w:r>
        <w:rPr>
          <w:rFonts w:hint="eastAsia" w:ascii="宋体" w:hAnsi="宋体" w:cs="宋体"/>
          <w:szCs w:val="24"/>
        </w:rPr>
        <w:t>种</w:t>
      </w:r>
      <w:r>
        <w:rPr>
          <w:rFonts w:hint="eastAsia" w:ascii="宋体" w:hAnsi="宋体"/>
          <w:szCs w:val="24"/>
        </w:rPr>
        <w:t>形式：</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1</w:t>
      </w:r>
      <w:r>
        <w:rPr>
          <w:rFonts w:hint="eastAsia" w:ascii="宋体" w:hAnsi="宋体"/>
          <w:szCs w:val="24"/>
        </w:rPr>
        <w:t xml:space="preserve"> 流土；</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2</w:t>
      </w:r>
      <w:r>
        <w:rPr>
          <w:rFonts w:hint="eastAsia" w:ascii="宋体" w:hAnsi="宋体"/>
          <w:szCs w:val="24"/>
        </w:rPr>
        <w:t xml:space="preserve"> 管涌；</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3</w:t>
      </w:r>
      <w:r>
        <w:rPr>
          <w:rFonts w:hint="eastAsia" w:ascii="宋体" w:hAnsi="宋体"/>
          <w:szCs w:val="24"/>
        </w:rPr>
        <w:t xml:space="preserve"> 接触冲刷；</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4</w:t>
      </w:r>
      <w:r>
        <w:rPr>
          <w:rFonts w:hint="eastAsia" w:ascii="宋体" w:hAnsi="宋体"/>
          <w:szCs w:val="24"/>
        </w:rPr>
        <w:t xml:space="preserve"> 接触流失。</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其中</w:t>
      </w:r>
      <w:r>
        <w:rPr>
          <w:rFonts w:ascii="Times New Roman" w:hAnsi="Times New Roman"/>
          <w:szCs w:val="24"/>
        </w:rPr>
        <w:t>1</w:t>
      </w:r>
      <w:r>
        <w:rPr>
          <w:rFonts w:hint="eastAsia" w:ascii="宋体" w:hAnsi="宋体"/>
          <w:szCs w:val="24"/>
        </w:rPr>
        <w:t>、</w:t>
      </w:r>
      <w:r>
        <w:rPr>
          <w:rFonts w:ascii="Times New Roman" w:hAnsi="Times New Roman"/>
          <w:szCs w:val="24"/>
        </w:rPr>
        <w:t>2</w:t>
      </w:r>
      <w:r>
        <w:rPr>
          <w:rFonts w:hint="eastAsia" w:ascii="宋体" w:hAnsi="宋体" w:cs="宋体"/>
          <w:szCs w:val="24"/>
        </w:rPr>
        <w:t>类渗</w:t>
      </w:r>
      <w:r>
        <w:rPr>
          <w:rFonts w:hint="eastAsia" w:ascii="宋体" w:hAnsi="宋体"/>
          <w:szCs w:val="24"/>
        </w:rPr>
        <w:t>透</w:t>
      </w:r>
      <w:r>
        <w:rPr>
          <w:rFonts w:hint="eastAsia" w:ascii="宋体" w:hAnsi="宋体" w:cs="宋体"/>
          <w:szCs w:val="24"/>
        </w:rPr>
        <w:t>变</w:t>
      </w:r>
      <w:r>
        <w:rPr>
          <w:rFonts w:hint="eastAsia" w:ascii="宋体" w:hAnsi="宋体"/>
          <w:szCs w:val="24"/>
        </w:rPr>
        <w:t>形主要出</w:t>
      </w:r>
      <w:r>
        <w:rPr>
          <w:rFonts w:hint="eastAsia" w:ascii="宋体" w:hAnsi="宋体" w:cs="宋体"/>
          <w:szCs w:val="24"/>
        </w:rPr>
        <w:t>现</w:t>
      </w:r>
      <w:r>
        <w:rPr>
          <w:rFonts w:hint="eastAsia" w:ascii="宋体" w:hAnsi="宋体"/>
          <w:szCs w:val="24"/>
        </w:rPr>
        <w:t>在</w:t>
      </w:r>
      <w:r>
        <w:rPr>
          <w:rFonts w:hint="eastAsia" w:ascii="宋体" w:hAnsi="宋体" w:cs="宋体"/>
          <w:szCs w:val="24"/>
        </w:rPr>
        <w:t>单</w:t>
      </w:r>
      <w:r>
        <w:rPr>
          <w:rFonts w:hint="eastAsia" w:ascii="宋体" w:hAnsi="宋体"/>
          <w:szCs w:val="24"/>
        </w:rPr>
        <w:t>一地基中，</w:t>
      </w:r>
      <w:r>
        <w:rPr>
          <w:rFonts w:ascii="Times New Roman" w:hAnsi="Times New Roman"/>
          <w:szCs w:val="24"/>
        </w:rPr>
        <w:t>3</w:t>
      </w:r>
      <w:r>
        <w:rPr>
          <w:rFonts w:hint="eastAsia" w:ascii="宋体" w:hAnsi="宋体"/>
          <w:szCs w:val="24"/>
        </w:rPr>
        <w:t>、</w:t>
      </w:r>
      <w:r>
        <w:rPr>
          <w:rFonts w:ascii="Times New Roman" w:hAnsi="Times New Roman"/>
          <w:szCs w:val="24"/>
        </w:rPr>
        <w:t>4</w:t>
      </w:r>
      <w:r>
        <w:rPr>
          <w:rFonts w:hint="eastAsia" w:ascii="宋体" w:hAnsi="宋体" w:cs="宋体"/>
          <w:szCs w:val="24"/>
        </w:rPr>
        <w:t>类</w:t>
      </w:r>
      <w:r>
        <w:rPr>
          <w:rFonts w:hint="eastAsia" w:ascii="宋体" w:hAnsi="宋体"/>
          <w:szCs w:val="24"/>
        </w:rPr>
        <w:t>主要出</w:t>
      </w:r>
      <w:r>
        <w:rPr>
          <w:rFonts w:hint="eastAsia" w:ascii="宋体" w:hAnsi="宋体" w:cs="宋体"/>
          <w:szCs w:val="24"/>
        </w:rPr>
        <w:t>现</w:t>
      </w:r>
      <w:r>
        <w:rPr>
          <w:rFonts w:hint="eastAsia" w:ascii="宋体" w:hAnsi="宋体"/>
          <w:szCs w:val="24"/>
        </w:rPr>
        <w:t>在双</w:t>
      </w:r>
      <w:r>
        <w:rPr>
          <w:rFonts w:hint="eastAsia" w:ascii="宋体" w:hAnsi="宋体" w:cs="宋体"/>
          <w:szCs w:val="24"/>
        </w:rPr>
        <w:t>层</w:t>
      </w:r>
      <w:r>
        <w:rPr>
          <w:rFonts w:hint="eastAsia" w:ascii="宋体" w:hAnsi="宋体"/>
          <w:szCs w:val="24"/>
        </w:rPr>
        <w:t>地基中。</w:t>
      </w:r>
      <w:r>
        <w:rPr>
          <w:rFonts w:hint="eastAsia" w:ascii="宋体" w:hAnsi="宋体" w:cs="宋体"/>
          <w:szCs w:val="24"/>
        </w:rPr>
        <w:t>对</w:t>
      </w:r>
      <w:r>
        <w:rPr>
          <w:rFonts w:hint="eastAsia" w:ascii="宋体" w:hAnsi="宋体"/>
          <w:szCs w:val="24"/>
        </w:rPr>
        <w:t>黏性土而言，</w:t>
      </w:r>
      <w:r>
        <w:rPr>
          <w:rFonts w:hint="eastAsia" w:ascii="宋体" w:hAnsi="宋体" w:cs="宋体"/>
          <w:szCs w:val="24"/>
        </w:rPr>
        <w:t>渗</w:t>
      </w:r>
      <w:r>
        <w:rPr>
          <w:rFonts w:hint="eastAsia" w:ascii="宋体" w:hAnsi="宋体"/>
          <w:szCs w:val="24"/>
        </w:rPr>
        <w:t>透</w:t>
      </w:r>
      <w:r>
        <w:rPr>
          <w:rFonts w:hint="eastAsia" w:ascii="宋体" w:hAnsi="宋体" w:cs="宋体"/>
          <w:szCs w:val="24"/>
        </w:rPr>
        <w:t>变</w:t>
      </w:r>
      <w:r>
        <w:rPr>
          <w:rFonts w:hint="eastAsia" w:ascii="宋体" w:hAnsi="宋体"/>
          <w:szCs w:val="24"/>
        </w:rPr>
        <w:t>形主要为流</w:t>
      </w:r>
      <w:r>
        <w:rPr>
          <w:rFonts w:hint="eastAsia" w:ascii="宋体" w:hAnsi="宋体"/>
          <w:szCs w:val="24"/>
          <w:lang w:eastAsia="zh-CN"/>
        </w:rPr>
        <w:t>土</w:t>
      </w:r>
      <w:r>
        <w:rPr>
          <w:rFonts w:hint="eastAsia" w:ascii="宋体" w:hAnsi="宋体"/>
          <w:szCs w:val="24"/>
        </w:rPr>
        <w:t>和接触流失。</w:t>
      </w:r>
    </w:p>
    <w:p>
      <w:pPr>
        <w:widowControl w:val="0"/>
        <w:spacing w:line="480" w:lineRule="exact"/>
        <w:rPr>
          <w:rFonts w:ascii="宋体" w:hAnsi="宋体"/>
          <w:b/>
          <w:szCs w:val="24"/>
        </w:rPr>
      </w:pPr>
      <w:r>
        <w:rPr>
          <w:rFonts w:hint="eastAsia" w:ascii="Times New Roman" w:hAnsi="Times New Roman"/>
          <w:b/>
          <w:szCs w:val="24"/>
        </w:rPr>
        <w:t>C</w:t>
      </w:r>
      <w:r>
        <w:rPr>
          <w:rFonts w:ascii="Times New Roman" w:hAnsi="Times New Roman"/>
          <w:b/>
          <w:szCs w:val="24"/>
        </w:rPr>
        <w:t>.0.</w:t>
      </w:r>
      <w:r>
        <w:rPr>
          <w:rFonts w:hint="eastAsia" w:ascii="Times New Roman" w:hAnsi="Times New Roman"/>
          <w:b/>
          <w:szCs w:val="24"/>
        </w:rPr>
        <w:t>2</w:t>
      </w:r>
      <w:r>
        <w:rPr>
          <w:rFonts w:ascii="宋体" w:hAnsi="宋体"/>
          <w:b/>
          <w:szCs w:val="24"/>
        </w:rPr>
        <w:t xml:space="preserve"> </w:t>
      </w:r>
      <w:r>
        <w:rPr>
          <w:rFonts w:hint="eastAsia" w:ascii="宋体" w:hAnsi="宋体"/>
          <w:szCs w:val="24"/>
        </w:rPr>
        <w:t>无黏性土</w:t>
      </w:r>
      <w:r>
        <w:rPr>
          <w:rFonts w:hint="eastAsia" w:ascii="宋体" w:hAnsi="宋体" w:cs="宋体"/>
          <w:szCs w:val="24"/>
        </w:rPr>
        <w:t>渗</w:t>
      </w:r>
      <w:r>
        <w:rPr>
          <w:rFonts w:hint="eastAsia" w:ascii="宋体" w:hAnsi="宋体"/>
          <w:szCs w:val="24"/>
        </w:rPr>
        <w:t>透</w:t>
      </w:r>
      <w:r>
        <w:rPr>
          <w:rFonts w:hint="eastAsia" w:ascii="宋体" w:hAnsi="宋体" w:cs="宋体"/>
          <w:szCs w:val="24"/>
        </w:rPr>
        <w:t>变</w:t>
      </w:r>
      <w:r>
        <w:rPr>
          <w:rFonts w:hint="eastAsia" w:ascii="宋体" w:hAnsi="宋体"/>
          <w:szCs w:val="24"/>
        </w:rPr>
        <w:t>形形式的判</w:t>
      </w:r>
      <w:r>
        <w:rPr>
          <w:rFonts w:hint="eastAsia" w:ascii="宋体" w:hAnsi="宋体" w:cs="宋体"/>
          <w:szCs w:val="24"/>
        </w:rPr>
        <w:t>别应</w:t>
      </w:r>
      <w:r>
        <w:rPr>
          <w:rFonts w:hint="eastAsia" w:ascii="宋体" w:hAnsi="宋体"/>
          <w:szCs w:val="24"/>
        </w:rPr>
        <w:t>符合下列要求：</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1</w:t>
      </w:r>
      <w:r>
        <w:rPr>
          <w:rFonts w:ascii="宋体" w:hAnsi="宋体"/>
          <w:szCs w:val="24"/>
        </w:rPr>
        <w:t xml:space="preserve"> </w:t>
      </w:r>
      <w:r>
        <w:rPr>
          <w:rFonts w:hint="eastAsia" w:ascii="宋体" w:hAnsi="宋体"/>
          <w:szCs w:val="24"/>
        </w:rPr>
        <w:t>不均匀系数小于和等于</w:t>
      </w:r>
      <w:r>
        <w:rPr>
          <w:rFonts w:ascii="Times New Roman" w:hAnsi="Times New Roman"/>
          <w:szCs w:val="24"/>
        </w:rPr>
        <w:t>5</w:t>
      </w:r>
      <w:r>
        <w:rPr>
          <w:rFonts w:hint="eastAsia" w:ascii="宋体" w:hAnsi="宋体"/>
          <w:szCs w:val="24"/>
        </w:rPr>
        <w:t>的土，其</w:t>
      </w:r>
      <w:r>
        <w:rPr>
          <w:rFonts w:hint="eastAsia" w:ascii="宋体" w:hAnsi="宋体" w:cs="宋体"/>
          <w:szCs w:val="24"/>
        </w:rPr>
        <w:t>渗</w:t>
      </w:r>
      <w:r>
        <w:rPr>
          <w:rFonts w:hint="eastAsia" w:ascii="宋体" w:hAnsi="宋体"/>
          <w:szCs w:val="24"/>
        </w:rPr>
        <w:t>透</w:t>
      </w:r>
      <w:r>
        <w:rPr>
          <w:rFonts w:hint="eastAsia" w:ascii="宋体" w:hAnsi="宋体" w:cs="宋体"/>
          <w:szCs w:val="24"/>
        </w:rPr>
        <w:t>变</w:t>
      </w:r>
      <w:r>
        <w:rPr>
          <w:rFonts w:hint="eastAsia" w:ascii="宋体" w:hAnsi="宋体"/>
          <w:szCs w:val="24"/>
        </w:rPr>
        <w:t>形</w:t>
      </w:r>
      <w:r>
        <w:rPr>
          <w:rFonts w:hint="eastAsia" w:ascii="宋体" w:hAnsi="宋体" w:cs="宋体"/>
          <w:szCs w:val="24"/>
        </w:rPr>
        <w:t>为</w:t>
      </w:r>
      <w:r>
        <w:rPr>
          <w:rFonts w:hint="eastAsia" w:ascii="宋体" w:hAnsi="宋体"/>
          <w:szCs w:val="24"/>
        </w:rPr>
        <w:t>流土。</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2</w:t>
      </w:r>
      <w:r>
        <w:rPr>
          <w:rFonts w:ascii="宋体" w:hAnsi="宋体"/>
          <w:szCs w:val="24"/>
        </w:rPr>
        <w:t xml:space="preserve"> </w:t>
      </w:r>
      <w:r>
        <w:rPr>
          <w:rFonts w:hint="eastAsia" w:ascii="宋体" w:hAnsi="宋体" w:cs="宋体"/>
          <w:szCs w:val="24"/>
        </w:rPr>
        <w:t>对</w:t>
      </w:r>
      <w:r>
        <w:rPr>
          <w:rFonts w:hint="eastAsia" w:ascii="宋体" w:hAnsi="宋体"/>
          <w:szCs w:val="24"/>
        </w:rPr>
        <w:t>于不均匀系数大于</w:t>
      </w:r>
      <w:r>
        <w:rPr>
          <w:rFonts w:ascii="Times New Roman" w:hAnsi="Times New Roman"/>
          <w:szCs w:val="24"/>
        </w:rPr>
        <w:t>5</w:t>
      </w:r>
      <w:r>
        <w:rPr>
          <w:rFonts w:hint="eastAsia" w:ascii="宋体" w:hAnsi="宋体"/>
          <w:szCs w:val="24"/>
        </w:rPr>
        <w:t>的土，可采用下列方法判</w:t>
      </w:r>
      <w:r>
        <w:rPr>
          <w:rFonts w:hint="eastAsia" w:ascii="宋体" w:hAnsi="宋体" w:cs="宋体"/>
          <w:szCs w:val="24"/>
        </w:rPr>
        <w:t>别</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1</w:t>
      </w:r>
      <w:r>
        <w:rPr>
          <w:rFonts w:ascii="宋体" w:hAnsi="宋体"/>
          <w:szCs w:val="24"/>
        </w:rPr>
        <w:t>)</w:t>
      </w:r>
      <w:r>
        <w:rPr>
          <w:rFonts w:hint="eastAsia" w:ascii="宋体" w:hAnsi="宋体"/>
          <w:szCs w:val="24"/>
        </w:rPr>
        <w:t xml:space="preserve"> 流土：</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宋体" w:hAnsi="宋体"/>
                <w:szCs w:val="24"/>
              </w:rPr>
            </w:pPr>
            <w:r>
              <w:rPr>
                <w:rFonts w:ascii="宋体" w:hAnsi="宋体"/>
                <w:szCs w:val="24"/>
              </w:rPr>
              <w:t>P</w:t>
            </w:r>
            <w:r>
              <w:rPr>
                <w:rFonts w:ascii="宋体" w:hAnsi="宋体"/>
                <w:szCs w:val="24"/>
                <w:vertAlign w:val="subscript"/>
              </w:rPr>
              <w:t>c</w:t>
            </w:r>
            <w:r>
              <w:rPr>
                <w:rFonts w:hint="eastAsia" w:ascii="宋体" w:hAnsi="宋体"/>
                <w:szCs w:val="24"/>
              </w:rPr>
              <w:t>≥</w:t>
            </w:r>
            <w:r>
              <w:rPr>
                <w:rFonts w:ascii="Times New Roman" w:hAnsi="Times New Roman"/>
                <w:szCs w:val="24"/>
              </w:rPr>
              <w:t>35</w:t>
            </w:r>
            <w:r>
              <w:rPr>
                <w:rFonts w:ascii="宋体" w:hAnsi="宋体"/>
                <w:szCs w:val="24"/>
              </w:rPr>
              <w:t>%</w:t>
            </w:r>
          </w:p>
        </w:tc>
        <w:tc>
          <w:tcPr>
            <w:tcW w:w="4927" w:type="dxa"/>
          </w:tcPr>
          <w:p>
            <w:pPr>
              <w:widowControl w:val="0"/>
              <w:spacing w:line="480" w:lineRule="exact"/>
              <w:jc w:val="right"/>
              <w:rPr>
                <w:rFonts w:ascii="宋体" w:hAnsi="宋体"/>
                <w:szCs w:val="24"/>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1</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 xml:space="preserve">    </w:t>
      </w:r>
      <w:r>
        <w:rPr>
          <w:rFonts w:ascii="Times New Roman" w:hAnsi="Times New Roman"/>
          <w:szCs w:val="24"/>
        </w:rPr>
        <w:t>2</w:t>
      </w:r>
      <w:r>
        <w:rPr>
          <w:rFonts w:ascii="宋体" w:hAnsi="宋体"/>
          <w:szCs w:val="24"/>
        </w:rPr>
        <w:t>)</w:t>
      </w:r>
      <w:r>
        <w:rPr>
          <w:rFonts w:hint="eastAsia" w:ascii="宋体" w:hAnsi="宋体"/>
          <w:szCs w:val="24"/>
        </w:rPr>
        <w:t xml:space="preserve"> </w:t>
      </w:r>
      <w:r>
        <w:rPr>
          <w:rFonts w:hint="eastAsia" w:ascii="宋体" w:hAnsi="宋体" w:cs="宋体"/>
          <w:szCs w:val="24"/>
        </w:rPr>
        <w:t>过</w:t>
      </w:r>
      <w:r>
        <w:rPr>
          <w:rFonts w:hint="eastAsia" w:ascii="宋体" w:hAnsi="宋体"/>
          <w:szCs w:val="24"/>
        </w:rPr>
        <w:t>渡型取决于土的密度、粒</w:t>
      </w:r>
      <w:r>
        <w:rPr>
          <w:rFonts w:hint="eastAsia" w:ascii="宋体" w:hAnsi="宋体" w:cs="宋体"/>
          <w:szCs w:val="24"/>
        </w:rPr>
        <w:t>级</w:t>
      </w:r>
      <w:r>
        <w:rPr>
          <w:rFonts w:hint="eastAsia" w:ascii="宋体" w:hAnsi="宋体"/>
          <w:szCs w:val="24"/>
        </w:rPr>
        <w:t>、形状：</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宋体" w:hAnsi="宋体"/>
                <w:szCs w:val="24"/>
              </w:rPr>
            </w:pPr>
            <w:r>
              <w:rPr>
                <w:rFonts w:ascii="Times New Roman" w:hAnsi="Times New Roman"/>
                <w:szCs w:val="24"/>
              </w:rPr>
              <w:t>25</w:t>
            </w:r>
            <w:r>
              <w:rPr>
                <w:rFonts w:ascii="宋体" w:hAnsi="宋体"/>
                <w:szCs w:val="24"/>
              </w:rPr>
              <w:t>%</w:t>
            </w:r>
            <w:r>
              <w:rPr>
                <w:rFonts w:hint="eastAsia" w:ascii="宋体" w:hAnsi="宋体"/>
                <w:szCs w:val="24"/>
              </w:rPr>
              <w:t>≤</w:t>
            </w:r>
            <w:r>
              <w:rPr>
                <w:rFonts w:ascii="宋体" w:hAnsi="宋体"/>
                <w:szCs w:val="24"/>
              </w:rPr>
              <w:t>P</w:t>
            </w:r>
            <w:r>
              <w:rPr>
                <w:rFonts w:ascii="宋体" w:hAnsi="宋体"/>
                <w:szCs w:val="24"/>
                <w:vertAlign w:val="subscript"/>
              </w:rPr>
              <w:t>c</w:t>
            </w:r>
            <w:r>
              <w:rPr>
                <w:rFonts w:ascii="宋体" w:hAnsi="宋体"/>
                <w:szCs w:val="24"/>
              </w:rPr>
              <w:t>&lt;</w:t>
            </w:r>
            <w:r>
              <w:rPr>
                <w:rFonts w:ascii="Times New Roman" w:hAnsi="Times New Roman"/>
                <w:szCs w:val="24"/>
              </w:rPr>
              <w:t>35</w:t>
            </w:r>
            <w:r>
              <w:rPr>
                <w:rFonts w:ascii="宋体" w:hAnsi="宋体"/>
                <w:szCs w:val="24"/>
              </w:rPr>
              <w:t>%</w:t>
            </w:r>
          </w:p>
        </w:tc>
        <w:tc>
          <w:tcPr>
            <w:tcW w:w="4927" w:type="dxa"/>
          </w:tcPr>
          <w:p>
            <w:pPr>
              <w:widowControl w:val="0"/>
              <w:spacing w:line="480" w:lineRule="exact"/>
              <w:jc w:val="right"/>
              <w:rPr>
                <w:rFonts w:ascii="宋体" w:hAnsi="宋体"/>
                <w:szCs w:val="24"/>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2</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 xml:space="preserve">    </w:t>
      </w:r>
      <w:r>
        <w:rPr>
          <w:rFonts w:ascii="Times New Roman" w:hAnsi="Times New Roman"/>
          <w:szCs w:val="24"/>
        </w:rPr>
        <w:t>3</w:t>
      </w:r>
      <w:r>
        <w:rPr>
          <w:rFonts w:ascii="宋体" w:hAnsi="宋体"/>
          <w:szCs w:val="24"/>
        </w:rPr>
        <w:t>)</w:t>
      </w:r>
      <w:r>
        <w:rPr>
          <w:rFonts w:hint="eastAsia" w:ascii="宋体" w:hAnsi="宋体"/>
          <w:szCs w:val="24"/>
        </w:rPr>
        <w:t xml:space="preserve"> 管涌：</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spacing w:line="480" w:lineRule="exact"/>
              <w:jc w:val="right"/>
              <w:rPr>
                <w:rFonts w:ascii="宋体" w:hAnsi="宋体"/>
                <w:szCs w:val="24"/>
              </w:rPr>
            </w:pPr>
            <w:r>
              <w:rPr>
                <w:rFonts w:ascii="宋体" w:hAnsi="宋体"/>
                <w:szCs w:val="24"/>
              </w:rPr>
              <w:t>P</w:t>
            </w:r>
            <w:r>
              <w:rPr>
                <w:rFonts w:ascii="宋体" w:hAnsi="宋体"/>
                <w:szCs w:val="24"/>
                <w:vertAlign w:val="subscript"/>
              </w:rPr>
              <w:t>c</w:t>
            </w:r>
            <w:r>
              <w:rPr>
                <w:rFonts w:ascii="宋体" w:hAnsi="宋体"/>
                <w:szCs w:val="24"/>
              </w:rPr>
              <w:t>&lt;</w:t>
            </w:r>
            <w:r>
              <w:rPr>
                <w:rFonts w:ascii="Times New Roman" w:hAnsi="Times New Roman"/>
                <w:szCs w:val="24"/>
              </w:rPr>
              <w:t>25</w:t>
            </w:r>
            <w:r>
              <w:rPr>
                <w:rFonts w:ascii="宋体" w:hAnsi="宋体"/>
                <w:szCs w:val="24"/>
              </w:rPr>
              <w:t>%</w:t>
            </w:r>
          </w:p>
        </w:tc>
        <w:tc>
          <w:tcPr>
            <w:tcW w:w="4927" w:type="dxa"/>
          </w:tcPr>
          <w:p>
            <w:pPr>
              <w:widowControl w:val="0"/>
              <w:spacing w:line="480" w:lineRule="exact"/>
              <w:jc w:val="right"/>
              <w:rPr>
                <w:rFonts w:ascii="宋体" w:hAnsi="宋体"/>
                <w:szCs w:val="24"/>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3</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P</w:t>
      </w:r>
      <w:r>
        <w:rPr>
          <w:rFonts w:ascii="宋体" w:hAnsi="宋体"/>
          <w:szCs w:val="24"/>
          <w:vertAlign w:val="subscript"/>
        </w:rPr>
        <w:t>c</w:t>
      </w:r>
      <w:r>
        <w:rPr>
          <w:rFonts w:ascii="Times New Roman" w:hAnsi="Times New Roman"/>
          <w:szCs w:val="24"/>
        </w:rPr>
        <w:t>——</w:t>
      </w:r>
      <w:r>
        <w:rPr>
          <w:rFonts w:hint="eastAsia" w:ascii="宋体" w:hAnsi="宋体"/>
          <w:szCs w:val="24"/>
        </w:rPr>
        <w:t>土的</w:t>
      </w:r>
      <w:r>
        <w:rPr>
          <w:rFonts w:hint="eastAsia" w:ascii="宋体" w:hAnsi="宋体" w:cs="宋体"/>
          <w:szCs w:val="24"/>
        </w:rPr>
        <w:t>细</w:t>
      </w:r>
      <w:r>
        <w:rPr>
          <w:rFonts w:hint="eastAsia" w:ascii="宋体" w:hAnsi="宋体"/>
          <w:szCs w:val="24"/>
        </w:rPr>
        <w:t>粒</w:t>
      </w:r>
      <w:r>
        <w:rPr>
          <w:rFonts w:hint="eastAsia" w:ascii="宋体" w:hAnsi="宋体" w:cs="宋体"/>
          <w:szCs w:val="24"/>
        </w:rPr>
        <w:t>颗</w:t>
      </w:r>
      <w:r>
        <w:rPr>
          <w:rFonts w:hint="eastAsia" w:ascii="宋体" w:hAnsi="宋体"/>
          <w:szCs w:val="24"/>
        </w:rPr>
        <w:t>粒含量，以</w:t>
      </w:r>
      <w:r>
        <w:rPr>
          <w:rFonts w:hint="eastAsia" w:ascii="宋体" w:hAnsi="宋体" w:cs="宋体"/>
          <w:szCs w:val="24"/>
        </w:rPr>
        <w:t>质</w:t>
      </w:r>
      <w:r>
        <w:rPr>
          <w:rFonts w:hint="eastAsia" w:ascii="宋体" w:hAnsi="宋体"/>
          <w:szCs w:val="24"/>
        </w:rPr>
        <w:t>量百分率</w:t>
      </w:r>
      <w:r>
        <w:rPr>
          <w:rFonts w:hint="eastAsia" w:ascii="宋体" w:hAnsi="宋体" w:cs="宋体"/>
          <w:szCs w:val="24"/>
        </w:rPr>
        <w:t>计</w:t>
      </w:r>
      <w:r>
        <w:rPr>
          <w:rFonts w:ascii="宋体" w:hAnsi="宋体"/>
          <w:szCs w:val="24"/>
        </w:rPr>
        <w:t>(%)</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ascii="Times New Roman" w:hAnsi="Times New Roman"/>
          <w:szCs w:val="24"/>
        </w:rPr>
        <w:t>4</w:t>
      </w:r>
      <w:r>
        <w:rPr>
          <w:rFonts w:ascii="宋体" w:hAnsi="宋体"/>
          <w:szCs w:val="24"/>
        </w:rPr>
        <w:t>)</w:t>
      </w:r>
      <w:r>
        <w:rPr>
          <w:rFonts w:hint="eastAsia" w:ascii="宋体" w:hAnsi="宋体"/>
          <w:szCs w:val="24"/>
        </w:rPr>
        <w:t xml:space="preserve"> 土的</w:t>
      </w:r>
      <w:r>
        <w:rPr>
          <w:rFonts w:hint="eastAsia" w:ascii="宋体" w:hAnsi="宋体" w:cs="宋体"/>
          <w:szCs w:val="24"/>
        </w:rPr>
        <w:t>细</w:t>
      </w:r>
      <w:r>
        <w:rPr>
          <w:rFonts w:hint="eastAsia" w:ascii="宋体" w:hAnsi="宋体"/>
          <w:szCs w:val="24"/>
        </w:rPr>
        <w:t>粒含量可按下列方法确定：</w:t>
      </w:r>
    </w:p>
    <w:p>
      <w:pPr>
        <w:widowControl w:val="0"/>
        <w:spacing w:line="480" w:lineRule="exact"/>
        <w:rPr>
          <w:rFonts w:ascii="宋体" w:hAnsi="宋体"/>
          <w:szCs w:val="24"/>
        </w:rPr>
      </w:pPr>
      <w:r>
        <w:rPr>
          <w:rFonts w:ascii="宋体" w:hAnsi="宋体"/>
          <w:szCs w:val="24"/>
        </w:rPr>
        <w:t xml:space="preserve">    </w:t>
      </w:r>
      <w:r>
        <w:rPr>
          <w:rFonts w:hint="eastAsia" w:ascii="宋体" w:hAnsi="宋体" w:cs="宋体"/>
          <w:szCs w:val="24"/>
        </w:rPr>
        <w:t>级</w:t>
      </w:r>
      <w:r>
        <w:rPr>
          <w:rFonts w:hint="eastAsia" w:ascii="宋体" w:hAnsi="宋体"/>
          <w:szCs w:val="24"/>
        </w:rPr>
        <w:t>配不</w:t>
      </w:r>
      <w:r>
        <w:rPr>
          <w:rFonts w:hint="eastAsia" w:ascii="宋体" w:hAnsi="宋体" w:cs="宋体"/>
          <w:szCs w:val="24"/>
        </w:rPr>
        <w:t>连续</w:t>
      </w:r>
      <w:r>
        <w:rPr>
          <w:rFonts w:hint="eastAsia" w:ascii="宋体" w:hAnsi="宋体"/>
          <w:szCs w:val="24"/>
        </w:rPr>
        <w:t>的土，</w:t>
      </w:r>
      <w:r>
        <w:rPr>
          <w:rFonts w:hint="eastAsia" w:ascii="宋体" w:hAnsi="宋体" w:cs="宋体"/>
          <w:szCs w:val="24"/>
        </w:rPr>
        <w:t>级</w:t>
      </w:r>
      <w:r>
        <w:rPr>
          <w:rFonts w:hint="eastAsia" w:ascii="宋体" w:hAnsi="宋体"/>
          <w:szCs w:val="24"/>
        </w:rPr>
        <w:t>配曲</w:t>
      </w:r>
      <w:r>
        <w:rPr>
          <w:rFonts w:hint="eastAsia" w:ascii="宋体" w:hAnsi="宋体" w:cs="宋体"/>
          <w:szCs w:val="24"/>
        </w:rPr>
        <w:t>线</w:t>
      </w:r>
      <w:r>
        <w:rPr>
          <w:rFonts w:hint="eastAsia" w:ascii="宋体" w:hAnsi="宋体"/>
          <w:szCs w:val="24"/>
        </w:rPr>
        <w:t>中至少有一个以上的粒径</w:t>
      </w:r>
      <w:r>
        <w:rPr>
          <w:rFonts w:hint="eastAsia" w:ascii="宋体" w:hAnsi="宋体" w:cs="宋体"/>
          <w:szCs w:val="24"/>
        </w:rPr>
        <w:t>级</w:t>
      </w:r>
      <w:r>
        <w:rPr>
          <w:rFonts w:hint="eastAsia" w:ascii="宋体" w:hAnsi="宋体"/>
          <w:szCs w:val="24"/>
        </w:rPr>
        <w:t>的</w:t>
      </w:r>
      <w:r>
        <w:rPr>
          <w:rFonts w:hint="eastAsia" w:ascii="宋体" w:hAnsi="宋体" w:cs="宋体"/>
          <w:szCs w:val="24"/>
        </w:rPr>
        <w:t>颗</w:t>
      </w:r>
      <w:r>
        <w:rPr>
          <w:rFonts w:hint="eastAsia" w:ascii="宋体" w:hAnsi="宋体"/>
          <w:szCs w:val="24"/>
        </w:rPr>
        <w:t>粒含量小于或等于</w:t>
      </w:r>
      <w:r>
        <w:rPr>
          <w:rFonts w:ascii="Times New Roman" w:hAnsi="Times New Roman"/>
          <w:szCs w:val="24"/>
        </w:rPr>
        <w:t>3</w:t>
      </w:r>
      <w:r>
        <w:rPr>
          <w:rFonts w:ascii="宋体" w:hAnsi="宋体"/>
          <w:szCs w:val="24"/>
        </w:rPr>
        <w:t>%</w:t>
      </w:r>
      <w:r>
        <w:rPr>
          <w:rFonts w:hint="eastAsia" w:ascii="宋体" w:hAnsi="宋体"/>
          <w:szCs w:val="24"/>
        </w:rPr>
        <w:t>的平</w:t>
      </w:r>
      <w:r>
        <w:rPr>
          <w:rFonts w:hint="eastAsia" w:ascii="宋体" w:hAnsi="宋体" w:cs="宋体"/>
          <w:szCs w:val="24"/>
        </w:rPr>
        <w:t>缓</w:t>
      </w:r>
      <w:r>
        <w:rPr>
          <w:rFonts w:hint="eastAsia" w:ascii="宋体" w:hAnsi="宋体"/>
          <w:szCs w:val="24"/>
        </w:rPr>
        <w:t>段，粗</w:t>
      </w:r>
      <w:r>
        <w:rPr>
          <w:rFonts w:hint="eastAsia" w:ascii="宋体" w:hAnsi="宋体" w:cs="宋体"/>
          <w:szCs w:val="24"/>
        </w:rPr>
        <w:t>细</w:t>
      </w:r>
      <w:r>
        <w:rPr>
          <w:rFonts w:hint="eastAsia" w:ascii="宋体" w:hAnsi="宋体"/>
          <w:szCs w:val="24"/>
        </w:rPr>
        <w:t>粒的区分粒</w:t>
      </w:r>
      <w:r>
        <w:rPr>
          <w:rFonts w:hint="eastAsia" w:ascii="宋体" w:hAnsi="宋体" w:cs="宋体"/>
          <w:szCs w:val="24"/>
        </w:rPr>
        <w:t>径</w:t>
      </w:r>
      <w:r>
        <w:rPr>
          <w:rFonts w:ascii="宋体" w:hAnsi="宋体"/>
          <w:szCs w:val="24"/>
        </w:rPr>
        <w:t>d</w:t>
      </w:r>
      <w:r>
        <w:rPr>
          <w:rFonts w:ascii="宋体" w:hAnsi="宋体"/>
          <w:szCs w:val="24"/>
          <w:vertAlign w:val="subscript"/>
        </w:rPr>
        <w:t>f</w:t>
      </w:r>
      <w:r>
        <w:rPr>
          <w:rFonts w:hint="eastAsia" w:ascii="宋体" w:hAnsi="宋体"/>
          <w:szCs w:val="24"/>
        </w:rPr>
        <w:t>以平</w:t>
      </w:r>
      <w:r>
        <w:rPr>
          <w:rFonts w:hint="eastAsia" w:ascii="宋体" w:hAnsi="宋体" w:cs="宋体"/>
          <w:szCs w:val="24"/>
        </w:rPr>
        <w:t>缓</w:t>
      </w:r>
      <w:r>
        <w:rPr>
          <w:rFonts w:hint="eastAsia" w:ascii="宋体" w:hAnsi="宋体"/>
          <w:szCs w:val="24"/>
        </w:rPr>
        <w:t>段粒</w:t>
      </w:r>
      <w:r>
        <w:rPr>
          <w:rFonts w:hint="eastAsia" w:ascii="宋体" w:hAnsi="宋体" w:cs="宋体"/>
          <w:szCs w:val="24"/>
        </w:rPr>
        <w:t>径级</w:t>
      </w:r>
      <w:r>
        <w:rPr>
          <w:rFonts w:hint="eastAsia" w:ascii="宋体" w:hAnsi="宋体"/>
          <w:szCs w:val="24"/>
        </w:rPr>
        <w:t>的最大和最小粒径的平均粒</w:t>
      </w:r>
      <w:r>
        <w:rPr>
          <w:rFonts w:hint="eastAsia" w:ascii="宋体" w:hAnsi="宋体" w:cs="宋体"/>
          <w:szCs w:val="24"/>
        </w:rPr>
        <w:t>径</w:t>
      </w:r>
      <w:r>
        <w:rPr>
          <w:rFonts w:hint="eastAsia" w:ascii="宋体" w:hAnsi="宋体"/>
          <w:szCs w:val="24"/>
        </w:rPr>
        <w:t>区分，或以最小粒</w:t>
      </w:r>
      <w:r>
        <w:rPr>
          <w:rFonts w:hint="eastAsia" w:ascii="宋体" w:hAnsi="宋体" w:cs="宋体"/>
          <w:szCs w:val="24"/>
        </w:rPr>
        <w:t>径为</w:t>
      </w:r>
      <w:r>
        <w:rPr>
          <w:rFonts w:hint="eastAsia" w:ascii="宋体" w:hAnsi="宋体"/>
          <w:szCs w:val="24"/>
        </w:rPr>
        <w:t>区分粒</w:t>
      </w:r>
      <w:r>
        <w:rPr>
          <w:rFonts w:hint="eastAsia" w:ascii="宋体" w:hAnsi="宋体" w:cs="宋体"/>
          <w:szCs w:val="24"/>
        </w:rPr>
        <w:t>径</w:t>
      </w:r>
      <w:r>
        <w:rPr>
          <w:rFonts w:hint="eastAsia" w:ascii="宋体" w:hAnsi="宋体"/>
          <w:szCs w:val="24"/>
        </w:rPr>
        <w:t>，相</w:t>
      </w:r>
      <w:r>
        <w:rPr>
          <w:rFonts w:hint="eastAsia" w:ascii="宋体" w:hAnsi="宋体" w:cs="宋体"/>
          <w:szCs w:val="24"/>
        </w:rPr>
        <w:t>应</w:t>
      </w:r>
      <w:r>
        <w:rPr>
          <w:rFonts w:hint="eastAsia" w:ascii="宋体" w:hAnsi="宋体"/>
          <w:szCs w:val="24"/>
        </w:rPr>
        <w:t>于此粒</w:t>
      </w:r>
      <w:r>
        <w:rPr>
          <w:rFonts w:hint="eastAsia" w:ascii="宋体" w:hAnsi="宋体" w:cs="宋体"/>
          <w:szCs w:val="24"/>
        </w:rPr>
        <w:t>径</w:t>
      </w:r>
      <w:r>
        <w:rPr>
          <w:rFonts w:hint="eastAsia" w:ascii="宋体" w:hAnsi="宋体"/>
          <w:szCs w:val="24"/>
        </w:rPr>
        <w:t>的含量</w:t>
      </w:r>
      <w:r>
        <w:rPr>
          <w:rFonts w:hint="eastAsia" w:ascii="宋体" w:hAnsi="宋体" w:cs="宋体"/>
          <w:szCs w:val="24"/>
        </w:rPr>
        <w:t>为细颗</w:t>
      </w:r>
      <w:r>
        <w:rPr>
          <w:rFonts w:hint="eastAsia" w:ascii="宋体" w:hAnsi="宋体"/>
          <w:szCs w:val="24"/>
        </w:rPr>
        <w:t>粒含量。</w:t>
      </w:r>
      <w:r>
        <w:rPr>
          <w:rFonts w:hint="eastAsia" w:ascii="宋体" w:hAnsi="宋体" w:cs="宋体"/>
          <w:szCs w:val="24"/>
        </w:rPr>
        <w:t>对</w:t>
      </w:r>
      <w:r>
        <w:rPr>
          <w:rFonts w:hint="eastAsia" w:ascii="宋体" w:hAnsi="宋体"/>
          <w:szCs w:val="24"/>
        </w:rPr>
        <w:t>于天然无黏性土，不</w:t>
      </w:r>
      <w:r>
        <w:rPr>
          <w:rFonts w:hint="eastAsia" w:ascii="宋体" w:hAnsi="宋体" w:cs="宋体"/>
          <w:szCs w:val="24"/>
        </w:rPr>
        <w:t>连续</w:t>
      </w:r>
      <w:r>
        <w:rPr>
          <w:rFonts w:hint="eastAsia" w:ascii="宋体" w:hAnsi="宋体"/>
          <w:szCs w:val="24"/>
        </w:rPr>
        <w:t>部分的平均粒</w:t>
      </w:r>
      <w:r>
        <w:rPr>
          <w:rFonts w:hint="eastAsia" w:ascii="宋体" w:hAnsi="宋体" w:cs="宋体"/>
          <w:szCs w:val="24"/>
        </w:rPr>
        <w:t>径</w:t>
      </w:r>
      <w:r>
        <w:rPr>
          <w:rFonts w:hint="eastAsia" w:ascii="宋体" w:hAnsi="宋体"/>
          <w:szCs w:val="24"/>
        </w:rPr>
        <w:t>多</w:t>
      </w:r>
      <w:r>
        <w:rPr>
          <w:rFonts w:hint="eastAsia" w:ascii="宋体" w:hAnsi="宋体" w:cs="宋体"/>
          <w:szCs w:val="24"/>
        </w:rPr>
        <w:t>为</w:t>
      </w:r>
      <w:r>
        <w:rPr>
          <w:rFonts w:ascii="Times New Roman" w:hAnsi="Times New Roman"/>
          <w:szCs w:val="24"/>
        </w:rPr>
        <w:t>2</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cs="宋体"/>
          <w:szCs w:val="24"/>
        </w:rPr>
        <w:t>级</w:t>
      </w:r>
      <w:r>
        <w:rPr>
          <w:rFonts w:hint="eastAsia" w:ascii="宋体" w:hAnsi="宋体"/>
          <w:szCs w:val="24"/>
        </w:rPr>
        <w:t>配</w:t>
      </w:r>
      <w:r>
        <w:rPr>
          <w:rFonts w:hint="eastAsia" w:ascii="宋体" w:hAnsi="宋体" w:cs="宋体"/>
          <w:szCs w:val="24"/>
        </w:rPr>
        <w:t>连续</w:t>
      </w:r>
      <w:r>
        <w:rPr>
          <w:rFonts w:hint="eastAsia" w:ascii="宋体" w:hAnsi="宋体"/>
          <w:szCs w:val="24"/>
        </w:rPr>
        <w:t>的土，区分粗粒和</w:t>
      </w:r>
      <w:r>
        <w:rPr>
          <w:rFonts w:hint="eastAsia" w:ascii="宋体" w:hAnsi="宋体" w:cs="宋体"/>
          <w:szCs w:val="24"/>
        </w:rPr>
        <w:t>细</w:t>
      </w:r>
      <w:r>
        <w:rPr>
          <w:rFonts w:hint="eastAsia" w:ascii="宋体" w:hAnsi="宋体"/>
          <w:szCs w:val="24"/>
        </w:rPr>
        <w:t>粒粒</w:t>
      </w:r>
      <w:r>
        <w:rPr>
          <w:rFonts w:hint="eastAsia" w:ascii="宋体" w:hAnsi="宋体" w:cs="宋体"/>
          <w:szCs w:val="24"/>
        </w:rPr>
        <w:t>径</w:t>
      </w:r>
      <w:r>
        <w:rPr>
          <w:rFonts w:hint="eastAsia" w:ascii="宋体" w:hAnsi="宋体"/>
          <w:szCs w:val="24"/>
        </w:rPr>
        <w:t>的界限粒</w:t>
      </w:r>
      <w:r>
        <w:rPr>
          <w:rFonts w:hint="eastAsia" w:ascii="宋体" w:hAnsi="宋体" w:cs="宋体"/>
          <w:szCs w:val="24"/>
        </w:rPr>
        <w:t>径</w:t>
      </w:r>
      <w:r>
        <w:rPr>
          <w:rFonts w:ascii="宋体" w:hAnsi="宋体"/>
          <w:szCs w:val="24"/>
        </w:rPr>
        <w:t>d</w:t>
      </w:r>
      <w:r>
        <w:rPr>
          <w:rFonts w:ascii="宋体" w:hAnsi="宋体"/>
          <w:szCs w:val="24"/>
          <w:vertAlign w:val="subscript"/>
        </w:rPr>
        <w:t>f</w:t>
      </w:r>
      <w:r>
        <w:rPr>
          <w:rFonts w:hint="eastAsia" w:ascii="宋体" w:hAnsi="宋体"/>
          <w:szCs w:val="24"/>
        </w:rPr>
        <w:t>，按下式</w:t>
      </w:r>
      <w:r>
        <w:rPr>
          <w:rFonts w:hint="eastAsia" w:ascii="宋体" w:hAnsi="宋体" w:cs="宋体"/>
          <w:szCs w:val="24"/>
        </w:rPr>
        <w:t>计</w:t>
      </w:r>
      <w:r>
        <w:rPr>
          <w:rFonts w:hint="eastAsia" w:ascii="宋体" w:hAnsi="宋体"/>
          <w:szCs w:val="24"/>
        </w:rPr>
        <w:t>算：</w:t>
      </w:r>
      <w:r>
        <w:rPr>
          <w:rFonts w:ascii="宋体" w:hAnsi="宋体"/>
          <w:sz w:val="28"/>
          <w:szCs w:val="28"/>
        </w:rPr>
        <w:t xml:space="preserve">     </w:t>
      </w:r>
      <w:r>
        <w:rPr>
          <w:rFonts w:hint="eastAsia"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14"/>
                <w:sz w:val="28"/>
                <w:szCs w:val="28"/>
              </w:rPr>
              <w:drawing>
                <wp:inline distT="0" distB="0" distL="0" distR="0">
                  <wp:extent cx="838200" cy="266700"/>
                  <wp:effectExtent l="0" t="0" r="0" b="0"/>
                  <wp:docPr id="488" name="图片 4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true" noChangeArrowheads="true"/>
                          </pic:cNvPicPr>
                        </pic:nvPicPr>
                        <pic:blipFill>
                          <a:blip r:embed="rId707" cstate="print">
                            <a:extLst>
                              <a:ext uri="{28A0092B-C50C-407E-A947-70E740481C1C}">
                                <a14:useLocalDpi xmlns:a14="http://schemas.microsoft.com/office/drawing/2010/main" val="false"/>
                              </a:ext>
                            </a:extLst>
                          </a:blip>
                          <a:srcRect/>
                          <a:stretch>
                            <a:fillRect/>
                          </a:stretch>
                        </pic:blipFill>
                        <pic:spPr>
                          <a:xfrm>
                            <a:off x="0" y="0"/>
                            <a:ext cx="838200" cy="266700"/>
                          </a:xfrm>
                          <a:prstGeom prst="rect">
                            <a:avLst/>
                          </a:prstGeom>
                          <a:noFill/>
                          <a:ln>
                            <a:noFill/>
                          </a:ln>
                        </pic:spPr>
                      </pic:pic>
                    </a:graphicData>
                  </a:graphic>
                </wp:inline>
              </w:drawing>
            </w:r>
          </w:p>
        </w:tc>
        <w:tc>
          <w:tcPr>
            <w:tcW w:w="4927" w:type="dxa"/>
          </w:tcPr>
          <w:p>
            <w:pPr>
              <w:widowControl w:val="0"/>
              <w:spacing w:line="48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4</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w:t>
      </w:r>
      <w:r>
        <w:rPr>
          <w:rFonts w:hint="eastAsia" w:ascii="宋体" w:hAnsi="宋体"/>
          <w:szCs w:val="24"/>
        </w:rPr>
        <w:t xml:space="preserve"> </w:t>
      </w:r>
      <w:r>
        <w:rPr>
          <w:rFonts w:ascii="宋体" w:hAnsi="宋体"/>
          <w:szCs w:val="24"/>
        </w:rPr>
        <w:t>d</w:t>
      </w:r>
      <w:r>
        <w:rPr>
          <w:rFonts w:ascii="宋体" w:hAnsi="宋体"/>
          <w:szCs w:val="24"/>
          <w:vertAlign w:val="subscript"/>
        </w:rPr>
        <w:t>f</w:t>
      </w:r>
      <w:r>
        <w:rPr>
          <w:rFonts w:ascii="Times New Roman" w:hAnsi="Times New Roman"/>
          <w:szCs w:val="24"/>
        </w:rPr>
        <w:t>——</w:t>
      </w:r>
      <w:r>
        <w:rPr>
          <w:rFonts w:hint="eastAsia" w:ascii="宋体" w:hAnsi="宋体"/>
          <w:szCs w:val="24"/>
        </w:rPr>
        <w:t>粗</w:t>
      </w:r>
      <w:r>
        <w:rPr>
          <w:rFonts w:hint="eastAsia" w:ascii="宋体" w:hAnsi="宋体" w:cs="宋体"/>
          <w:szCs w:val="24"/>
        </w:rPr>
        <w:t>细</w:t>
      </w:r>
      <w:r>
        <w:rPr>
          <w:rFonts w:hint="eastAsia" w:ascii="宋体" w:hAnsi="宋体"/>
          <w:szCs w:val="24"/>
        </w:rPr>
        <w:t>粒的区分粒</w:t>
      </w:r>
      <w:r>
        <w:rPr>
          <w:rFonts w:hint="eastAsia" w:ascii="宋体" w:hAnsi="宋体" w:cs="宋体"/>
          <w:szCs w:val="24"/>
        </w:rPr>
        <w:t>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d</w:t>
      </w:r>
      <w:r>
        <w:rPr>
          <w:rFonts w:ascii="Times New Roman" w:hAnsi="Times New Roman"/>
          <w:szCs w:val="24"/>
          <w:vertAlign w:val="subscript"/>
        </w:rPr>
        <w:t>70</w:t>
      </w:r>
      <w:r>
        <w:rPr>
          <w:rFonts w:ascii="Times New Roman" w:hAnsi="Times New Roman"/>
          <w:szCs w:val="24"/>
        </w:rPr>
        <w:t>——</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的含量占</w:t>
      </w:r>
      <w:r>
        <w:rPr>
          <w:rFonts w:hint="eastAsia" w:ascii="宋体" w:hAnsi="宋体" w:cs="宋体"/>
          <w:szCs w:val="24"/>
        </w:rPr>
        <w:t>总</w:t>
      </w:r>
      <w:r>
        <w:rPr>
          <w:rFonts w:hint="eastAsia" w:ascii="宋体" w:hAnsi="宋体"/>
          <w:szCs w:val="24"/>
        </w:rPr>
        <w:t>土重</w:t>
      </w:r>
      <w:r>
        <w:rPr>
          <w:rFonts w:ascii="Times New Roman" w:hAnsi="Times New Roman"/>
          <w:szCs w:val="24"/>
        </w:rPr>
        <w:t>70</w:t>
      </w:r>
      <w:r>
        <w:rPr>
          <w:rFonts w:ascii="宋体" w:hAnsi="宋体"/>
          <w:szCs w:val="24"/>
        </w:rPr>
        <w:t>%</w:t>
      </w:r>
      <w:r>
        <w:rPr>
          <w:rFonts w:hint="eastAsia" w:ascii="宋体" w:hAnsi="宋体" w:cs="宋体"/>
          <w:szCs w:val="24"/>
        </w:rPr>
        <w:t>的颗粒粒径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d</w:t>
      </w:r>
      <w:r>
        <w:rPr>
          <w:rFonts w:ascii="Times New Roman" w:hAnsi="Times New Roman"/>
          <w:szCs w:val="24"/>
          <w:vertAlign w:val="subscript"/>
        </w:rPr>
        <w:t>10</w:t>
      </w:r>
      <w:r>
        <w:rPr>
          <w:rFonts w:ascii="Times New Roman" w:hAnsi="Times New Roman"/>
          <w:szCs w:val="24"/>
        </w:rPr>
        <w:t>——</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的含量占</w:t>
      </w:r>
      <w:r>
        <w:rPr>
          <w:rFonts w:hint="eastAsia" w:ascii="宋体" w:hAnsi="宋体" w:cs="宋体"/>
          <w:szCs w:val="24"/>
        </w:rPr>
        <w:t>总</w:t>
      </w:r>
      <w:r>
        <w:rPr>
          <w:rFonts w:hint="eastAsia" w:ascii="宋体" w:hAnsi="宋体"/>
          <w:szCs w:val="24"/>
        </w:rPr>
        <w:t>土重</w:t>
      </w:r>
      <w:r>
        <w:rPr>
          <w:rFonts w:ascii="Times New Roman" w:hAnsi="Times New Roman"/>
          <w:szCs w:val="24"/>
        </w:rPr>
        <w:t>10</w:t>
      </w:r>
      <w:r>
        <w:rPr>
          <w:rFonts w:ascii="宋体" w:hAnsi="宋体"/>
          <w:szCs w:val="24"/>
        </w:rPr>
        <w:t>%</w:t>
      </w:r>
      <w:r>
        <w:rPr>
          <w:rFonts w:hint="eastAsia" w:ascii="宋体" w:hAnsi="宋体" w:cs="宋体"/>
          <w:szCs w:val="24"/>
        </w:rPr>
        <w:t>的颗粒粒径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ascii="Times New Roman" w:hAnsi="Times New Roman"/>
          <w:szCs w:val="24"/>
        </w:rPr>
        <w:t>5</w:t>
      </w:r>
      <w:r>
        <w:rPr>
          <w:rFonts w:ascii="宋体" w:hAnsi="宋体"/>
          <w:szCs w:val="24"/>
        </w:rPr>
        <w:t>)</w:t>
      </w:r>
      <w:r>
        <w:rPr>
          <w:rFonts w:hint="eastAsia" w:ascii="宋体" w:hAnsi="宋体"/>
          <w:szCs w:val="24"/>
        </w:rPr>
        <w:t xml:space="preserve"> 土的不均匀系数可采用下式</w:t>
      </w:r>
      <w:r>
        <w:rPr>
          <w:rFonts w:hint="eastAsia" w:ascii="宋体" w:hAnsi="宋体" w:cs="宋体"/>
          <w:szCs w:val="24"/>
        </w:rPr>
        <w:t>计</w:t>
      </w:r>
      <w:r>
        <w:rPr>
          <w:rFonts w:hint="eastAsia" w:ascii="宋体" w:hAnsi="宋体"/>
          <w:szCs w:val="24"/>
        </w:rPr>
        <w:t>算：</w:t>
      </w:r>
      <w:r>
        <w:rPr>
          <w:rFonts w:ascii="宋体" w:hAnsi="宋体"/>
          <w:sz w:val="28"/>
          <w:szCs w:val="28"/>
        </w:rPr>
        <w:t xml:space="preserve">    </w:t>
      </w:r>
      <w:r>
        <w:rPr>
          <w:rFonts w:hint="eastAsia"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30"/>
                <w:sz w:val="28"/>
                <w:szCs w:val="28"/>
              </w:rPr>
              <w:drawing>
                <wp:inline distT="0" distB="0" distL="0" distR="0">
                  <wp:extent cx="571500" cy="426720"/>
                  <wp:effectExtent l="0" t="0" r="0" b="0"/>
                  <wp:docPr id="489" name="图片 4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true" noChangeArrowheads="true"/>
                          </pic:cNvPicPr>
                        </pic:nvPicPr>
                        <pic:blipFill>
                          <a:blip r:embed="rId708" cstate="print">
                            <a:extLst>
                              <a:ext uri="{28A0092B-C50C-407E-A947-70E740481C1C}">
                                <a14:useLocalDpi xmlns:a14="http://schemas.microsoft.com/office/drawing/2010/main" val="false"/>
                              </a:ext>
                            </a:extLst>
                          </a:blip>
                          <a:srcRect/>
                          <a:stretch>
                            <a:fillRect/>
                          </a:stretch>
                        </pic:blipFill>
                        <pic:spPr>
                          <a:xfrm>
                            <a:off x="0" y="0"/>
                            <a:ext cx="571500" cy="426720"/>
                          </a:xfrm>
                          <a:prstGeom prst="rect">
                            <a:avLst/>
                          </a:prstGeom>
                          <a:noFill/>
                          <a:ln>
                            <a:noFill/>
                          </a:ln>
                        </pic:spPr>
                      </pic:pic>
                    </a:graphicData>
                  </a:graphic>
                </wp:inline>
              </w:drawing>
            </w:r>
          </w:p>
        </w:tc>
        <w:tc>
          <w:tcPr>
            <w:tcW w:w="4927" w:type="dxa"/>
          </w:tcPr>
          <w:p>
            <w:pPr>
              <w:widowControl w:val="0"/>
              <w:spacing w:line="72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5</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C</w:t>
      </w:r>
      <w:r>
        <w:rPr>
          <w:rFonts w:ascii="宋体" w:hAnsi="宋体"/>
          <w:szCs w:val="24"/>
          <w:vertAlign w:val="subscript"/>
        </w:rPr>
        <w:t>u</w:t>
      </w:r>
      <w:r>
        <w:rPr>
          <w:rFonts w:ascii="Times New Roman" w:hAnsi="Times New Roman"/>
          <w:szCs w:val="24"/>
        </w:rPr>
        <w:t>——</w:t>
      </w:r>
      <w:r>
        <w:rPr>
          <w:rFonts w:hint="eastAsia" w:ascii="宋体" w:hAnsi="宋体"/>
          <w:szCs w:val="24"/>
        </w:rPr>
        <w:t>土的不均匀系数；</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d</w:t>
      </w:r>
      <w:r>
        <w:rPr>
          <w:rFonts w:ascii="Times New Roman" w:hAnsi="Times New Roman"/>
          <w:szCs w:val="24"/>
          <w:vertAlign w:val="subscript"/>
        </w:rPr>
        <w:t>60</w:t>
      </w:r>
      <w:r>
        <w:rPr>
          <w:rFonts w:ascii="Times New Roman" w:hAnsi="Times New Roman"/>
          <w:szCs w:val="24"/>
        </w:rPr>
        <w:t>——</w:t>
      </w:r>
      <w:r>
        <w:rPr>
          <w:rFonts w:hint="eastAsia" w:ascii="宋体" w:hAnsi="宋体"/>
          <w:szCs w:val="24"/>
        </w:rPr>
        <w:t>占</w:t>
      </w:r>
      <w:r>
        <w:rPr>
          <w:rFonts w:hint="eastAsia" w:ascii="宋体" w:hAnsi="宋体" w:cs="宋体"/>
          <w:szCs w:val="24"/>
        </w:rPr>
        <w:t>总</w:t>
      </w:r>
      <w:r>
        <w:rPr>
          <w:rFonts w:hint="eastAsia" w:ascii="宋体" w:hAnsi="宋体"/>
          <w:szCs w:val="24"/>
        </w:rPr>
        <w:t>土重</w:t>
      </w:r>
      <w:r>
        <w:rPr>
          <w:rFonts w:ascii="Times New Roman" w:hAnsi="Times New Roman"/>
          <w:szCs w:val="24"/>
        </w:rPr>
        <w:t>60</w:t>
      </w:r>
      <w:r>
        <w:rPr>
          <w:rFonts w:ascii="宋体" w:hAnsi="宋体"/>
          <w:szCs w:val="24"/>
        </w:rPr>
        <w:t>%</w:t>
      </w:r>
      <w:r>
        <w:rPr>
          <w:rFonts w:hint="eastAsia" w:ascii="宋体" w:hAnsi="宋体"/>
          <w:szCs w:val="24"/>
        </w:rPr>
        <w:t>的土粒粒</w:t>
      </w:r>
      <w:r>
        <w:rPr>
          <w:rFonts w:hint="eastAsia" w:ascii="宋体" w:hAnsi="宋体" w:cs="宋体"/>
          <w:szCs w:val="24"/>
        </w:rPr>
        <w:t>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d</w:t>
      </w:r>
      <w:r>
        <w:rPr>
          <w:rFonts w:ascii="Times New Roman" w:hAnsi="Times New Roman"/>
          <w:szCs w:val="24"/>
          <w:vertAlign w:val="subscript"/>
        </w:rPr>
        <w:t>10</w:t>
      </w:r>
      <w:r>
        <w:rPr>
          <w:rFonts w:ascii="Times New Roman" w:hAnsi="Times New Roman"/>
          <w:szCs w:val="24"/>
        </w:rPr>
        <w:t>——</w:t>
      </w:r>
      <w:r>
        <w:rPr>
          <w:rFonts w:hint="eastAsia" w:ascii="宋体" w:hAnsi="宋体"/>
          <w:szCs w:val="24"/>
        </w:rPr>
        <w:t>占</w:t>
      </w:r>
      <w:r>
        <w:rPr>
          <w:rFonts w:hint="eastAsia" w:ascii="宋体" w:hAnsi="宋体" w:cs="宋体"/>
          <w:szCs w:val="24"/>
        </w:rPr>
        <w:t>总</w:t>
      </w:r>
      <w:r>
        <w:rPr>
          <w:rFonts w:hint="eastAsia" w:ascii="宋体" w:hAnsi="宋体"/>
          <w:szCs w:val="24"/>
        </w:rPr>
        <w:t>土重</w:t>
      </w:r>
      <w:r>
        <w:rPr>
          <w:rFonts w:ascii="Times New Roman" w:hAnsi="Times New Roman"/>
          <w:szCs w:val="24"/>
        </w:rPr>
        <w:t>10</w:t>
      </w:r>
      <w:r>
        <w:rPr>
          <w:rFonts w:ascii="宋体" w:hAnsi="宋体"/>
          <w:szCs w:val="24"/>
        </w:rPr>
        <w:t>%</w:t>
      </w:r>
      <w:r>
        <w:rPr>
          <w:rFonts w:hint="eastAsia" w:ascii="宋体" w:hAnsi="宋体"/>
          <w:szCs w:val="24"/>
        </w:rPr>
        <w:t>的土粒粒</w:t>
      </w:r>
      <w:r>
        <w:rPr>
          <w:rFonts w:hint="eastAsia" w:ascii="宋体" w:hAnsi="宋体" w:cs="宋体"/>
          <w:szCs w:val="24"/>
        </w:rPr>
        <w:t>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bookmarkStart w:id="988" w:name="_Toc17086"/>
      <w:bookmarkStart w:id="989" w:name="_Toc15421"/>
      <w:r>
        <w:rPr>
          <w:rFonts w:ascii="宋体" w:hAnsi="宋体"/>
          <w:szCs w:val="24"/>
        </w:rPr>
        <w:t xml:space="preserve">3 </w:t>
      </w:r>
      <w:r>
        <w:rPr>
          <w:rFonts w:hint="eastAsia" w:ascii="宋体" w:hAnsi="宋体"/>
          <w:szCs w:val="24"/>
        </w:rPr>
        <w:t>接触冲刷宜采用下列方法判别：</w:t>
      </w:r>
      <w:bookmarkEnd w:id="988"/>
      <w:bookmarkEnd w:id="989"/>
    </w:p>
    <w:p>
      <w:pPr>
        <w:widowControl w:val="0"/>
        <w:spacing w:line="480" w:lineRule="exact"/>
        <w:rPr>
          <w:rFonts w:ascii="宋体" w:hAnsi="宋体"/>
          <w:szCs w:val="24"/>
        </w:rPr>
      </w:pPr>
      <w:r>
        <w:rPr>
          <w:rFonts w:ascii="宋体" w:hAnsi="宋体"/>
          <w:szCs w:val="24"/>
        </w:rPr>
        <w:t xml:space="preserve">    </w:t>
      </w:r>
      <w:r>
        <w:rPr>
          <w:rFonts w:hint="eastAsia" w:ascii="宋体" w:hAnsi="宋体" w:cs="宋体"/>
          <w:szCs w:val="24"/>
        </w:rPr>
        <w:t>对</w:t>
      </w:r>
      <w:r>
        <w:rPr>
          <w:rFonts w:hint="eastAsia" w:ascii="宋体" w:hAnsi="宋体"/>
          <w:szCs w:val="24"/>
        </w:rPr>
        <w:t>双</w:t>
      </w:r>
      <w:r>
        <w:rPr>
          <w:rFonts w:hint="eastAsia" w:ascii="宋体" w:hAnsi="宋体" w:cs="宋体"/>
          <w:szCs w:val="24"/>
        </w:rPr>
        <w:t>层结</w:t>
      </w:r>
      <w:r>
        <w:rPr>
          <w:rFonts w:hint="eastAsia" w:ascii="宋体" w:hAnsi="宋体"/>
          <w:szCs w:val="24"/>
        </w:rPr>
        <w:t>构的地基，当两</w:t>
      </w:r>
      <w:r>
        <w:rPr>
          <w:rFonts w:hint="eastAsia" w:ascii="宋体" w:hAnsi="宋体" w:cs="宋体"/>
          <w:szCs w:val="24"/>
        </w:rPr>
        <w:t>层</w:t>
      </w:r>
      <w:r>
        <w:rPr>
          <w:rFonts w:hint="eastAsia" w:ascii="宋体" w:hAnsi="宋体"/>
          <w:szCs w:val="24"/>
        </w:rPr>
        <w:t>土的不均匀系数均等于或小于</w:t>
      </w:r>
      <w:r>
        <w:rPr>
          <w:rFonts w:ascii="Times New Roman" w:hAnsi="Times New Roman"/>
          <w:szCs w:val="24"/>
        </w:rPr>
        <w:t>10</w:t>
      </w:r>
      <w:r>
        <w:rPr>
          <w:rFonts w:hint="eastAsia" w:ascii="宋体" w:hAnsi="宋体"/>
          <w:szCs w:val="24"/>
        </w:rPr>
        <w:t>，且符合下式</w:t>
      </w:r>
      <w:r>
        <w:rPr>
          <w:rFonts w:hint="eastAsia" w:ascii="宋体" w:hAnsi="宋体" w:cs="宋体"/>
          <w:szCs w:val="24"/>
        </w:rPr>
        <w:t>规</w:t>
      </w:r>
      <w:r>
        <w:rPr>
          <w:rFonts w:hint="eastAsia" w:ascii="宋体" w:hAnsi="宋体"/>
          <w:szCs w:val="24"/>
        </w:rPr>
        <w:t>定的条件</w:t>
      </w:r>
      <w:r>
        <w:rPr>
          <w:rFonts w:hint="eastAsia" w:ascii="宋体" w:hAnsi="宋体" w:cs="宋体"/>
          <w:szCs w:val="24"/>
        </w:rPr>
        <w:t>时</w:t>
      </w:r>
      <w:r>
        <w:rPr>
          <w:rFonts w:hint="eastAsia" w:ascii="宋体" w:hAnsi="宋体"/>
          <w:szCs w:val="24"/>
        </w:rPr>
        <w:t>，不会</w:t>
      </w:r>
      <w:r>
        <w:rPr>
          <w:rFonts w:hint="eastAsia" w:ascii="宋体" w:hAnsi="宋体" w:cs="宋体"/>
          <w:szCs w:val="24"/>
        </w:rPr>
        <w:t>发</w:t>
      </w:r>
      <w:r>
        <w:rPr>
          <w:rFonts w:hint="eastAsia" w:ascii="宋体" w:hAnsi="宋体"/>
          <w:szCs w:val="24"/>
        </w:rPr>
        <w:t>生接触冲刷。</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30"/>
                <w:sz w:val="28"/>
                <w:szCs w:val="28"/>
              </w:rPr>
              <w:drawing>
                <wp:inline distT="0" distB="0" distL="0" distR="0">
                  <wp:extent cx="571500" cy="426720"/>
                  <wp:effectExtent l="0" t="0" r="0" b="0"/>
                  <wp:docPr id="490" name="图片 4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true" noChangeArrowheads="true"/>
                          </pic:cNvPicPr>
                        </pic:nvPicPr>
                        <pic:blipFill>
                          <a:blip r:embed="rId709" cstate="print">
                            <a:extLst>
                              <a:ext uri="{28A0092B-C50C-407E-A947-70E740481C1C}">
                                <a14:useLocalDpi xmlns:a14="http://schemas.microsoft.com/office/drawing/2010/main" val="false"/>
                              </a:ext>
                            </a:extLst>
                          </a:blip>
                          <a:srcRect/>
                          <a:stretch>
                            <a:fillRect/>
                          </a:stretch>
                        </pic:blipFill>
                        <pic:spPr>
                          <a:xfrm>
                            <a:off x="0" y="0"/>
                            <a:ext cx="571500" cy="426720"/>
                          </a:xfrm>
                          <a:prstGeom prst="rect">
                            <a:avLst/>
                          </a:prstGeom>
                          <a:noFill/>
                          <a:ln>
                            <a:noFill/>
                          </a:ln>
                        </pic:spPr>
                      </pic:pic>
                    </a:graphicData>
                  </a:graphic>
                </wp:inline>
              </w:drawing>
            </w:r>
          </w:p>
        </w:tc>
        <w:tc>
          <w:tcPr>
            <w:tcW w:w="4927" w:type="dxa"/>
          </w:tcPr>
          <w:p>
            <w:pPr>
              <w:widowControl w:val="0"/>
              <w:spacing w:line="72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6</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D</w:t>
      </w:r>
      <w:r>
        <w:rPr>
          <w:rFonts w:ascii="Times New Roman" w:hAnsi="Times New Roman"/>
          <w:szCs w:val="24"/>
          <w:vertAlign w:val="subscript"/>
        </w:rPr>
        <w:t>10</w:t>
      </w:r>
      <w:r>
        <w:rPr>
          <w:rFonts w:ascii="宋体" w:hAnsi="宋体"/>
          <w:szCs w:val="24"/>
        </w:rPr>
        <w:t>,d</w:t>
      </w:r>
      <w:r>
        <w:rPr>
          <w:rFonts w:ascii="Times New Roman" w:hAnsi="Times New Roman"/>
          <w:szCs w:val="24"/>
          <w:vertAlign w:val="subscript"/>
        </w:rPr>
        <w:t>10</w:t>
      </w:r>
      <w:r>
        <w:rPr>
          <w:rFonts w:ascii="Times New Roman" w:hAnsi="Times New Roman"/>
          <w:szCs w:val="24"/>
        </w:rPr>
        <w:t>——</w:t>
      </w:r>
      <w:r>
        <w:rPr>
          <w:rFonts w:hint="eastAsia" w:ascii="宋体" w:hAnsi="宋体"/>
          <w:szCs w:val="24"/>
        </w:rPr>
        <w:t>分</w:t>
      </w:r>
      <w:r>
        <w:rPr>
          <w:rFonts w:hint="eastAsia" w:ascii="宋体" w:hAnsi="宋体" w:cs="宋体"/>
          <w:szCs w:val="24"/>
        </w:rPr>
        <w:t>别</w:t>
      </w:r>
      <w:r>
        <w:rPr>
          <w:rFonts w:hint="eastAsia" w:ascii="宋体" w:hAnsi="宋体"/>
          <w:szCs w:val="24"/>
        </w:rPr>
        <w:t>代表</w:t>
      </w:r>
      <w:r>
        <w:rPr>
          <w:rFonts w:hint="eastAsia" w:ascii="宋体" w:hAnsi="宋体" w:cs="宋体"/>
          <w:szCs w:val="24"/>
        </w:rPr>
        <w:t>较</w:t>
      </w:r>
      <w:r>
        <w:rPr>
          <w:rFonts w:hint="eastAsia" w:ascii="宋体" w:hAnsi="宋体"/>
          <w:szCs w:val="24"/>
        </w:rPr>
        <w:t>粗和</w:t>
      </w:r>
      <w:r>
        <w:rPr>
          <w:rFonts w:hint="eastAsia" w:ascii="宋体" w:hAnsi="宋体" w:cs="宋体"/>
          <w:szCs w:val="24"/>
        </w:rPr>
        <w:t>较细</w:t>
      </w:r>
      <w:r>
        <w:rPr>
          <w:rFonts w:hint="eastAsia" w:ascii="宋体" w:hAnsi="宋体"/>
          <w:szCs w:val="24"/>
        </w:rPr>
        <w:t>一</w:t>
      </w:r>
      <w:r>
        <w:rPr>
          <w:rFonts w:hint="eastAsia" w:ascii="宋体" w:hAnsi="宋体" w:cs="宋体"/>
          <w:szCs w:val="24"/>
        </w:rPr>
        <w:t>层</w:t>
      </w:r>
      <w:r>
        <w:rPr>
          <w:rFonts w:hint="eastAsia" w:ascii="宋体" w:hAnsi="宋体"/>
          <w:szCs w:val="24"/>
        </w:rPr>
        <w:t>土的土粒粒</w:t>
      </w:r>
      <w:r>
        <w:rPr>
          <w:rFonts w:hint="eastAsia" w:ascii="宋体" w:hAnsi="宋体" w:cs="宋体"/>
          <w:szCs w:val="24"/>
        </w:rPr>
        <w:t>径</w:t>
      </w:r>
      <w:r>
        <w:rPr>
          <w:rFonts w:ascii="宋体" w:hAnsi="宋体"/>
          <w:szCs w:val="24"/>
        </w:rPr>
        <w:t>( mm)</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的土重占</w:t>
      </w:r>
      <w:r>
        <w:rPr>
          <w:rFonts w:hint="eastAsia" w:ascii="宋体" w:hAnsi="宋体" w:cs="宋体"/>
          <w:szCs w:val="24"/>
        </w:rPr>
        <w:t>总</w:t>
      </w:r>
      <w:r>
        <w:rPr>
          <w:rFonts w:hint="eastAsia" w:ascii="宋体" w:hAnsi="宋体"/>
          <w:szCs w:val="24"/>
        </w:rPr>
        <w:t>土重的</w:t>
      </w:r>
      <w:r>
        <w:rPr>
          <w:rFonts w:ascii="Times New Roman" w:hAnsi="Times New Roman"/>
          <w:szCs w:val="24"/>
        </w:rPr>
        <w:t>10</w:t>
      </w:r>
      <w:r>
        <w:rPr>
          <w:rFonts w:ascii="宋体" w:hAnsi="宋体"/>
          <w:szCs w:val="24"/>
        </w:rPr>
        <w:t>%</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bookmarkStart w:id="990" w:name="_Toc21061"/>
      <w:bookmarkStart w:id="991" w:name="_Toc17388"/>
      <w:r>
        <w:rPr>
          <w:rFonts w:ascii="宋体" w:hAnsi="宋体"/>
          <w:szCs w:val="24"/>
        </w:rPr>
        <w:t xml:space="preserve">4 </w:t>
      </w:r>
      <w:r>
        <w:rPr>
          <w:rFonts w:hint="eastAsia" w:ascii="宋体" w:hAnsi="宋体"/>
          <w:szCs w:val="24"/>
        </w:rPr>
        <w:t>接触流失宜采用下列方法判别：</w:t>
      </w:r>
      <w:bookmarkEnd w:id="990"/>
      <w:bookmarkEnd w:id="991"/>
    </w:p>
    <w:p>
      <w:pPr>
        <w:widowControl w:val="0"/>
        <w:spacing w:line="480" w:lineRule="exact"/>
        <w:rPr>
          <w:rFonts w:ascii="宋体" w:hAnsi="宋体"/>
          <w:szCs w:val="24"/>
        </w:rPr>
      </w:pPr>
      <w:r>
        <w:rPr>
          <w:rFonts w:ascii="宋体" w:hAnsi="宋体"/>
          <w:szCs w:val="24"/>
        </w:rPr>
        <w:t xml:space="preserve">    </w:t>
      </w:r>
      <w:r>
        <w:rPr>
          <w:rFonts w:hint="eastAsia" w:ascii="宋体" w:hAnsi="宋体" w:cs="宋体"/>
          <w:szCs w:val="24"/>
        </w:rPr>
        <w:t>对</w:t>
      </w:r>
      <w:r>
        <w:rPr>
          <w:rFonts w:hint="eastAsia" w:ascii="宋体" w:hAnsi="宋体"/>
          <w:szCs w:val="24"/>
        </w:rPr>
        <w:t>于</w:t>
      </w:r>
      <w:r>
        <w:rPr>
          <w:rFonts w:hint="eastAsia" w:ascii="宋体" w:hAnsi="宋体" w:cs="宋体"/>
          <w:szCs w:val="24"/>
        </w:rPr>
        <w:t>渗</w:t>
      </w:r>
      <w:r>
        <w:rPr>
          <w:rFonts w:hint="eastAsia" w:ascii="宋体" w:hAnsi="宋体"/>
          <w:szCs w:val="24"/>
        </w:rPr>
        <w:t>流向上的情况，符合下列条件将不会</w:t>
      </w:r>
      <w:r>
        <w:rPr>
          <w:rFonts w:hint="eastAsia" w:ascii="宋体" w:hAnsi="宋体" w:cs="宋体"/>
          <w:szCs w:val="24"/>
        </w:rPr>
        <w:t>发</w:t>
      </w:r>
      <w:r>
        <w:rPr>
          <w:rFonts w:hint="eastAsia" w:ascii="宋体" w:hAnsi="宋体"/>
          <w:szCs w:val="24"/>
        </w:rPr>
        <w:t>生接触流失：</w:t>
      </w:r>
    </w:p>
    <w:p>
      <w:pPr>
        <w:widowControl w:val="0"/>
        <w:numPr>
          <w:ilvl w:val="0"/>
          <w:numId w:val="4"/>
        </w:numPr>
        <w:spacing w:line="480" w:lineRule="exact"/>
        <w:rPr>
          <w:rFonts w:ascii="宋体" w:hAnsi="宋体"/>
          <w:szCs w:val="24"/>
        </w:rPr>
      </w:pPr>
      <w:r>
        <w:rPr>
          <w:rFonts w:hint="eastAsia" w:ascii="宋体" w:hAnsi="宋体"/>
          <w:szCs w:val="24"/>
        </w:rPr>
        <w:t>不均匀系数等于或小于</w:t>
      </w:r>
      <w:r>
        <w:rPr>
          <w:rFonts w:ascii="Times New Roman" w:hAnsi="Times New Roman"/>
          <w:szCs w:val="24"/>
        </w:rPr>
        <w:t>5</w:t>
      </w:r>
      <w:r>
        <w:rPr>
          <w:rFonts w:hint="eastAsia" w:ascii="宋体" w:hAnsi="宋体"/>
          <w:szCs w:val="24"/>
        </w:rPr>
        <w:t>的土</w:t>
      </w:r>
      <w:r>
        <w:rPr>
          <w:rFonts w:hint="eastAsia" w:ascii="宋体" w:hAnsi="宋体" w:cs="宋体"/>
          <w:szCs w:val="24"/>
        </w:rPr>
        <w:t>层</w:t>
      </w:r>
      <w:r>
        <w:rPr>
          <w:rFonts w:hint="eastAsia" w:ascii="宋体" w:hAnsi="宋体"/>
          <w:szCs w:val="24"/>
        </w:rPr>
        <w:t>：</w:t>
      </w:r>
      <w:r>
        <w:rPr>
          <w:rFonts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30"/>
                <w:sz w:val="28"/>
                <w:szCs w:val="28"/>
              </w:rPr>
              <w:drawing>
                <wp:inline distT="0" distB="0" distL="0" distR="0">
                  <wp:extent cx="495300" cy="426720"/>
                  <wp:effectExtent l="0" t="0" r="0" b="0"/>
                  <wp:docPr id="491" name="图片 4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true" noChangeArrowheads="true"/>
                          </pic:cNvPicPr>
                        </pic:nvPicPr>
                        <pic:blipFill>
                          <a:blip r:embed="rId710" cstate="print">
                            <a:extLst>
                              <a:ext uri="{28A0092B-C50C-407E-A947-70E740481C1C}">
                                <a14:useLocalDpi xmlns:a14="http://schemas.microsoft.com/office/drawing/2010/main" val="false"/>
                              </a:ext>
                            </a:extLst>
                          </a:blip>
                          <a:srcRect/>
                          <a:stretch>
                            <a:fillRect/>
                          </a:stretch>
                        </pic:blipFill>
                        <pic:spPr>
                          <a:xfrm>
                            <a:off x="0" y="0"/>
                            <a:ext cx="495300" cy="426720"/>
                          </a:xfrm>
                          <a:prstGeom prst="rect">
                            <a:avLst/>
                          </a:prstGeom>
                          <a:noFill/>
                          <a:ln>
                            <a:noFill/>
                          </a:ln>
                        </pic:spPr>
                      </pic:pic>
                    </a:graphicData>
                  </a:graphic>
                </wp:inline>
              </w:drawing>
            </w:r>
          </w:p>
        </w:tc>
        <w:tc>
          <w:tcPr>
            <w:tcW w:w="4927" w:type="dxa"/>
          </w:tcPr>
          <w:p>
            <w:pPr>
              <w:widowControl w:val="0"/>
              <w:spacing w:line="720" w:lineRule="auto"/>
              <w:jc w:val="right"/>
              <w:rPr>
                <w:rFonts w:ascii="宋体" w:hAnsi="宋体"/>
                <w:sz w:val="28"/>
                <w:szCs w:val="28"/>
              </w:rPr>
            </w:pPr>
            <w:r>
              <w:rPr>
                <w:rFonts w:ascii="宋体" w:hAnsi="宋体"/>
                <w:szCs w:val="24"/>
              </w:rPr>
              <w:t xml:space="preserve">  (</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7</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D</w:t>
      </w:r>
      <w:r>
        <w:rPr>
          <w:rFonts w:ascii="Times New Roman" w:hAnsi="Times New Roman"/>
          <w:szCs w:val="24"/>
          <w:vertAlign w:val="subscript"/>
        </w:rPr>
        <w:t>15</w:t>
      </w:r>
      <w:r>
        <w:rPr>
          <w:rFonts w:ascii="Times New Roman" w:hAnsi="Times New Roman"/>
          <w:szCs w:val="24"/>
        </w:rPr>
        <w:t>——</w:t>
      </w:r>
      <w:r>
        <w:rPr>
          <w:rFonts w:hint="eastAsia" w:ascii="宋体" w:hAnsi="宋体" w:cs="宋体"/>
          <w:szCs w:val="24"/>
        </w:rPr>
        <w:t>较</w:t>
      </w:r>
      <w:r>
        <w:rPr>
          <w:rFonts w:hint="eastAsia" w:ascii="宋体" w:hAnsi="宋体"/>
          <w:szCs w:val="24"/>
        </w:rPr>
        <w:t>粗一</w:t>
      </w:r>
      <w:r>
        <w:rPr>
          <w:rFonts w:hint="eastAsia" w:ascii="宋体" w:hAnsi="宋体" w:cs="宋体"/>
          <w:szCs w:val="24"/>
        </w:rPr>
        <w:t>层</w:t>
      </w:r>
      <w:r>
        <w:rPr>
          <w:rFonts w:hint="eastAsia" w:ascii="宋体" w:hAnsi="宋体"/>
          <w:szCs w:val="24"/>
        </w:rPr>
        <w:t>土的土粒粒</w:t>
      </w:r>
      <w:r>
        <w:rPr>
          <w:rFonts w:hint="eastAsia" w:ascii="宋体" w:hAnsi="宋体" w:cs="宋体"/>
          <w:szCs w:val="24"/>
        </w:rPr>
        <w:t>径</w:t>
      </w:r>
      <w:r>
        <w:rPr>
          <w:rFonts w:ascii="宋体" w:hAnsi="宋体"/>
          <w:szCs w:val="24"/>
        </w:rPr>
        <w:t xml:space="preserve"> (mm)</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的土重占</w:t>
      </w:r>
      <w:r>
        <w:rPr>
          <w:rFonts w:hint="eastAsia" w:ascii="宋体" w:hAnsi="宋体" w:cs="宋体"/>
          <w:szCs w:val="24"/>
        </w:rPr>
        <w:t>总</w:t>
      </w:r>
      <w:r>
        <w:rPr>
          <w:rFonts w:hint="eastAsia" w:ascii="宋体" w:hAnsi="宋体"/>
          <w:szCs w:val="24"/>
        </w:rPr>
        <w:t>土重的</w:t>
      </w:r>
      <w:r>
        <w:rPr>
          <w:rFonts w:ascii="Times New Roman" w:hAnsi="Times New Roman"/>
          <w:szCs w:val="24"/>
        </w:rPr>
        <w:t>15</w:t>
      </w:r>
      <w:r>
        <w:rPr>
          <w:rFonts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D</w:t>
      </w:r>
      <w:r>
        <w:rPr>
          <w:rFonts w:ascii="Times New Roman" w:hAnsi="Times New Roman"/>
          <w:szCs w:val="24"/>
          <w:vertAlign w:val="subscript"/>
        </w:rPr>
        <w:t>85</w:t>
      </w:r>
      <w:r>
        <w:rPr>
          <w:rFonts w:ascii="Times New Roman" w:hAnsi="Times New Roman"/>
          <w:szCs w:val="24"/>
        </w:rPr>
        <w:t>——</w:t>
      </w:r>
      <w:r>
        <w:rPr>
          <w:rFonts w:hint="eastAsia" w:ascii="宋体" w:hAnsi="宋体" w:cs="宋体"/>
          <w:szCs w:val="24"/>
        </w:rPr>
        <w:t>较细</w:t>
      </w:r>
      <w:r>
        <w:rPr>
          <w:rFonts w:hint="eastAsia" w:ascii="宋体" w:hAnsi="宋体"/>
          <w:szCs w:val="24"/>
        </w:rPr>
        <w:t>一</w:t>
      </w:r>
      <w:r>
        <w:rPr>
          <w:rFonts w:hint="eastAsia" w:ascii="宋体" w:hAnsi="宋体" w:cs="宋体"/>
          <w:szCs w:val="24"/>
        </w:rPr>
        <w:t>层</w:t>
      </w:r>
      <w:r>
        <w:rPr>
          <w:rFonts w:hint="eastAsia" w:ascii="宋体" w:hAnsi="宋体"/>
          <w:szCs w:val="24"/>
        </w:rPr>
        <w:t>土的土粒粒</w:t>
      </w:r>
      <w:r>
        <w:rPr>
          <w:rFonts w:hint="eastAsia" w:ascii="宋体" w:hAnsi="宋体" w:cs="宋体"/>
          <w:szCs w:val="24"/>
        </w:rPr>
        <w:t>径</w:t>
      </w:r>
      <w:r>
        <w:rPr>
          <w:rFonts w:ascii="宋体" w:hAnsi="宋体"/>
          <w:szCs w:val="24"/>
        </w:rPr>
        <w:t>(mm)</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的土重占</w:t>
      </w:r>
      <w:r>
        <w:rPr>
          <w:rFonts w:hint="eastAsia" w:ascii="宋体" w:hAnsi="宋体" w:cs="宋体"/>
          <w:szCs w:val="24"/>
        </w:rPr>
        <w:t>总</w:t>
      </w:r>
      <w:r>
        <w:rPr>
          <w:rFonts w:hint="eastAsia" w:ascii="宋体" w:hAnsi="宋体"/>
          <w:szCs w:val="24"/>
        </w:rPr>
        <w:t>土重的</w:t>
      </w:r>
      <w:r>
        <w:rPr>
          <w:rFonts w:ascii="Times New Roman" w:hAnsi="Times New Roman"/>
          <w:szCs w:val="24"/>
        </w:rPr>
        <w:t>85</w:t>
      </w:r>
      <w:r>
        <w:rPr>
          <w:rFonts w:ascii="宋体" w:hAnsi="宋体"/>
          <w:szCs w:val="24"/>
        </w:rPr>
        <w:t>%</w:t>
      </w:r>
      <w:r>
        <w:rPr>
          <w:rFonts w:hint="eastAsia" w:ascii="宋体" w:hAnsi="宋体"/>
          <w:szCs w:val="24"/>
        </w:rPr>
        <w:t>。</w:t>
      </w:r>
    </w:p>
    <w:p>
      <w:pPr>
        <w:widowControl w:val="0"/>
        <w:numPr>
          <w:ilvl w:val="0"/>
          <w:numId w:val="4"/>
        </w:numPr>
        <w:spacing w:line="480" w:lineRule="exact"/>
        <w:rPr>
          <w:rFonts w:ascii="宋体" w:hAnsi="宋体"/>
          <w:szCs w:val="24"/>
        </w:rPr>
      </w:pPr>
      <w:r>
        <w:rPr>
          <w:rFonts w:hint="eastAsia" w:ascii="宋体" w:hAnsi="宋体"/>
          <w:szCs w:val="24"/>
        </w:rPr>
        <w:t>不均匀系数等于或小于</w:t>
      </w:r>
      <w:r>
        <w:rPr>
          <w:rFonts w:ascii="Times New Roman" w:hAnsi="Times New Roman"/>
          <w:szCs w:val="24"/>
        </w:rPr>
        <w:t>10</w:t>
      </w:r>
      <w:r>
        <w:rPr>
          <w:rFonts w:hint="eastAsia" w:ascii="宋体" w:hAnsi="宋体"/>
          <w:szCs w:val="24"/>
        </w:rPr>
        <w:t>的土</w:t>
      </w:r>
      <w:r>
        <w:rPr>
          <w:rFonts w:hint="eastAsia" w:ascii="宋体" w:hAnsi="宋体" w:cs="宋体"/>
          <w:szCs w:val="24"/>
        </w:rPr>
        <w:t>层</w:t>
      </w:r>
      <w:r>
        <w:rPr>
          <w:rFonts w:hint="eastAsia" w:ascii="宋体" w:hAnsi="宋体"/>
          <w:szCs w:val="24"/>
        </w:rPr>
        <w:t>：</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30"/>
                <w:sz w:val="28"/>
                <w:szCs w:val="28"/>
              </w:rPr>
              <w:drawing>
                <wp:inline distT="0" distB="0" distL="0" distR="0">
                  <wp:extent cx="533400" cy="426720"/>
                  <wp:effectExtent l="0" t="0" r="0" b="0"/>
                  <wp:docPr id="492" name="图片 4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true" noChangeArrowheads="true"/>
                          </pic:cNvPicPr>
                        </pic:nvPicPr>
                        <pic:blipFill>
                          <a:blip r:embed="rId711" cstate="print">
                            <a:extLst>
                              <a:ext uri="{28A0092B-C50C-407E-A947-70E740481C1C}">
                                <a14:useLocalDpi xmlns:a14="http://schemas.microsoft.com/office/drawing/2010/main" val="false"/>
                              </a:ext>
                            </a:extLst>
                          </a:blip>
                          <a:srcRect/>
                          <a:stretch>
                            <a:fillRect/>
                          </a:stretch>
                        </pic:blipFill>
                        <pic:spPr>
                          <a:xfrm>
                            <a:off x="0" y="0"/>
                            <a:ext cx="533400" cy="426720"/>
                          </a:xfrm>
                          <a:prstGeom prst="rect">
                            <a:avLst/>
                          </a:prstGeom>
                          <a:noFill/>
                          <a:ln>
                            <a:noFill/>
                          </a:ln>
                        </pic:spPr>
                      </pic:pic>
                    </a:graphicData>
                  </a:graphic>
                </wp:inline>
              </w:drawing>
            </w:r>
          </w:p>
        </w:tc>
        <w:tc>
          <w:tcPr>
            <w:tcW w:w="4927" w:type="dxa"/>
          </w:tcPr>
          <w:p>
            <w:pPr>
              <w:widowControl w:val="0"/>
              <w:spacing w:line="72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2</w:t>
            </w:r>
            <w:r>
              <w:rPr>
                <w:rFonts w:ascii="宋体" w:hAnsi="宋体"/>
                <w:szCs w:val="24"/>
              </w:rPr>
              <w:t>-</w:t>
            </w:r>
            <w:r>
              <w:rPr>
                <w:rFonts w:ascii="Times New Roman" w:hAnsi="Times New Roman"/>
                <w:szCs w:val="24"/>
              </w:rPr>
              <w:t>8</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 xml:space="preserve">式中： </w:t>
      </w:r>
      <w:r>
        <w:rPr>
          <w:rFonts w:ascii="宋体" w:hAnsi="宋体"/>
          <w:szCs w:val="24"/>
        </w:rPr>
        <w:t>D</w:t>
      </w:r>
      <w:r>
        <w:rPr>
          <w:rFonts w:ascii="Times New Roman" w:hAnsi="Times New Roman"/>
          <w:szCs w:val="24"/>
          <w:vertAlign w:val="subscript"/>
        </w:rPr>
        <w:t>20</w:t>
      </w:r>
      <w:r>
        <w:rPr>
          <w:rFonts w:ascii="Times New Roman" w:hAnsi="Times New Roman"/>
          <w:szCs w:val="24"/>
        </w:rPr>
        <w:t>——</w:t>
      </w:r>
      <w:r>
        <w:rPr>
          <w:rFonts w:hint="eastAsia" w:ascii="宋体" w:hAnsi="宋体" w:cs="宋体"/>
          <w:szCs w:val="24"/>
        </w:rPr>
        <w:t>较</w:t>
      </w:r>
      <w:r>
        <w:rPr>
          <w:rFonts w:hint="eastAsia" w:ascii="宋体" w:hAnsi="宋体"/>
          <w:szCs w:val="24"/>
        </w:rPr>
        <w:t>粗一</w:t>
      </w:r>
      <w:r>
        <w:rPr>
          <w:rFonts w:hint="eastAsia" w:ascii="宋体" w:hAnsi="宋体" w:cs="宋体"/>
          <w:szCs w:val="24"/>
        </w:rPr>
        <w:t>层</w:t>
      </w:r>
      <w:r>
        <w:rPr>
          <w:rFonts w:hint="eastAsia" w:ascii="宋体" w:hAnsi="宋体"/>
          <w:szCs w:val="24"/>
        </w:rPr>
        <w:t>土的土粒粒</w:t>
      </w:r>
      <w:r>
        <w:rPr>
          <w:rFonts w:hint="eastAsia" w:ascii="宋体" w:hAnsi="宋体" w:cs="宋体"/>
          <w:szCs w:val="24"/>
        </w:rPr>
        <w:t>径</w:t>
      </w:r>
      <w:r>
        <w:rPr>
          <w:rFonts w:ascii="宋体" w:hAnsi="宋体"/>
          <w:szCs w:val="24"/>
        </w:rPr>
        <w:t>(mm)</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的土</w:t>
      </w:r>
      <w:r>
        <w:rPr>
          <w:rFonts w:hint="eastAsia" w:ascii="宋体" w:hAnsi="宋体" w:cs="宋体"/>
          <w:szCs w:val="24"/>
        </w:rPr>
        <w:t>重</w:t>
      </w:r>
      <w:r>
        <w:rPr>
          <w:rFonts w:hint="eastAsia" w:ascii="宋体" w:hAnsi="宋体"/>
          <w:szCs w:val="24"/>
        </w:rPr>
        <w:t>占</w:t>
      </w:r>
      <w:r>
        <w:rPr>
          <w:rFonts w:hint="eastAsia" w:ascii="宋体" w:hAnsi="宋体" w:cs="宋体"/>
          <w:szCs w:val="24"/>
        </w:rPr>
        <w:t>总</w:t>
      </w:r>
      <w:r>
        <w:rPr>
          <w:rFonts w:hint="eastAsia" w:ascii="宋体" w:hAnsi="宋体"/>
          <w:szCs w:val="24"/>
        </w:rPr>
        <w:t>土重的</w:t>
      </w:r>
      <w:r>
        <w:rPr>
          <w:rFonts w:ascii="Times New Roman" w:hAnsi="Times New Roman"/>
          <w:szCs w:val="24"/>
        </w:rPr>
        <w:t>20</w:t>
      </w:r>
      <w:r>
        <w:rPr>
          <w:rFonts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D</w:t>
      </w:r>
      <w:r>
        <w:rPr>
          <w:rFonts w:ascii="Times New Roman" w:hAnsi="Times New Roman"/>
          <w:szCs w:val="24"/>
          <w:vertAlign w:val="subscript"/>
        </w:rPr>
        <w:t>70</w:t>
      </w:r>
      <w:r>
        <w:rPr>
          <w:rFonts w:ascii="Times New Roman" w:hAnsi="Times New Roman"/>
          <w:szCs w:val="24"/>
        </w:rPr>
        <w:t>——</w:t>
      </w:r>
      <w:r>
        <w:rPr>
          <w:rFonts w:hint="eastAsia" w:ascii="宋体" w:hAnsi="宋体" w:cs="宋体"/>
          <w:szCs w:val="24"/>
        </w:rPr>
        <w:t>较细</w:t>
      </w:r>
      <w:r>
        <w:rPr>
          <w:rFonts w:hint="eastAsia" w:ascii="宋体" w:hAnsi="宋体"/>
          <w:szCs w:val="24"/>
        </w:rPr>
        <w:t>一</w:t>
      </w:r>
      <w:r>
        <w:rPr>
          <w:rFonts w:hint="eastAsia" w:ascii="宋体" w:hAnsi="宋体" w:cs="宋体"/>
          <w:szCs w:val="24"/>
        </w:rPr>
        <w:t>层</w:t>
      </w:r>
      <w:r>
        <w:rPr>
          <w:rFonts w:hint="eastAsia" w:ascii="宋体" w:hAnsi="宋体"/>
          <w:szCs w:val="24"/>
        </w:rPr>
        <w:t>土的土粒粒径</w:t>
      </w:r>
      <w:r>
        <w:rPr>
          <w:rFonts w:ascii="宋体" w:hAnsi="宋体"/>
          <w:szCs w:val="24"/>
        </w:rPr>
        <w:t>(mm)</w:t>
      </w:r>
      <w:r>
        <w:rPr>
          <w:rFonts w:hint="eastAsia" w:ascii="宋体" w:hAnsi="宋体" w:cs="宋体"/>
          <w:szCs w:val="24"/>
        </w:rPr>
        <w:t>，</w:t>
      </w:r>
      <w:r>
        <w:rPr>
          <w:rFonts w:hint="eastAsia" w:ascii="宋体" w:hAnsi="宋体"/>
          <w:szCs w:val="24"/>
        </w:rPr>
        <w:t>小于</w:t>
      </w:r>
      <w:r>
        <w:rPr>
          <w:rFonts w:hint="eastAsia" w:ascii="宋体" w:hAnsi="宋体" w:cs="宋体"/>
          <w:szCs w:val="24"/>
        </w:rPr>
        <w:t>该</w:t>
      </w:r>
      <w:r>
        <w:rPr>
          <w:rFonts w:hint="eastAsia" w:ascii="宋体" w:hAnsi="宋体"/>
          <w:szCs w:val="24"/>
        </w:rPr>
        <w:t>粒</w:t>
      </w:r>
      <w:r>
        <w:rPr>
          <w:rFonts w:hint="eastAsia" w:ascii="宋体" w:hAnsi="宋体" w:cs="宋体"/>
          <w:szCs w:val="24"/>
        </w:rPr>
        <w:t>径</w:t>
      </w:r>
      <w:r>
        <w:rPr>
          <w:rFonts w:hint="eastAsia" w:ascii="宋体" w:hAnsi="宋体"/>
          <w:szCs w:val="24"/>
        </w:rPr>
        <w:t>的土重占</w:t>
      </w:r>
      <w:r>
        <w:rPr>
          <w:rFonts w:hint="eastAsia" w:ascii="宋体" w:hAnsi="宋体" w:cs="宋体"/>
          <w:szCs w:val="24"/>
        </w:rPr>
        <w:t>总</w:t>
      </w:r>
      <w:r>
        <w:rPr>
          <w:rFonts w:hint="eastAsia" w:ascii="宋体" w:hAnsi="宋体"/>
          <w:szCs w:val="24"/>
        </w:rPr>
        <w:t>土重的</w:t>
      </w:r>
      <w:r>
        <w:rPr>
          <w:rFonts w:ascii="Times New Roman" w:hAnsi="Times New Roman"/>
          <w:szCs w:val="24"/>
        </w:rPr>
        <w:t>70</w:t>
      </w:r>
      <w:r>
        <w:rPr>
          <w:rFonts w:ascii="宋体" w:hAnsi="宋体"/>
          <w:szCs w:val="24"/>
        </w:rPr>
        <w:t>%</w:t>
      </w:r>
      <w:r>
        <w:rPr>
          <w:rFonts w:hint="eastAsia" w:ascii="宋体" w:hAnsi="宋体"/>
          <w:szCs w:val="24"/>
        </w:rPr>
        <w:t>。</w:t>
      </w:r>
    </w:p>
    <w:p>
      <w:pPr>
        <w:widowControl w:val="0"/>
        <w:spacing w:line="480" w:lineRule="exact"/>
        <w:rPr>
          <w:rFonts w:ascii="宋体" w:hAnsi="宋体"/>
          <w:b/>
          <w:szCs w:val="24"/>
        </w:rPr>
      </w:pPr>
      <w:r>
        <w:rPr>
          <w:rFonts w:hint="eastAsia" w:ascii="Times New Roman" w:hAnsi="Times New Roman"/>
          <w:b/>
          <w:szCs w:val="24"/>
        </w:rPr>
        <w:t>C</w:t>
      </w:r>
      <w:r>
        <w:rPr>
          <w:rFonts w:ascii="Times New Roman" w:hAnsi="Times New Roman"/>
          <w:b/>
          <w:szCs w:val="24"/>
        </w:rPr>
        <w:t>.0.</w:t>
      </w:r>
      <w:r>
        <w:rPr>
          <w:rFonts w:hint="eastAsia" w:ascii="Times New Roman" w:hAnsi="Times New Roman"/>
          <w:b/>
          <w:szCs w:val="24"/>
        </w:rPr>
        <w:t>3</w:t>
      </w:r>
      <w:r>
        <w:rPr>
          <w:rFonts w:hint="eastAsia" w:ascii="宋体" w:hAnsi="宋体"/>
          <w:b/>
          <w:szCs w:val="24"/>
        </w:rPr>
        <w:t xml:space="preserve"> </w:t>
      </w:r>
      <w:r>
        <w:rPr>
          <w:rFonts w:hint="eastAsia" w:ascii="宋体" w:hAnsi="宋体"/>
          <w:szCs w:val="24"/>
        </w:rPr>
        <w:t>流土与管涌的</w:t>
      </w:r>
      <w:r>
        <w:rPr>
          <w:rFonts w:hint="eastAsia" w:ascii="宋体" w:hAnsi="宋体" w:cs="宋体"/>
          <w:szCs w:val="24"/>
        </w:rPr>
        <w:t>临</w:t>
      </w:r>
      <w:r>
        <w:rPr>
          <w:rFonts w:hint="eastAsia" w:ascii="宋体" w:hAnsi="宋体"/>
          <w:szCs w:val="24"/>
        </w:rPr>
        <w:t>界水力比降</w:t>
      </w:r>
      <w:r>
        <w:rPr>
          <w:rFonts w:hint="eastAsia" w:ascii="宋体" w:hAnsi="宋体" w:cs="宋体"/>
          <w:szCs w:val="24"/>
        </w:rPr>
        <w:t>确</w:t>
      </w:r>
      <w:r>
        <w:rPr>
          <w:rFonts w:hint="eastAsia" w:ascii="宋体" w:hAnsi="宋体"/>
          <w:szCs w:val="24"/>
        </w:rPr>
        <w:t>定方法：</w:t>
      </w:r>
    </w:p>
    <w:p>
      <w:pPr>
        <w:widowControl w:val="0"/>
        <w:spacing w:line="480" w:lineRule="exact"/>
        <w:rPr>
          <w:rFonts w:ascii="宋体" w:hAnsi="宋体"/>
          <w:szCs w:val="24"/>
        </w:rPr>
      </w:pPr>
      <w:r>
        <w:rPr>
          <w:rFonts w:ascii="宋体" w:hAnsi="宋体"/>
          <w:szCs w:val="24"/>
        </w:rPr>
        <w:t xml:space="preserve">     </w:t>
      </w:r>
      <w:bookmarkStart w:id="992" w:name="_Toc4846"/>
      <w:bookmarkStart w:id="993" w:name="_Toc31277"/>
      <w:r>
        <w:rPr>
          <w:rFonts w:ascii="宋体" w:hAnsi="宋体"/>
          <w:szCs w:val="24"/>
        </w:rPr>
        <w:t>1</w:t>
      </w:r>
      <w:r>
        <w:rPr>
          <w:rFonts w:hint="eastAsia" w:ascii="宋体" w:hAnsi="宋体"/>
          <w:szCs w:val="24"/>
        </w:rPr>
        <w:t xml:space="preserve"> 流土型宜采用下式计算：</w:t>
      </w:r>
      <w:bookmarkEnd w:id="992"/>
      <w:bookmarkEnd w:id="993"/>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position w:val="-12"/>
                <w:sz w:val="28"/>
                <w:szCs w:val="28"/>
              </w:rPr>
            </w:pPr>
            <w:r>
              <w:rPr>
                <w:rFonts w:ascii="宋体" w:hAnsi="宋体"/>
                <w:position w:val="-12"/>
                <w:sz w:val="28"/>
                <w:szCs w:val="28"/>
              </w:rPr>
              <w:drawing>
                <wp:inline distT="0" distB="0" distL="0" distR="0">
                  <wp:extent cx="1211580" cy="228600"/>
                  <wp:effectExtent l="0" t="0" r="0" b="0"/>
                  <wp:docPr id="493" name="图片 4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true" noChangeArrowheads="true"/>
                          </pic:cNvPicPr>
                        </pic:nvPicPr>
                        <pic:blipFill>
                          <a:blip r:embed="rId712" cstate="print">
                            <a:extLst>
                              <a:ext uri="{28A0092B-C50C-407E-A947-70E740481C1C}">
                                <a14:useLocalDpi xmlns:a14="http://schemas.microsoft.com/office/drawing/2010/main" val="false"/>
                              </a:ext>
                            </a:extLst>
                          </a:blip>
                          <a:srcRect/>
                          <a:stretch>
                            <a:fillRect/>
                          </a:stretch>
                        </pic:blipFill>
                        <pic:spPr>
                          <a:xfrm>
                            <a:off x="0" y="0"/>
                            <a:ext cx="1211580" cy="228600"/>
                          </a:xfrm>
                          <a:prstGeom prst="rect">
                            <a:avLst/>
                          </a:prstGeom>
                          <a:noFill/>
                          <a:ln>
                            <a:noFill/>
                          </a:ln>
                        </pic:spPr>
                      </pic:pic>
                    </a:graphicData>
                  </a:graphic>
                </wp:inline>
              </w:drawing>
            </w:r>
          </w:p>
        </w:tc>
        <w:tc>
          <w:tcPr>
            <w:tcW w:w="4927" w:type="dxa"/>
          </w:tcPr>
          <w:p>
            <w:pPr>
              <w:widowControl w:val="0"/>
              <w:spacing w:line="480" w:lineRule="auto"/>
              <w:jc w:val="right"/>
              <w:rPr>
                <w:rFonts w:ascii="宋体" w:hAnsi="宋体"/>
                <w:position w:val="-12"/>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3</w:t>
            </w:r>
            <w:r>
              <w:rPr>
                <w:rFonts w:ascii="宋体" w:hAnsi="宋体"/>
                <w:szCs w:val="24"/>
              </w:rPr>
              <w:t>-</w:t>
            </w:r>
            <w:r>
              <w:rPr>
                <w:rFonts w:ascii="Times New Roman" w:hAnsi="Times New Roman"/>
                <w:szCs w:val="24"/>
              </w:rPr>
              <w:t>1</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J</w:t>
      </w:r>
      <w:r>
        <w:rPr>
          <w:rFonts w:ascii="宋体" w:hAnsi="宋体"/>
          <w:szCs w:val="24"/>
          <w:vertAlign w:val="subscript"/>
        </w:rPr>
        <w:t>cr</w:t>
      </w:r>
      <w:r>
        <w:rPr>
          <w:rFonts w:ascii="Times New Roman" w:hAnsi="Times New Roman"/>
          <w:szCs w:val="24"/>
        </w:rPr>
        <w:t>——</w:t>
      </w:r>
      <w:r>
        <w:rPr>
          <w:rFonts w:hint="eastAsia" w:ascii="宋体" w:hAnsi="宋体"/>
          <w:szCs w:val="24"/>
        </w:rPr>
        <w:t>土的</w:t>
      </w:r>
      <w:r>
        <w:rPr>
          <w:rFonts w:hint="eastAsia" w:ascii="宋体" w:hAnsi="宋体" w:cs="宋体"/>
          <w:szCs w:val="24"/>
        </w:rPr>
        <w:t>临</w:t>
      </w:r>
      <w:r>
        <w:rPr>
          <w:rFonts w:hint="eastAsia" w:ascii="宋体" w:hAnsi="宋体"/>
          <w:szCs w:val="24"/>
        </w:rPr>
        <w:t>界水力比降；</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G</w:t>
      </w:r>
      <w:r>
        <w:rPr>
          <w:rFonts w:ascii="宋体" w:hAnsi="宋体"/>
          <w:szCs w:val="24"/>
          <w:vertAlign w:val="subscript"/>
        </w:rPr>
        <w:t>S</w:t>
      </w:r>
      <w:r>
        <w:rPr>
          <w:rFonts w:ascii="Times New Roman" w:hAnsi="Times New Roman"/>
          <w:szCs w:val="24"/>
        </w:rPr>
        <w:t>——</w:t>
      </w:r>
      <w:r>
        <w:rPr>
          <w:rFonts w:hint="eastAsia"/>
        </w:rPr>
        <w:t>土粒的相对密度，即</w:t>
      </w:r>
      <w:r>
        <w:rPr>
          <w:rFonts w:hint="eastAsia" w:ascii="宋体" w:hAnsi="宋体"/>
          <w:szCs w:val="24"/>
        </w:rPr>
        <w:t>土粒密度与水的密度之比；</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n</w:t>
      </w:r>
      <w:r>
        <w:rPr>
          <w:rFonts w:ascii="Times New Roman" w:hAnsi="Times New Roman"/>
          <w:szCs w:val="24"/>
        </w:rPr>
        <w:t>——</w:t>
      </w:r>
      <w:r>
        <w:rPr>
          <w:rFonts w:hint="eastAsia" w:ascii="宋体" w:hAnsi="宋体"/>
          <w:szCs w:val="24"/>
        </w:rPr>
        <w:t>土的孔隙率（以小数</w:t>
      </w:r>
      <w:r>
        <w:rPr>
          <w:rFonts w:hint="eastAsia" w:ascii="宋体" w:hAnsi="宋体" w:cs="宋体"/>
          <w:szCs w:val="24"/>
        </w:rPr>
        <w:t>计</w:t>
      </w:r>
      <w:r>
        <w:rPr>
          <w:rFonts w:hint="eastAsia" w:ascii="宋体" w:hAnsi="宋体"/>
          <w:szCs w:val="24"/>
        </w:rPr>
        <w:t>）。</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szCs w:val="24"/>
        </w:rPr>
      </w:pPr>
      <w:r>
        <w:rPr>
          <w:rFonts w:hint="eastAsia" w:ascii="宋体" w:hAnsi="宋体"/>
          <w:szCs w:val="24"/>
        </w:rPr>
        <w:t xml:space="preserve">     </w:t>
      </w:r>
      <w:bookmarkStart w:id="994" w:name="_Toc9066"/>
      <w:bookmarkStart w:id="995" w:name="_Toc30631"/>
      <w:r>
        <w:rPr>
          <w:rFonts w:ascii="宋体" w:hAnsi="宋体"/>
          <w:szCs w:val="24"/>
        </w:rPr>
        <w:t>2</w:t>
      </w:r>
      <w:r>
        <w:rPr>
          <w:rFonts w:hint="eastAsia" w:ascii="宋体" w:hAnsi="宋体"/>
          <w:szCs w:val="24"/>
        </w:rPr>
        <w:t xml:space="preserve"> 管涌型或过渡型宜采用下式计算：</w:t>
      </w:r>
      <w:bookmarkEnd w:id="994"/>
      <w:bookmarkEnd w:id="995"/>
      <w:r>
        <w:rPr>
          <w:rFonts w:ascii="宋体" w:hAnsi="宋体"/>
          <w:szCs w:val="24"/>
        </w:rPr>
        <w:t xml:space="preserve">   </w:t>
      </w:r>
      <w:r>
        <w:rPr>
          <w:rFonts w:ascii="宋体" w:hAnsi="宋体"/>
          <w:b w:val="0"/>
          <w:bCs w:val="0"/>
          <w:szCs w:val="24"/>
        </w:rPr>
        <w:t xml:space="preserve"> </w:t>
      </w:r>
      <w:r>
        <w:rPr>
          <w:rFonts w:hint="eastAsia" w:ascii="宋体" w:hAnsi="宋体"/>
          <w:b w:val="0"/>
          <w:bCs w:val="0"/>
          <w:szCs w:val="24"/>
        </w:rPr>
        <w:t xml:space="preserve"> </w:t>
      </w:r>
      <w:r>
        <w:rPr>
          <w:rFonts w:hint="eastAsia" w:ascii="宋体" w:hAnsi="宋体"/>
          <w:b w:val="0"/>
          <w:bCs w:val="0"/>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30"/>
                <w:sz w:val="28"/>
                <w:szCs w:val="28"/>
              </w:rPr>
              <w:drawing>
                <wp:inline distT="0" distB="0" distL="0" distR="0">
                  <wp:extent cx="1684020" cy="464820"/>
                  <wp:effectExtent l="0" t="0" r="0" b="0"/>
                  <wp:docPr id="494" name="图片 4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true" noChangeArrowheads="true"/>
                          </pic:cNvPicPr>
                        </pic:nvPicPr>
                        <pic:blipFill>
                          <a:blip r:embed="rId713" cstate="print">
                            <a:extLst>
                              <a:ext uri="{28A0092B-C50C-407E-A947-70E740481C1C}">
                                <a14:useLocalDpi xmlns:a14="http://schemas.microsoft.com/office/drawing/2010/main" val="false"/>
                              </a:ext>
                            </a:extLst>
                          </a:blip>
                          <a:srcRect/>
                          <a:stretch>
                            <a:fillRect/>
                          </a:stretch>
                        </pic:blipFill>
                        <pic:spPr>
                          <a:xfrm>
                            <a:off x="0" y="0"/>
                            <a:ext cx="1684020" cy="464820"/>
                          </a:xfrm>
                          <a:prstGeom prst="rect">
                            <a:avLst/>
                          </a:prstGeom>
                          <a:noFill/>
                          <a:ln>
                            <a:noFill/>
                          </a:ln>
                        </pic:spPr>
                      </pic:pic>
                    </a:graphicData>
                  </a:graphic>
                </wp:inline>
              </w:drawing>
            </w:r>
          </w:p>
        </w:tc>
        <w:tc>
          <w:tcPr>
            <w:tcW w:w="4927" w:type="dxa"/>
          </w:tcPr>
          <w:p>
            <w:pPr>
              <w:widowControl w:val="0"/>
              <w:spacing w:line="72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3</w:t>
            </w:r>
            <w:r>
              <w:rPr>
                <w:rFonts w:ascii="宋体" w:hAnsi="宋体"/>
                <w:szCs w:val="24"/>
              </w:rPr>
              <w:t>-</w:t>
            </w:r>
            <w:r>
              <w:rPr>
                <w:rFonts w:ascii="Times New Roman" w:hAnsi="Times New Roman"/>
                <w:szCs w:val="24"/>
              </w:rPr>
              <w:t>2</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d</w:t>
      </w:r>
      <w:r>
        <w:rPr>
          <w:rFonts w:ascii="Times New Roman" w:hAnsi="Times New Roman"/>
          <w:szCs w:val="24"/>
          <w:vertAlign w:val="subscript"/>
        </w:rPr>
        <w:t>5</w:t>
      </w:r>
      <w:r>
        <w:rPr>
          <w:rFonts w:hint="eastAsia" w:ascii="宋体" w:hAnsi="宋体"/>
          <w:szCs w:val="24"/>
        </w:rPr>
        <w:t>、</w:t>
      </w:r>
      <w:r>
        <w:rPr>
          <w:rFonts w:ascii="宋体" w:hAnsi="宋体"/>
          <w:szCs w:val="24"/>
        </w:rPr>
        <w:t>d</w:t>
      </w:r>
      <w:r>
        <w:rPr>
          <w:rFonts w:ascii="Times New Roman" w:hAnsi="Times New Roman"/>
          <w:szCs w:val="24"/>
          <w:vertAlign w:val="subscript"/>
        </w:rPr>
        <w:t>20</w:t>
      </w:r>
      <w:r>
        <w:rPr>
          <w:rFonts w:ascii="Times New Roman" w:hAnsi="Times New Roman"/>
          <w:szCs w:val="24"/>
        </w:rPr>
        <w:t>——</w:t>
      </w:r>
      <w:r>
        <w:rPr>
          <w:rFonts w:hint="eastAsia" w:ascii="宋体" w:hAnsi="宋体"/>
          <w:szCs w:val="24"/>
        </w:rPr>
        <w:t>分</w:t>
      </w:r>
      <w:r>
        <w:rPr>
          <w:rFonts w:hint="eastAsia" w:ascii="宋体" w:hAnsi="宋体" w:cs="宋体"/>
          <w:szCs w:val="24"/>
        </w:rPr>
        <w:t>别</w:t>
      </w:r>
      <w:r>
        <w:rPr>
          <w:rFonts w:hint="eastAsia" w:ascii="宋体" w:hAnsi="宋体"/>
          <w:szCs w:val="24"/>
        </w:rPr>
        <w:t>占</w:t>
      </w:r>
      <w:r>
        <w:rPr>
          <w:rFonts w:hint="eastAsia" w:ascii="宋体" w:hAnsi="宋体" w:cs="宋体"/>
          <w:szCs w:val="24"/>
        </w:rPr>
        <w:t>总</w:t>
      </w:r>
      <w:r>
        <w:rPr>
          <w:rFonts w:hint="eastAsia" w:ascii="宋体" w:hAnsi="宋体"/>
          <w:szCs w:val="24"/>
        </w:rPr>
        <w:t>土重的</w:t>
      </w:r>
      <w:r>
        <w:rPr>
          <w:rFonts w:ascii="Times New Roman" w:hAnsi="Times New Roman"/>
          <w:szCs w:val="24"/>
        </w:rPr>
        <w:t>5</w:t>
      </w:r>
      <w:r>
        <w:rPr>
          <w:rFonts w:ascii="宋体" w:hAnsi="宋体"/>
          <w:szCs w:val="24"/>
        </w:rPr>
        <w:t>%</w:t>
      </w:r>
      <w:r>
        <w:rPr>
          <w:rFonts w:hint="eastAsia" w:ascii="宋体" w:hAnsi="宋体"/>
          <w:szCs w:val="24"/>
        </w:rPr>
        <w:t>和</w:t>
      </w:r>
      <w:r>
        <w:rPr>
          <w:rFonts w:ascii="Times New Roman" w:hAnsi="Times New Roman"/>
          <w:szCs w:val="24"/>
        </w:rPr>
        <w:t>20</w:t>
      </w:r>
      <w:r>
        <w:rPr>
          <w:rFonts w:ascii="宋体" w:hAnsi="宋体"/>
          <w:szCs w:val="24"/>
        </w:rPr>
        <w:t>%</w:t>
      </w:r>
      <w:r>
        <w:rPr>
          <w:rFonts w:hint="eastAsia" w:ascii="宋体" w:hAnsi="宋体"/>
          <w:szCs w:val="24"/>
        </w:rPr>
        <w:t>的土粒粒</w:t>
      </w:r>
      <w:r>
        <w:rPr>
          <w:rFonts w:hint="eastAsia" w:ascii="宋体" w:hAnsi="宋体" w:cs="宋体"/>
          <w:szCs w:val="24"/>
        </w:rPr>
        <w:t>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Times New Roman" w:hAnsi="Times New Roman"/>
          <w:szCs w:val="24"/>
        </w:rPr>
        <w:t>3</w:t>
      </w:r>
      <w:r>
        <w:rPr>
          <w:rFonts w:hint="eastAsia" w:ascii="宋体" w:hAnsi="宋体"/>
          <w:szCs w:val="24"/>
        </w:rPr>
        <w:t xml:space="preserve"> 管涌型也可采用下式</w:t>
      </w:r>
      <w:r>
        <w:rPr>
          <w:rFonts w:hint="eastAsia" w:ascii="宋体" w:hAnsi="宋体" w:cs="宋体"/>
          <w:szCs w:val="24"/>
        </w:rPr>
        <w:t>计</w:t>
      </w:r>
      <w:r>
        <w:rPr>
          <w:rFonts w:hint="eastAsia" w:ascii="宋体" w:hAnsi="宋体"/>
          <w:szCs w:val="24"/>
        </w:rPr>
        <w:t>算：</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60"/>
                <w:sz w:val="28"/>
                <w:szCs w:val="28"/>
              </w:rPr>
              <w:drawing>
                <wp:inline distT="0" distB="0" distL="0" distR="0">
                  <wp:extent cx="693420" cy="617220"/>
                  <wp:effectExtent l="0" t="0" r="0" b="0"/>
                  <wp:docPr id="495" name="图片 4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true" noChangeArrowheads="true"/>
                          </pic:cNvPicPr>
                        </pic:nvPicPr>
                        <pic:blipFill>
                          <a:blip r:embed="rId714" cstate="print">
                            <a:extLst>
                              <a:ext uri="{28A0092B-C50C-407E-A947-70E740481C1C}">
                                <a14:useLocalDpi xmlns:a14="http://schemas.microsoft.com/office/drawing/2010/main" val="false"/>
                              </a:ext>
                            </a:extLst>
                          </a:blip>
                          <a:srcRect/>
                          <a:stretch>
                            <a:fillRect/>
                          </a:stretch>
                        </pic:blipFill>
                        <pic:spPr>
                          <a:xfrm>
                            <a:off x="0" y="0"/>
                            <a:ext cx="693420" cy="617220"/>
                          </a:xfrm>
                          <a:prstGeom prst="rect">
                            <a:avLst/>
                          </a:prstGeom>
                          <a:noFill/>
                          <a:ln>
                            <a:noFill/>
                          </a:ln>
                        </pic:spPr>
                      </pic:pic>
                    </a:graphicData>
                  </a:graphic>
                </wp:inline>
              </w:drawing>
            </w:r>
          </w:p>
        </w:tc>
        <w:tc>
          <w:tcPr>
            <w:tcW w:w="4927" w:type="dxa"/>
          </w:tcPr>
          <w:p>
            <w:pPr>
              <w:widowControl w:val="0"/>
              <w:spacing w:line="96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3</w:t>
            </w:r>
            <w:r>
              <w:rPr>
                <w:rFonts w:ascii="宋体" w:hAnsi="宋体"/>
                <w:szCs w:val="24"/>
              </w:rPr>
              <w:t>-</w:t>
            </w:r>
            <w:r>
              <w:rPr>
                <w:rFonts w:hint="eastAsia" w:ascii="Times New Roman" w:hAnsi="Times New Roman"/>
                <w:szCs w:val="24"/>
              </w:rPr>
              <w:t>3</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k</w:t>
      </w:r>
      <w:r>
        <w:rPr>
          <w:rFonts w:ascii="Times New Roman" w:hAnsi="Times New Roman"/>
          <w:szCs w:val="24"/>
        </w:rPr>
        <w:t>——</w:t>
      </w:r>
      <w:r>
        <w:rPr>
          <w:rFonts w:hint="eastAsia" w:ascii="宋体" w:hAnsi="宋体"/>
          <w:szCs w:val="24"/>
        </w:rPr>
        <w:t>土的</w:t>
      </w:r>
      <w:r>
        <w:rPr>
          <w:rFonts w:hint="eastAsia" w:ascii="宋体" w:hAnsi="宋体" w:cs="宋体"/>
          <w:szCs w:val="24"/>
        </w:rPr>
        <w:t>渗</w:t>
      </w:r>
      <w:r>
        <w:rPr>
          <w:rFonts w:hint="eastAsia" w:ascii="宋体" w:hAnsi="宋体"/>
          <w:szCs w:val="24"/>
        </w:rPr>
        <w:t>透系数</w:t>
      </w:r>
      <w:r>
        <w:rPr>
          <w:rFonts w:ascii="宋体" w:hAnsi="宋体"/>
          <w:szCs w:val="24"/>
        </w:rPr>
        <w:t>(</w:t>
      </w:r>
      <w:r>
        <w:rPr>
          <w:position w:val="-6"/>
        </w:rPr>
        <w:drawing>
          <wp:inline distT="0" distB="0" distL="0" distR="0">
            <wp:extent cx="457200" cy="190500"/>
            <wp:effectExtent l="0" t="0" r="0" b="0"/>
            <wp:docPr id="496" name="图片 4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true" noChangeArrowheads="true"/>
                    </pic:cNvPicPr>
                  </pic:nvPicPr>
                  <pic:blipFill>
                    <a:blip r:embed="rId715" cstate="print">
                      <a:extLst>
                        <a:ext uri="{28A0092B-C50C-407E-A947-70E740481C1C}">
                          <a14:useLocalDpi xmlns:a14="http://schemas.microsoft.com/office/drawing/2010/main" val="false"/>
                        </a:ext>
                      </a:extLst>
                    </a:blip>
                    <a:srcRect/>
                    <a:stretch>
                      <a:fillRect/>
                    </a:stretch>
                  </pic:blipFill>
                  <pic:spPr>
                    <a:xfrm>
                      <a:off x="0" y="0"/>
                      <a:ext cx="457200" cy="190500"/>
                    </a:xfrm>
                    <a:prstGeom prst="rect">
                      <a:avLst/>
                    </a:prstGeom>
                    <a:noFill/>
                    <a:ln>
                      <a:noFill/>
                    </a:ln>
                  </pic:spPr>
                </pic:pic>
              </a:graphicData>
            </a:graphic>
          </wp:inline>
        </w:drawing>
      </w:r>
      <w:r>
        <w:rPr>
          <w:rFonts w:ascii="宋体" w:hAnsi="宋体"/>
          <w:szCs w:val="24"/>
        </w:rPr>
        <w:t>)</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position w:val="-12"/>
        </w:rPr>
        <w:drawing>
          <wp:inline distT="0" distB="0" distL="0" distR="0">
            <wp:extent cx="175260" cy="228600"/>
            <wp:effectExtent l="0" t="0" r="0" b="0"/>
            <wp:docPr id="497" name="图片 4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true" noChangeArrowheads="true"/>
                    </pic:cNvPicPr>
                  </pic:nvPicPr>
                  <pic:blipFill>
                    <a:blip r:embed="rId716" cstate="print">
                      <a:extLst>
                        <a:ext uri="{28A0092B-C50C-407E-A947-70E740481C1C}">
                          <a14:useLocalDpi xmlns:a14="http://schemas.microsoft.com/office/drawing/2010/main" val="false"/>
                        </a:ext>
                      </a:extLst>
                    </a:blip>
                    <a:srcRect/>
                    <a:stretch>
                      <a:fillRect/>
                    </a:stretch>
                  </pic:blipFill>
                  <pic:spPr>
                    <a:xfrm>
                      <a:off x="0" y="0"/>
                      <a:ext cx="175260" cy="228600"/>
                    </a:xfrm>
                    <a:prstGeom prst="rect">
                      <a:avLst/>
                    </a:prstGeom>
                    <a:noFill/>
                    <a:ln>
                      <a:noFill/>
                    </a:ln>
                  </pic:spPr>
                </pic:pic>
              </a:graphicData>
            </a:graphic>
          </wp:inline>
        </w:drawing>
      </w:r>
      <w:r>
        <w:rPr>
          <w:rFonts w:ascii="Times New Roman" w:hAnsi="Times New Roman"/>
          <w:szCs w:val="24"/>
        </w:rPr>
        <w:t>——</w:t>
      </w:r>
      <w:r>
        <w:rPr>
          <w:rFonts w:hint="eastAsia" w:ascii="宋体" w:hAnsi="宋体"/>
          <w:szCs w:val="24"/>
        </w:rPr>
        <w:t>占</w:t>
      </w:r>
      <w:r>
        <w:rPr>
          <w:rFonts w:hint="eastAsia" w:ascii="宋体" w:hAnsi="宋体" w:cs="宋体"/>
          <w:szCs w:val="24"/>
        </w:rPr>
        <w:t>总</w:t>
      </w:r>
      <w:r>
        <w:rPr>
          <w:rFonts w:hint="eastAsia" w:ascii="宋体" w:hAnsi="宋体"/>
          <w:szCs w:val="24"/>
        </w:rPr>
        <w:t>土重</w:t>
      </w:r>
      <w:r>
        <w:rPr>
          <w:rFonts w:ascii="Times New Roman" w:hAnsi="Times New Roman"/>
          <w:szCs w:val="24"/>
        </w:rPr>
        <w:t>3</w:t>
      </w:r>
      <w:r>
        <w:rPr>
          <w:rFonts w:ascii="宋体" w:hAnsi="宋体"/>
          <w:szCs w:val="24"/>
        </w:rPr>
        <w:t>%</w:t>
      </w:r>
      <w:r>
        <w:rPr>
          <w:rFonts w:hint="eastAsia" w:ascii="宋体" w:hAnsi="宋体"/>
          <w:szCs w:val="24"/>
        </w:rPr>
        <w:t>的土粒粒</w:t>
      </w:r>
      <w:r>
        <w:rPr>
          <w:rFonts w:hint="eastAsia" w:ascii="宋体" w:hAnsi="宋体" w:cs="宋体"/>
          <w:szCs w:val="24"/>
        </w:rPr>
        <w:t>径</w:t>
      </w:r>
      <w:r>
        <w:rPr>
          <w:rFonts w:ascii="宋体" w:hAnsi="宋体"/>
          <w:szCs w:val="24"/>
        </w:rPr>
        <w:t>(mm)</w:t>
      </w:r>
      <w:r>
        <w:rPr>
          <w:rFonts w:hint="eastAsia" w:ascii="宋体" w:hAnsi="宋体"/>
          <w:szCs w:val="24"/>
        </w:rPr>
        <w:t>。</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ascii="Times New Roman" w:hAnsi="Times New Roman"/>
          <w:szCs w:val="24"/>
        </w:rPr>
        <w:t>4</w:t>
      </w:r>
      <w:r>
        <w:rPr>
          <w:rFonts w:hint="eastAsia" w:ascii="宋体" w:hAnsi="宋体"/>
          <w:szCs w:val="24"/>
        </w:rPr>
        <w:t xml:space="preserve"> 土的</w:t>
      </w:r>
      <w:r>
        <w:rPr>
          <w:rFonts w:hint="eastAsia" w:ascii="宋体" w:hAnsi="宋体" w:cs="宋体"/>
          <w:szCs w:val="24"/>
        </w:rPr>
        <w:t>渗</w:t>
      </w:r>
      <w:r>
        <w:rPr>
          <w:rFonts w:hint="eastAsia" w:ascii="宋体" w:hAnsi="宋体"/>
          <w:szCs w:val="24"/>
        </w:rPr>
        <w:t>透系数</w:t>
      </w:r>
      <w:r>
        <w:rPr>
          <w:rFonts w:hint="eastAsia" w:ascii="宋体" w:hAnsi="宋体" w:cs="宋体"/>
          <w:szCs w:val="24"/>
        </w:rPr>
        <w:t>应</w:t>
      </w:r>
      <w:r>
        <w:rPr>
          <w:rFonts w:hint="eastAsia" w:ascii="宋体" w:hAnsi="宋体"/>
          <w:szCs w:val="24"/>
        </w:rPr>
        <w:t>通</w:t>
      </w:r>
      <w:r>
        <w:rPr>
          <w:rFonts w:hint="eastAsia" w:ascii="宋体" w:hAnsi="宋体" w:cs="宋体"/>
          <w:szCs w:val="24"/>
        </w:rPr>
        <w:t>过渗</w:t>
      </w:r>
      <w:r>
        <w:rPr>
          <w:rFonts w:hint="eastAsia" w:ascii="宋体" w:hAnsi="宋体"/>
          <w:szCs w:val="24"/>
        </w:rPr>
        <w:t>透</w:t>
      </w:r>
      <w:r>
        <w:rPr>
          <w:rFonts w:hint="eastAsia" w:ascii="宋体" w:hAnsi="宋体" w:cs="宋体"/>
          <w:szCs w:val="24"/>
        </w:rPr>
        <w:t>试验测</w:t>
      </w:r>
      <w:r>
        <w:rPr>
          <w:rFonts w:hint="eastAsia" w:ascii="宋体" w:hAnsi="宋体"/>
          <w:szCs w:val="24"/>
        </w:rPr>
        <w:t>定。若无</w:t>
      </w:r>
      <w:r>
        <w:rPr>
          <w:rFonts w:hint="eastAsia" w:ascii="宋体" w:hAnsi="宋体" w:cs="宋体"/>
          <w:szCs w:val="24"/>
        </w:rPr>
        <w:t>渗</w:t>
      </w:r>
      <w:r>
        <w:rPr>
          <w:rFonts w:hint="eastAsia" w:ascii="宋体" w:hAnsi="宋体"/>
          <w:szCs w:val="24"/>
        </w:rPr>
        <w:t>透系数</w:t>
      </w:r>
      <w:r>
        <w:rPr>
          <w:rFonts w:hint="eastAsia" w:ascii="宋体" w:hAnsi="宋体" w:cs="宋体"/>
          <w:szCs w:val="24"/>
        </w:rPr>
        <w:t>试验资</w:t>
      </w:r>
      <w:r>
        <w:rPr>
          <w:rFonts w:hint="eastAsia" w:ascii="宋体" w:hAnsi="宋体"/>
          <w:szCs w:val="24"/>
        </w:rPr>
        <w:t>料，可根据下式</w:t>
      </w:r>
      <w:r>
        <w:rPr>
          <w:rFonts w:hint="eastAsia" w:ascii="宋体" w:hAnsi="宋体" w:cs="宋体"/>
          <w:szCs w:val="24"/>
        </w:rPr>
        <w:t>计</w:t>
      </w:r>
      <w:r>
        <w:rPr>
          <w:rFonts w:hint="eastAsia" w:ascii="宋体" w:hAnsi="宋体"/>
          <w:szCs w:val="24"/>
        </w:rPr>
        <w:t>算近似</w:t>
      </w:r>
      <w:r>
        <w:rPr>
          <w:rFonts w:hint="eastAsia" w:ascii="宋体" w:hAnsi="宋体" w:cs="宋体"/>
          <w:szCs w:val="24"/>
        </w:rPr>
        <w:t>值</w:t>
      </w:r>
      <w:r>
        <w:rPr>
          <w:rFonts w:hint="eastAsia" w:ascii="宋体" w:hAnsi="宋体"/>
          <w:szCs w:val="24"/>
        </w:rPr>
        <w:t>：</w:t>
      </w:r>
      <w:r>
        <w:rPr>
          <w:rFonts w:ascii="宋体" w:hAnsi="宋体"/>
          <w:sz w:val="28"/>
          <w:szCs w:val="28"/>
        </w:rPr>
        <w:t xml:space="preserve"> </w:t>
      </w:r>
      <w:r>
        <w:rPr>
          <w:rFonts w:hint="eastAsia" w:ascii="宋体" w:hAnsi="宋体"/>
          <w:sz w:val="28"/>
          <w:szCs w:val="28"/>
        </w:rPr>
        <w:t xml:space="preserve">          </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sz w:val="28"/>
                <w:szCs w:val="28"/>
              </w:rPr>
            </w:pPr>
            <w:r>
              <w:rPr>
                <w:rFonts w:ascii="宋体" w:hAnsi="宋体"/>
                <w:position w:val="-12"/>
                <w:sz w:val="28"/>
                <w:szCs w:val="28"/>
              </w:rPr>
              <w:drawing>
                <wp:inline distT="0" distB="0" distL="0" distR="0">
                  <wp:extent cx="982980" cy="259080"/>
                  <wp:effectExtent l="0" t="0" r="0" b="0"/>
                  <wp:docPr id="498" name="图片 4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true" noChangeArrowheads="true"/>
                          </pic:cNvPicPr>
                        </pic:nvPicPr>
                        <pic:blipFill>
                          <a:blip r:embed="rId717" cstate="print">
                            <a:extLst>
                              <a:ext uri="{28A0092B-C50C-407E-A947-70E740481C1C}">
                                <a14:useLocalDpi xmlns:a14="http://schemas.microsoft.com/office/drawing/2010/main" val="false"/>
                              </a:ext>
                            </a:extLst>
                          </a:blip>
                          <a:srcRect/>
                          <a:stretch>
                            <a:fillRect/>
                          </a:stretch>
                        </pic:blipFill>
                        <pic:spPr>
                          <a:xfrm>
                            <a:off x="0" y="0"/>
                            <a:ext cx="982980" cy="259080"/>
                          </a:xfrm>
                          <a:prstGeom prst="rect">
                            <a:avLst/>
                          </a:prstGeom>
                          <a:noFill/>
                          <a:ln>
                            <a:noFill/>
                          </a:ln>
                        </pic:spPr>
                      </pic:pic>
                    </a:graphicData>
                  </a:graphic>
                </wp:inline>
              </w:drawing>
            </w:r>
          </w:p>
        </w:tc>
        <w:tc>
          <w:tcPr>
            <w:tcW w:w="4927" w:type="dxa"/>
          </w:tcPr>
          <w:p>
            <w:pPr>
              <w:widowControl w:val="0"/>
              <w:spacing w:line="480" w:lineRule="auto"/>
              <w:jc w:val="right"/>
              <w:rPr>
                <w:rFonts w:ascii="宋体" w:hAnsi="宋体"/>
                <w:sz w:val="28"/>
                <w:szCs w:val="28"/>
              </w:rPr>
            </w:pPr>
            <w:r>
              <w:rPr>
                <w:rFonts w:ascii="宋体" w:hAnsi="宋体"/>
                <w:szCs w:val="24"/>
              </w:rPr>
              <w:t>(</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3</w:t>
            </w:r>
            <w:r>
              <w:rPr>
                <w:rFonts w:ascii="宋体" w:hAnsi="宋体"/>
                <w:szCs w:val="24"/>
              </w:rPr>
              <w:t>-</w:t>
            </w:r>
            <w:r>
              <w:rPr>
                <w:rFonts w:ascii="Times New Roman" w:hAnsi="Times New Roman"/>
                <w:szCs w:val="24"/>
              </w:rPr>
              <w:t>4</w:t>
            </w:r>
            <w:r>
              <w:rPr>
                <w:rFonts w:ascii="宋体" w:hAnsi="宋体"/>
                <w:szCs w:val="24"/>
              </w:rPr>
              <w:t>)</w:t>
            </w:r>
          </w:p>
        </w:tc>
      </w:tr>
    </w:tbl>
    <w:p>
      <w:pPr>
        <w:widowControl w:val="0"/>
        <w:rPr>
          <w:rFonts w:ascii="宋体" w:hAnsi="宋体"/>
          <w:szCs w:val="24"/>
        </w:rPr>
      </w:pPr>
      <w:r>
        <w:rPr>
          <w:rFonts w:hint="eastAsia" w:ascii="宋体" w:hAnsi="宋体"/>
          <w:szCs w:val="24"/>
        </w:rPr>
        <w:t xml:space="preserve">式中： </w:t>
      </w:r>
      <w:r>
        <w:rPr>
          <w:rFonts w:ascii="宋体" w:hAnsi="宋体"/>
          <w:szCs w:val="24"/>
        </w:rPr>
        <w:t>d</w:t>
      </w:r>
      <w:r>
        <w:rPr>
          <w:rFonts w:ascii="Times New Roman" w:hAnsi="Times New Roman"/>
          <w:szCs w:val="24"/>
          <w:vertAlign w:val="subscript"/>
        </w:rPr>
        <w:t>20</w:t>
      </w:r>
      <w:r>
        <w:rPr>
          <w:rFonts w:ascii="Times New Roman" w:hAnsi="Times New Roman"/>
          <w:szCs w:val="24"/>
        </w:rPr>
        <w:t>——</w:t>
      </w:r>
      <w:r>
        <w:rPr>
          <w:rFonts w:hint="eastAsia" w:ascii="宋体" w:hAnsi="宋体"/>
          <w:szCs w:val="24"/>
        </w:rPr>
        <w:t>占</w:t>
      </w:r>
      <w:r>
        <w:rPr>
          <w:rFonts w:hint="eastAsia" w:ascii="宋体" w:hAnsi="宋体" w:cs="宋体"/>
          <w:szCs w:val="24"/>
        </w:rPr>
        <w:t>总</w:t>
      </w:r>
      <w:r>
        <w:rPr>
          <w:rFonts w:hint="eastAsia" w:ascii="宋体" w:hAnsi="宋体"/>
          <w:szCs w:val="24"/>
        </w:rPr>
        <w:t>土重</w:t>
      </w:r>
      <w:r>
        <w:rPr>
          <w:rFonts w:ascii="Times New Roman" w:hAnsi="Times New Roman"/>
          <w:szCs w:val="24"/>
        </w:rPr>
        <w:t>20</w:t>
      </w:r>
      <w:r>
        <w:rPr>
          <w:rFonts w:ascii="宋体" w:hAnsi="宋体"/>
          <w:szCs w:val="24"/>
        </w:rPr>
        <w:t>%</w:t>
      </w:r>
      <w:r>
        <w:rPr>
          <w:rFonts w:hint="eastAsia" w:ascii="宋体" w:hAnsi="宋体"/>
          <w:szCs w:val="24"/>
        </w:rPr>
        <w:t>的土粒粒径</w:t>
      </w:r>
      <w:r>
        <w:rPr>
          <w:rFonts w:ascii="宋体" w:hAnsi="宋体"/>
          <w:szCs w:val="24"/>
        </w:rPr>
        <w:t>(mm)</w:t>
      </w:r>
      <w:r>
        <w:rPr>
          <w:rFonts w:hint="eastAsia" w:ascii="宋体" w:hAnsi="宋体"/>
          <w:szCs w:val="24"/>
        </w:rPr>
        <w:t>。</w:t>
      </w:r>
    </w:p>
    <w:p>
      <w:pPr>
        <w:widowControl w:val="0"/>
        <w:spacing w:line="480" w:lineRule="exact"/>
        <w:rPr>
          <w:rFonts w:ascii="宋体" w:hAnsi="宋体"/>
          <w:b/>
          <w:szCs w:val="24"/>
        </w:rPr>
      </w:pPr>
      <w:r>
        <w:rPr>
          <w:rFonts w:hint="eastAsia" w:ascii="Times New Roman" w:hAnsi="Times New Roman"/>
          <w:b/>
          <w:szCs w:val="24"/>
        </w:rPr>
        <w:t>C</w:t>
      </w:r>
      <w:r>
        <w:rPr>
          <w:rFonts w:ascii="Times New Roman" w:hAnsi="Times New Roman"/>
          <w:b/>
          <w:szCs w:val="24"/>
        </w:rPr>
        <w:t>.0.</w:t>
      </w:r>
      <w:r>
        <w:rPr>
          <w:rFonts w:hint="eastAsia" w:ascii="Times New Roman" w:hAnsi="Times New Roman"/>
          <w:b/>
          <w:szCs w:val="24"/>
        </w:rPr>
        <w:t>4</w:t>
      </w:r>
      <w:r>
        <w:rPr>
          <w:rFonts w:hint="eastAsia" w:ascii="宋体" w:hAnsi="宋体"/>
          <w:b/>
          <w:szCs w:val="24"/>
        </w:rPr>
        <w:t xml:space="preserve"> </w:t>
      </w:r>
      <w:r>
        <w:rPr>
          <w:rFonts w:hint="eastAsia" w:ascii="宋体" w:hAnsi="宋体"/>
          <w:szCs w:val="24"/>
        </w:rPr>
        <w:t>无黏性土的允许水力比降确定方法：</w:t>
      </w:r>
    </w:p>
    <w:p>
      <w:pPr>
        <w:widowControl w:val="0"/>
        <w:spacing w:line="480" w:lineRule="exact"/>
        <w:ind w:firstLine="480" w:firstLineChars="200"/>
        <w:rPr>
          <w:rFonts w:ascii="宋体" w:hAnsi="宋体"/>
          <w:szCs w:val="24"/>
        </w:rPr>
      </w:pPr>
      <w:r>
        <w:rPr>
          <w:rFonts w:ascii="Times New Roman" w:hAnsi="Times New Roman"/>
          <w:szCs w:val="24"/>
        </w:rPr>
        <w:t>1</w:t>
      </w:r>
      <w:r>
        <w:rPr>
          <w:rFonts w:ascii="宋体" w:hAnsi="宋体"/>
          <w:szCs w:val="24"/>
        </w:rPr>
        <w:t xml:space="preserve">  </w:t>
      </w:r>
      <w:r>
        <w:rPr>
          <w:rFonts w:hint="eastAsia" w:ascii="宋体" w:hAnsi="宋体"/>
          <w:szCs w:val="24"/>
        </w:rPr>
        <w:t>以土的</w:t>
      </w:r>
      <w:r>
        <w:rPr>
          <w:rFonts w:hint="eastAsia" w:ascii="宋体" w:hAnsi="宋体" w:cs="宋体"/>
          <w:szCs w:val="24"/>
        </w:rPr>
        <w:t>临</w:t>
      </w:r>
      <w:r>
        <w:rPr>
          <w:rFonts w:hint="eastAsia" w:ascii="宋体" w:hAnsi="宋体"/>
          <w:szCs w:val="24"/>
        </w:rPr>
        <w:t>界水力比降除以</w:t>
      </w:r>
      <w:r>
        <w:rPr>
          <w:rFonts w:ascii="Times New Roman" w:hAnsi="Times New Roman"/>
          <w:szCs w:val="24"/>
        </w:rPr>
        <w:t>1</w:t>
      </w:r>
      <w:r>
        <w:rPr>
          <w:rFonts w:ascii="宋体" w:hAnsi="宋体"/>
          <w:szCs w:val="24"/>
        </w:rPr>
        <w:t>.</w:t>
      </w:r>
      <w:r>
        <w:rPr>
          <w:rFonts w:ascii="Times New Roman" w:hAnsi="Times New Roman"/>
          <w:szCs w:val="24"/>
        </w:rPr>
        <w:t>5</w:t>
      </w:r>
      <w:r>
        <w:rPr>
          <w:rFonts w:hint="eastAsia" w:ascii="宋体" w:hAnsi="宋体"/>
          <w:szCs w:val="24"/>
        </w:rPr>
        <w:t>的安全系数</w:t>
      </w:r>
      <w:r>
        <w:rPr>
          <w:rStyle w:val="39"/>
          <w:rFonts w:hint="eastAsia"/>
        </w:rPr>
        <w:t>；</w:t>
      </w:r>
    </w:p>
    <w:p>
      <w:pPr>
        <w:widowControl w:val="0"/>
        <w:spacing w:line="480" w:lineRule="exact"/>
        <w:ind w:firstLine="480" w:firstLineChars="200"/>
        <w:rPr>
          <w:rFonts w:ascii="宋体" w:hAnsi="宋体"/>
          <w:szCs w:val="24"/>
        </w:rPr>
      </w:pPr>
      <w:r>
        <w:rPr>
          <w:rFonts w:ascii="Times New Roman" w:hAnsi="Times New Roman"/>
          <w:szCs w:val="24"/>
        </w:rPr>
        <w:t>2</w:t>
      </w:r>
      <w:r>
        <w:rPr>
          <w:rFonts w:hint="eastAsia" w:ascii="宋体" w:hAnsi="宋体"/>
          <w:szCs w:val="24"/>
        </w:rPr>
        <w:t xml:space="preserve">  无</w:t>
      </w:r>
      <w:r>
        <w:rPr>
          <w:rFonts w:hint="eastAsia" w:ascii="宋体" w:hAnsi="宋体" w:cs="宋体"/>
          <w:szCs w:val="24"/>
        </w:rPr>
        <w:t>试验资</w:t>
      </w:r>
      <w:r>
        <w:rPr>
          <w:rFonts w:hint="eastAsia" w:ascii="宋体" w:hAnsi="宋体"/>
          <w:szCs w:val="24"/>
        </w:rPr>
        <w:t>料</w:t>
      </w:r>
      <w:r>
        <w:rPr>
          <w:rFonts w:hint="eastAsia" w:ascii="宋体" w:hAnsi="宋体" w:cs="宋体"/>
          <w:szCs w:val="24"/>
        </w:rPr>
        <w:t>时</w:t>
      </w:r>
      <w:r>
        <w:rPr>
          <w:rFonts w:hint="eastAsia" w:ascii="宋体" w:hAnsi="宋体"/>
          <w:szCs w:val="24"/>
        </w:rPr>
        <w:t>，可根据表</w:t>
      </w:r>
      <w:r>
        <w:rPr>
          <w:rFonts w:hint="eastAsia"/>
        </w:rPr>
        <w:t>C.</w:t>
      </w:r>
      <w:r>
        <w:rPr>
          <w:rFonts w:hint="eastAsia" w:ascii="Times New Roman" w:hAnsi="Times New Roman"/>
        </w:rPr>
        <w:t>0</w:t>
      </w:r>
      <w:r>
        <w:rPr>
          <w:rFonts w:hint="eastAsia"/>
        </w:rPr>
        <w:t>.</w:t>
      </w:r>
      <w:r>
        <w:rPr>
          <w:rFonts w:hint="eastAsia" w:ascii="Times New Roman" w:hAnsi="Times New Roman"/>
        </w:rPr>
        <w:t>4</w:t>
      </w:r>
      <w:r>
        <w:rPr>
          <w:rFonts w:hint="eastAsia" w:ascii="宋体" w:hAnsi="宋体" w:cs="宋体"/>
          <w:szCs w:val="24"/>
        </w:rPr>
        <w:t>选</w:t>
      </w:r>
      <w:r>
        <w:rPr>
          <w:rFonts w:hint="eastAsia" w:ascii="宋体" w:hAnsi="宋体"/>
          <w:szCs w:val="24"/>
        </w:rPr>
        <w:t>用</w:t>
      </w:r>
      <w:r>
        <w:rPr>
          <w:rFonts w:hint="eastAsia" w:ascii="宋体" w:hAnsi="宋体" w:cs="宋体"/>
          <w:szCs w:val="24"/>
        </w:rPr>
        <w:t>经验值</w:t>
      </w:r>
      <w:r>
        <w:rPr>
          <w:rFonts w:hint="eastAsia" w:ascii="宋体" w:hAnsi="宋体"/>
          <w:szCs w:val="24"/>
        </w:rPr>
        <w:t>。</w:t>
      </w:r>
    </w:p>
    <w:p>
      <w:pPr>
        <w:bidi w:val="0"/>
        <w:jc w:val="center"/>
        <w:rPr>
          <w:rFonts w:hint="eastAsia" w:ascii="宋体" w:hAnsi="宋体" w:eastAsia="宋体" w:cs="宋体"/>
          <w:b/>
          <w:bCs/>
        </w:rPr>
      </w:pPr>
      <w:bookmarkStart w:id="996" w:name="_Toc2157"/>
      <w:bookmarkStart w:id="997" w:name="_Toc6021"/>
      <w:r>
        <w:rPr>
          <w:rFonts w:hint="eastAsia" w:ascii="宋体" w:hAnsi="宋体" w:eastAsia="宋体" w:cs="宋体"/>
          <w:b/>
          <w:bCs/>
        </w:rPr>
        <w:t>表C.0.4无黏性土允许水力比降</w:t>
      </w:r>
      <w:bookmarkEnd w:id="996"/>
      <w:bookmarkEnd w:id="997"/>
    </w:p>
    <w:tbl>
      <w:tblPr>
        <w:tblStyle w:val="32"/>
        <w:tblW w:w="0" w:type="auto"/>
        <w:jc w:val="center"/>
        <w:tblLayout w:type="fixed"/>
        <w:tblCellMar>
          <w:top w:w="0" w:type="dxa"/>
          <w:left w:w="0" w:type="dxa"/>
          <w:bottom w:w="0" w:type="dxa"/>
          <w:right w:w="0" w:type="dxa"/>
        </w:tblCellMar>
      </w:tblPr>
      <w:tblGrid>
        <w:gridCol w:w="1297"/>
        <w:gridCol w:w="1297"/>
        <w:gridCol w:w="1297"/>
        <w:gridCol w:w="1300"/>
        <w:gridCol w:w="1297"/>
        <w:gridCol w:w="1297"/>
        <w:gridCol w:w="1301"/>
      </w:tblGrid>
      <w:tr>
        <w:tblPrEx>
          <w:tblCellMar>
            <w:top w:w="0" w:type="dxa"/>
            <w:left w:w="0" w:type="dxa"/>
            <w:bottom w:w="0" w:type="dxa"/>
            <w:right w:w="0" w:type="dxa"/>
          </w:tblCellMar>
        </w:tblPrEx>
        <w:trPr>
          <w:cantSplit/>
          <w:trHeight w:val="479" w:hRule="atLeast"/>
          <w:jc w:val="center"/>
        </w:trPr>
        <w:tc>
          <w:tcPr>
            <w:tcW w:w="1297" w:type="dxa"/>
            <w:vMerge w:val="restart"/>
            <w:tcBorders>
              <w:top w:val="single" w:color="auto" w:sz="8" w:space="0"/>
              <w:left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sz w:val="21"/>
                <w:szCs w:val="21"/>
              </w:rPr>
              <w:t>允</w:t>
            </w:r>
            <w:r>
              <w:rPr>
                <w:rFonts w:hint="eastAsia" w:ascii="宋体" w:hAnsi="宋体" w:cs="宋体"/>
                <w:sz w:val="21"/>
                <w:szCs w:val="21"/>
              </w:rPr>
              <w:t>许</w:t>
            </w:r>
            <w:r>
              <w:rPr>
                <w:rFonts w:hint="eastAsia" w:ascii="宋体" w:hAnsi="宋体"/>
                <w:sz w:val="21"/>
                <w:szCs w:val="21"/>
              </w:rPr>
              <w:t>水力比降</w:t>
            </w:r>
          </w:p>
        </w:tc>
        <w:tc>
          <w:tcPr>
            <w:tcW w:w="7789" w:type="dxa"/>
            <w:gridSpan w:val="6"/>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cs="宋体"/>
                <w:sz w:val="21"/>
                <w:szCs w:val="21"/>
              </w:rPr>
              <w:t>渗</w:t>
            </w:r>
            <w:r>
              <w:rPr>
                <w:rFonts w:hint="eastAsia" w:ascii="宋体" w:hAnsi="宋体"/>
                <w:sz w:val="21"/>
                <w:szCs w:val="21"/>
              </w:rPr>
              <w:t>透</w:t>
            </w:r>
            <w:r>
              <w:rPr>
                <w:rFonts w:hint="eastAsia" w:ascii="宋体" w:hAnsi="宋体" w:cs="宋体"/>
                <w:sz w:val="21"/>
                <w:szCs w:val="21"/>
              </w:rPr>
              <w:t>变</w:t>
            </w:r>
            <w:r>
              <w:rPr>
                <w:rFonts w:hint="eastAsia" w:ascii="宋体" w:hAnsi="宋体"/>
                <w:sz w:val="21"/>
                <w:szCs w:val="21"/>
              </w:rPr>
              <w:t>形形式</w:t>
            </w:r>
          </w:p>
        </w:tc>
      </w:tr>
      <w:tr>
        <w:tblPrEx>
          <w:tblCellMar>
            <w:top w:w="0" w:type="dxa"/>
            <w:left w:w="0" w:type="dxa"/>
            <w:bottom w:w="0" w:type="dxa"/>
            <w:right w:w="0" w:type="dxa"/>
          </w:tblCellMar>
        </w:tblPrEx>
        <w:trPr>
          <w:cantSplit/>
          <w:trHeight w:val="479" w:hRule="atLeast"/>
          <w:jc w:val="center"/>
        </w:trPr>
        <w:tc>
          <w:tcPr>
            <w:tcW w:w="1297" w:type="dxa"/>
            <w:vMerge w:val="continue"/>
            <w:tcBorders>
              <w:left w:val="single" w:color="auto" w:sz="8" w:space="0"/>
              <w:right w:val="single" w:color="auto" w:sz="8" w:space="0"/>
            </w:tcBorders>
            <w:vAlign w:val="center"/>
          </w:tcPr>
          <w:p>
            <w:pPr>
              <w:widowControl w:val="0"/>
              <w:jc w:val="center"/>
              <w:rPr>
                <w:rFonts w:ascii="宋体" w:hAnsi="宋体"/>
                <w:sz w:val="21"/>
                <w:szCs w:val="21"/>
              </w:rPr>
            </w:pPr>
          </w:p>
        </w:tc>
        <w:tc>
          <w:tcPr>
            <w:tcW w:w="3894" w:type="dxa"/>
            <w:gridSpan w:val="3"/>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sz w:val="21"/>
                <w:szCs w:val="21"/>
              </w:rPr>
              <w:t>流土型</w:t>
            </w:r>
          </w:p>
        </w:tc>
        <w:tc>
          <w:tcPr>
            <w:tcW w:w="1297" w:type="dxa"/>
            <w:vMerge w:val="restart"/>
            <w:tcBorders>
              <w:top w:val="single" w:color="auto" w:sz="8" w:space="0"/>
              <w:left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cs="宋体"/>
                <w:sz w:val="21"/>
                <w:szCs w:val="21"/>
              </w:rPr>
              <w:t>过</w:t>
            </w:r>
            <w:r>
              <w:rPr>
                <w:rFonts w:hint="eastAsia" w:ascii="宋体" w:hAnsi="宋体"/>
                <w:sz w:val="21"/>
                <w:szCs w:val="21"/>
              </w:rPr>
              <w:t>渡型</w:t>
            </w:r>
          </w:p>
        </w:tc>
        <w:tc>
          <w:tcPr>
            <w:tcW w:w="2598" w:type="dxa"/>
            <w:gridSpan w:val="2"/>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sz w:val="21"/>
                <w:szCs w:val="21"/>
              </w:rPr>
              <w:t>管</w:t>
            </w:r>
            <w:r>
              <w:rPr>
                <w:rFonts w:ascii="宋体" w:hAnsi="宋体"/>
                <w:sz w:val="21"/>
                <w:szCs w:val="21"/>
              </w:rPr>
              <w:t xml:space="preserve">  </w:t>
            </w:r>
            <w:r>
              <w:rPr>
                <w:rFonts w:hint="eastAsia" w:ascii="宋体" w:hAnsi="宋体"/>
                <w:sz w:val="21"/>
                <w:szCs w:val="21"/>
              </w:rPr>
              <w:t>涌</w:t>
            </w:r>
            <w:r>
              <w:rPr>
                <w:rFonts w:ascii="宋体" w:hAnsi="宋体"/>
                <w:sz w:val="21"/>
                <w:szCs w:val="21"/>
              </w:rPr>
              <w:t xml:space="preserve">  </w:t>
            </w:r>
            <w:r>
              <w:rPr>
                <w:rFonts w:hint="eastAsia" w:ascii="宋体" w:hAnsi="宋体"/>
                <w:sz w:val="21"/>
                <w:szCs w:val="21"/>
              </w:rPr>
              <w:t>型</w:t>
            </w:r>
          </w:p>
        </w:tc>
      </w:tr>
      <w:tr>
        <w:tblPrEx>
          <w:tblCellMar>
            <w:top w:w="0" w:type="dxa"/>
            <w:left w:w="0" w:type="dxa"/>
            <w:bottom w:w="0" w:type="dxa"/>
            <w:right w:w="0" w:type="dxa"/>
          </w:tblCellMar>
        </w:tblPrEx>
        <w:trPr>
          <w:cantSplit/>
          <w:trHeight w:val="479" w:hRule="atLeast"/>
          <w:jc w:val="center"/>
        </w:trPr>
        <w:tc>
          <w:tcPr>
            <w:tcW w:w="1297" w:type="dxa"/>
            <w:vMerge w:val="continue"/>
            <w:tcBorders>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宋体" w:hAnsi="宋体"/>
                <w:sz w:val="21"/>
                <w:szCs w:val="21"/>
              </w:rPr>
              <w:t>C</w:t>
            </w:r>
            <w:r>
              <w:rPr>
                <w:rFonts w:ascii="宋体" w:hAnsi="宋体"/>
                <w:sz w:val="21"/>
                <w:szCs w:val="21"/>
                <w:vertAlign w:val="subscript"/>
              </w:rPr>
              <w:t>u</w:t>
            </w:r>
            <w:r>
              <w:rPr>
                <w:rFonts w:hint="eastAsia" w:ascii="宋体" w:hAnsi="宋体"/>
                <w:sz w:val="21"/>
                <w:szCs w:val="21"/>
              </w:rPr>
              <w:t>≤</w:t>
            </w:r>
            <w:r>
              <w:rPr>
                <w:rFonts w:ascii="Times New Roman" w:hAnsi="Times New Roman"/>
                <w:sz w:val="21"/>
                <w:szCs w:val="21"/>
              </w:rPr>
              <w:t>3</w:t>
            </w: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Times New Roman" w:hAnsi="Times New Roman"/>
                <w:sz w:val="21"/>
                <w:szCs w:val="21"/>
              </w:rPr>
              <w:t>3</w:t>
            </w:r>
            <w:r>
              <w:rPr>
                <w:rFonts w:ascii="宋体" w:hAnsi="宋体"/>
                <w:sz w:val="21"/>
                <w:szCs w:val="21"/>
              </w:rPr>
              <w:t>&lt; C</w:t>
            </w:r>
            <w:r>
              <w:rPr>
                <w:rFonts w:ascii="宋体" w:hAnsi="宋体"/>
                <w:sz w:val="21"/>
                <w:szCs w:val="21"/>
                <w:vertAlign w:val="subscript"/>
              </w:rPr>
              <w:t>u</w:t>
            </w:r>
            <w:r>
              <w:rPr>
                <w:rFonts w:hint="eastAsia" w:ascii="宋体" w:hAnsi="宋体"/>
                <w:sz w:val="21"/>
                <w:szCs w:val="21"/>
              </w:rPr>
              <w:t>≤</w:t>
            </w:r>
            <w:r>
              <w:rPr>
                <w:rFonts w:ascii="Times New Roman" w:hAnsi="Times New Roman"/>
                <w:sz w:val="21"/>
                <w:szCs w:val="21"/>
              </w:rPr>
              <w:t>5</w:t>
            </w:r>
          </w:p>
        </w:tc>
        <w:tc>
          <w:tcPr>
            <w:tcW w:w="1300"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宋体" w:hAnsi="宋体"/>
                <w:sz w:val="21"/>
                <w:szCs w:val="21"/>
              </w:rPr>
              <w:t>C</w:t>
            </w:r>
            <w:r>
              <w:rPr>
                <w:rFonts w:ascii="宋体" w:hAnsi="宋体"/>
                <w:sz w:val="21"/>
                <w:szCs w:val="21"/>
                <w:vertAlign w:val="subscript"/>
              </w:rPr>
              <w:t>u</w:t>
            </w:r>
            <w:r>
              <w:rPr>
                <w:rFonts w:hint="eastAsia" w:ascii="宋体" w:hAnsi="宋体"/>
                <w:sz w:val="21"/>
                <w:szCs w:val="21"/>
              </w:rPr>
              <w:t>≥</w:t>
            </w:r>
            <w:r>
              <w:rPr>
                <w:rFonts w:ascii="Times New Roman" w:hAnsi="Times New Roman"/>
                <w:sz w:val="21"/>
                <w:szCs w:val="21"/>
              </w:rPr>
              <w:t>5</w:t>
            </w:r>
          </w:p>
        </w:tc>
        <w:tc>
          <w:tcPr>
            <w:tcW w:w="1297" w:type="dxa"/>
            <w:vMerge w:val="continue"/>
            <w:tcBorders>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cs="宋体"/>
                <w:sz w:val="21"/>
                <w:szCs w:val="21"/>
              </w:rPr>
              <w:t>级</w:t>
            </w:r>
            <w:r>
              <w:rPr>
                <w:rFonts w:hint="eastAsia" w:ascii="宋体" w:hAnsi="宋体"/>
                <w:sz w:val="21"/>
                <w:szCs w:val="21"/>
              </w:rPr>
              <w:t>配</w:t>
            </w:r>
            <w:r>
              <w:rPr>
                <w:rFonts w:hint="eastAsia" w:ascii="宋体" w:hAnsi="宋体" w:cs="宋体"/>
                <w:sz w:val="21"/>
                <w:szCs w:val="21"/>
              </w:rPr>
              <w:t>连续</w:t>
            </w:r>
          </w:p>
        </w:tc>
        <w:tc>
          <w:tcPr>
            <w:tcW w:w="1301"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hint="eastAsia" w:ascii="宋体" w:hAnsi="宋体" w:cs="宋体"/>
                <w:sz w:val="21"/>
                <w:szCs w:val="21"/>
              </w:rPr>
              <w:t>级</w:t>
            </w:r>
            <w:r>
              <w:rPr>
                <w:rFonts w:hint="eastAsia" w:ascii="宋体" w:hAnsi="宋体"/>
                <w:sz w:val="21"/>
                <w:szCs w:val="21"/>
              </w:rPr>
              <w:t>配不</w:t>
            </w:r>
            <w:r>
              <w:rPr>
                <w:rFonts w:hint="eastAsia" w:ascii="宋体" w:hAnsi="宋体" w:cs="宋体"/>
                <w:sz w:val="21"/>
                <w:szCs w:val="21"/>
              </w:rPr>
              <w:t>连续</w:t>
            </w:r>
          </w:p>
        </w:tc>
      </w:tr>
      <w:tr>
        <w:tblPrEx>
          <w:tblCellMar>
            <w:top w:w="0" w:type="dxa"/>
            <w:left w:w="0" w:type="dxa"/>
            <w:bottom w:w="0" w:type="dxa"/>
            <w:right w:w="0" w:type="dxa"/>
          </w:tblCellMar>
        </w:tblPrEx>
        <w:trPr>
          <w:trHeight w:val="479" w:hRule="atLeast"/>
          <w:jc w:val="center"/>
        </w:trPr>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宋体" w:hAnsi="宋体"/>
                <w:sz w:val="21"/>
                <w:szCs w:val="21"/>
              </w:rPr>
              <w:t>J</w:t>
            </w:r>
            <w:r>
              <w:rPr>
                <w:rFonts w:hint="eastAsia" w:ascii="宋体" w:hAnsi="宋体"/>
                <w:sz w:val="21"/>
                <w:szCs w:val="21"/>
                <w:vertAlign w:val="subscript"/>
              </w:rPr>
              <w:t>允</w:t>
            </w:r>
            <w:r>
              <w:rPr>
                <w:rFonts w:hint="eastAsia" w:ascii="宋体" w:hAnsi="宋体" w:cs="宋体"/>
                <w:sz w:val="21"/>
                <w:szCs w:val="21"/>
                <w:vertAlign w:val="subscript"/>
              </w:rPr>
              <w:t>许</w:t>
            </w: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Times New Roman" w:hAnsi="Times New Roman"/>
                <w:sz w:val="21"/>
                <w:szCs w:val="21"/>
              </w:rPr>
              <w:t>0</w:t>
            </w:r>
            <w:r>
              <w:rPr>
                <w:rFonts w:ascii="宋体" w:hAnsi="宋体"/>
                <w:sz w:val="21"/>
                <w:szCs w:val="21"/>
              </w:rPr>
              <w:t>.</w:t>
            </w:r>
            <w:r>
              <w:rPr>
                <w:rFonts w:ascii="Times New Roman" w:hAnsi="Times New Roman"/>
                <w:sz w:val="21"/>
                <w:szCs w:val="21"/>
              </w:rPr>
              <w:t>25</w:t>
            </w:r>
            <w:r>
              <w:rPr>
                <w:rFonts w:hint="eastAsia" w:ascii="宋体" w:hAnsi="宋体"/>
                <w:sz w:val="21"/>
                <w:szCs w:val="21"/>
              </w:rPr>
              <w:t>～</w:t>
            </w:r>
            <w:r>
              <w:rPr>
                <w:rFonts w:ascii="Times New Roman" w:hAnsi="Times New Roman"/>
                <w:sz w:val="21"/>
                <w:szCs w:val="21"/>
              </w:rPr>
              <w:t>0</w:t>
            </w:r>
            <w:r>
              <w:rPr>
                <w:rFonts w:ascii="宋体" w:hAnsi="宋体"/>
                <w:sz w:val="21"/>
                <w:szCs w:val="21"/>
              </w:rPr>
              <w:t>.</w:t>
            </w:r>
            <w:r>
              <w:rPr>
                <w:rFonts w:ascii="Times New Roman" w:hAnsi="Times New Roman"/>
                <w:sz w:val="21"/>
                <w:szCs w:val="21"/>
              </w:rPr>
              <w:t>35</w:t>
            </w: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Times New Roman" w:hAnsi="Times New Roman"/>
                <w:sz w:val="21"/>
                <w:szCs w:val="21"/>
              </w:rPr>
              <w:t>0</w:t>
            </w:r>
            <w:r>
              <w:rPr>
                <w:rFonts w:ascii="宋体" w:hAnsi="宋体"/>
                <w:sz w:val="21"/>
                <w:szCs w:val="21"/>
              </w:rPr>
              <w:t>.</w:t>
            </w:r>
            <w:r>
              <w:rPr>
                <w:rFonts w:ascii="Times New Roman" w:hAnsi="Times New Roman"/>
                <w:sz w:val="21"/>
                <w:szCs w:val="21"/>
              </w:rPr>
              <w:t>35</w:t>
            </w:r>
            <w:r>
              <w:rPr>
                <w:rFonts w:hint="eastAsia" w:ascii="宋体" w:hAnsi="宋体"/>
                <w:sz w:val="21"/>
                <w:szCs w:val="21"/>
              </w:rPr>
              <w:t>～</w:t>
            </w:r>
            <w:r>
              <w:rPr>
                <w:rFonts w:ascii="Times New Roman" w:hAnsi="Times New Roman"/>
                <w:sz w:val="21"/>
                <w:szCs w:val="21"/>
              </w:rPr>
              <w:t>0</w:t>
            </w:r>
            <w:r>
              <w:rPr>
                <w:rFonts w:ascii="宋体" w:hAnsi="宋体"/>
                <w:sz w:val="21"/>
                <w:szCs w:val="21"/>
              </w:rPr>
              <w:t>.</w:t>
            </w:r>
            <w:r>
              <w:rPr>
                <w:rFonts w:ascii="Times New Roman" w:hAnsi="Times New Roman"/>
                <w:sz w:val="21"/>
                <w:szCs w:val="21"/>
              </w:rPr>
              <w:t>50</w:t>
            </w:r>
          </w:p>
        </w:tc>
        <w:tc>
          <w:tcPr>
            <w:tcW w:w="1300"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宋体" w:hAnsi="宋体"/>
                <w:sz w:val="21"/>
                <w:szCs w:val="21"/>
              </w:rPr>
              <w:t>O.</w:t>
            </w:r>
            <w:r>
              <w:rPr>
                <w:rFonts w:ascii="Times New Roman" w:hAnsi="Times New Roman"/>
                <w:sz w:val="21"/>
                <w:szCs w:val="21"/>
              </w:rPr>
              <w:t>50</w:t>
            </w:r>
            <w:r>
              <w:rPr>
                <w:rFonts w:hint="eastAsia" w:ascii="宋体" w:hAnsi="宋体"/>
                <w:sz w:val="21"/>
                <w:szCs w:val="21"/>
              </w:rPr>
              <w:t>～</w:t>
            </w:r>
            <w:r>
              <w:rPr>
                <w:rFonts w:ascii="Times New Roman" w:hAnsi="Times New Roman"/>
                <w:sz w:val="21"/>
                <w:szCs w:val="21"/>
              </w:rPr>
              <w:t>0</w:t>
            </w:r>
            <w:r>
              <w:rPr>
                <w:rFonts w:ascii="宋体" w:hAnsi="宋体"/>
                <w:sz w:val="21"/>
                <w:szCs w:val="21"/>
              </w:rPr>
              <w:t>.</w:t>
            </w:r>
            <w:r>
              <w:rPr>
                <w:rFonts w:ascii="Times New Roman" w:hAnsi="Times New Roman"/>
                <w:sz w:val="21"/>
                <w:szCs w:val="21"/>
              </w:rPr>
              <w:t>80</w:t>
            </w: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宋体" w:hAnsi="宋体"/>
                <w:sz w:val="21"/>
                <w:szCs w:val="21"/>
              </w:rPr>
              <w:t>O.</w:t>
            </w:r>
            <w:r>
              <w:rPr>
                <w:rFonts w:ascii="Times New Roman" w:hAnsi="Times New Roman"/>
                <w:sz w:val="21"/>
                <w:szCs w:val="21"/>
              </w:rPr>
              <w:t>25</w:t>
            </w:r>
            <w:r>
              <w:rPr>
                <w:rFonts w:ascii="宋体" w:hAnsi="宋体"/>
                <w:sz w:val="21"/>
                <w:szCs w:val="21"/>
              </w:rPr>
              <w:t xml:space="preserve"> </w:t>
            </w:r>
            <w:r>
              <w:rPr>
                <w:rFonts w:hint="eastAsia" w:ascii="宋体" w:hAnsi="宋体"/>
                <w:sz w:val="21"/>
                <w:szCs w:val="21"/>
              </w:rPr>
              <w:t>～</w:t>
            </w:r>
            <w:r>
              <w:rPr>
                <w:rFonts w:ascii="Times New Roman" w:hAnsi="Times New Roman"/>
                <w:sz w:val="21"/>
                <w:szCs w:val="21"/>
              </w:rPr>
              <w:t>0</w:t>
            </w:r>
            <w:r>
              <w:rPr>
                <w:rFonts w:hint="eastAsia" w:ascii="宋体" w:hAnsi="宋体"/>
                <w:sz w:val="21"/>
                <w:szCs w:val="21"/>
              </w:rPr>
              <w:t>.</w:t>
            </w:r>
            <w:r>
              <w:rPr>
                <w:rFonts w:ascii="Times New Roman" w:hAnsi="Times New Roman"/>
                <w:sz w:val="21"/>
                <w:szCs w:val="21"/>
              </w:rPr>
              <w:t>10</w:t>
            </w:r>
          </w:p>
        </w:tc>
        <w:tc>
          <w:tcPr>
            <w:tcW w:w="1297"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宋体" w:hAnsi="宋体"/>
                <w:sz w:val="21"/>
                <w:szCs w:val="21"/>
              </w:rPr>
              <w:t>O.</w:t>
            </w:r>
            <w:r>
              <w:rPr>
                <w:rFonts w:ascii="Times New Roman" w:hAnsi="Times New Roman"/>
                <w:sz w:val="21"/>
                <w:szCs w:val="21"/>
              </w:rPr>
              <w:t>15</w:t>
            </w:r>
            <w:r>
              <w:rPr>
                <w:rFonts w:hint="eastAsia" w:ascii="宋体" w:hAnsi="宋体"/>
                <w:sz w:val="21"/>
                <w:szCs w:val="21"/>
              </w:rPr>
              <w:t>～</w:t>
            </w:r>
            <w:r>
              <w:rPr>
                <w:rFonts w:ascii="Times New Roman" w:hAnsi="Times New Roman"/>
                <w:sz w:val="21"/>
                <w:szCs w:val="21"/>
              </w:rPr>
              <w:t>0</w:t>
            </w:r>
            <w:r>
              <w:rPr>
                <w:rFonts w:ascii="宋体" w:hAnsi="宋体"/>
                <w:sz w:val="21"/>
                <w:szCs w:val="21"/>
              </w:rPr>
              <w:t>.</w:t>
            </w:r>
            <w:r>
              <w:rPr>
                <w:rFonts w:ascii="Times New Roman" w:hAnsi="Times New Roman"/>
                <w:sz w:val="21"/>
                <w:szCs w:val="21"/>
              </w:rPr>
              <w:t>25</w:t>
            </w:r>
          </w:p>
        </w:tc>
        <w:tc>
          <w:tcPr>
            <w:tcW w:w="1301" w:type="dxa"/>
            <w:tcBorders>
              <w:top w:val="single" w:color="auto" w:sz="8" w:space="0"/>
              <w:left w:val="single" w:color="auto" w:sz="8" w:space="0"/>
              <w:bottom w:val="single" w:color="auto" w:sz="8" w:space="0"/>
              <w:right w:val="single" w:color="auto" w:sz="8" w:space="0"/>
            </w:tcBorders>
            <w:vAlign w:val="center"/>
          </w:tcPr>
          <w:p>
            <w:pPr>
              <w:widowControl w:val="0"/>
              <w:jc w:val="center"/>
              <w:rPr>
                <w:rFonts w:ascii="宋体" w:hAnsi="宋体"/>
                <w:sz w:val="21"/>
                <w:szCs w:val="21"/>
              </w:rPr>
            </w:pPr>
            <w:r>
              <w:rPr>
                <w:rFonts w:ascii="Times New Roman" w:hAnsi="Times New Roman"/>
                <w:sz w:val="21"/>
                <w:szCs w:val="21"/>
              </w:rPr>
              <w:t>0</w:t>
            </w:r>
            <w:r>
              <w:rPr>
                <w:rFonts w:ascii="宋体" w:hAnsi="宋体"/>
                <w:sz w:val="21"/>
                <w:szCs w:val="21"/>
              </w:rPr>
              <w:t>.</w:t>
            </w:r>
            <w:r>
              <w:rPr>
                <w:rFonts w:ascii="Times New Roman" w:hAnsi="Times New Roman"/>
                <w:sz w:val="21"/>
                <w:szCs w:val="21"/>
              </w:rPr>
              <w:t>10</w:t>
            </w:r>
            <w:r>
              <w:rPr>
                <w:rFonts w:ascii="宋体" w:hAnsi="宋体"/>
                <w:sz w:val="21"/>
                <w:szCs w:val="21"/>
              </w:rPr>
              <w:t xml:space="preserve"> </w:t>
            </w:r>
            <w:r>
              <w:rPr>
                <w:rFonts w:hint="eastAsia" w:ascii="宋体" w:hAnsi="宋体"/>
                <w:sz w:val="21"/>
                <w:szCs w:val="21"/>
              </w:rPr>
              <w:t>～</w:t>
            </w:r>
            <w:r>
              <w:rPr>
                <w:rFonts w:ascii="Times New Roman" w:hAnsi="Times New Roman"/>
                <w:sz w:val="21"/>
                <w:szCs w:val="21"/>
              </w:rPr>
              <w:t>0</w:t>
            </w:r>
            <w:r>
              <w:rPr>
                <w:rFonts w:ascii="宋体" w:hAnsi="宋体"/>
                <w:sz w:val="21"/>
                <w:szCs w:val="21"/>
              </w:rPr>
              <w:t>.</w:t>
            </w:r>
            <w:r>
              <w:rPr>
                <w:rFonts w:ascii="Times New Roman" w:hAnsi="Times New Roman"/>
                <w:sz w:val="21"/>
                <w:szCs w:val="21"/>
              </w:rPr>
              <w:t>20</w:t>
            </w:r>
          </w:p>
        </w:tc>
      </w:tr>
    </w:tbl>
    <w:p>
      <w:pPr>
        <w:widowControl w:val="0"/>
        <w:ind w:firstLine="525" w:firstLineChars="250"/>
        <w:rPr>
          <w:rFonts w:ascii="宋体" w:hAnsi="宋体"/>
          <w:sz w:val="21"/>
          <w:szCs w:val="21"/>
        </w:rPr>
      </w:pPr>
      <w:r>
        <w:rPr>
          <w:rFonts w:hint="eastAsia" w:ascii="宋体" w:hAnsi="宋体"/>
          <w:sz w:val="21"/>
          <w:szCs w:val="21"/>
        </w:rPr>
        <w:t>注：本表不适用于</w:t>
      </w:r>
      <w:r>
        <w:rPr>
          <w:rFonts w:hint="eastAsia" w:ascii="宋体" w:hAnsi="宋体" w:cs="宋体"/>
          <w:sz w:val="21"/>
          <w:szCs w:val="21"/>
        </w:rPr>
        <w:t>渗</w:t>
      </w:r>
      <w:r>
        <w:rPr>
          <w:rFonts w:hint="eastAsia" w:ascii="宋体" w:hAnsi="宋体"/>
          <w:sz w:val="21"/>
          <w:szCs w:val="21"/>
        </w:rPr>
        <w:t>流出口有反</w:t>
      </w:r>
      <w:r>
        <w:rPr>
          <w:rFonts w:hint="eastAsia" w:ascii="宋体" w:hAnsi="宋体" w:cs="宋体"/>
          <w:sz w:val="21"/>
          <w:szCs w:val="21"/>
        </w:rPr>
        <w:t>滤层</w:t>
      </w:r>
      <w:r>
        <w:rPr>
          <w:rFonts w:hint="eastAsia" w:ascii="宋体" w:hAnsi="宋体"/>
          <w:sz w:val="21"/>
          <w:szCs w:val="21"/>
        </w:rPr>
        <w:t>情况。若有反</w:t>
      </w:r>
      <w:r>
        <w:rPr>
          <w:rFonts w:hint="eastAsia" w:ascii="宋体" w:hAnsi="宋体" w:cs="宋体"/>
          <w:sz w:val="21"/>
          <w:szCs w:val="21"/>
        </w:rPr>
        <w:t>滤层</w:t>
      </w:r>
      <w:r>
        <w:rPr>
          <w:rFonts w:hint="eastAsia" w:ascii="宋体" w:hAnsi="宋体"/>
          <w:sz w:val="21"/>
          <w:szCs w:val="21"/>
        </w:rPr>
        <w:t>作保</w:t>
      </w:r>
      <w:r>
        <w:rPr>
          <w:rFonts w:hint="eastAsia" w:ascii="宋体" w:hAnsi="宋体" w:cs="宋体"/>
          <w:sz w:val="21"/>
          <w:szCs w:val="21"/>
        </w:rPr>
        <w:t>护</w:t>
      </w:r>
      <w:r>
        <w:rPr>
          <w:rFonts w:hint="eastAsia" w:ascii="宋体" w:hAnsi="宋体"/>
          <w:sz w:val="21"/>
          <w:szCs w:val="21"/>
        </w:rPr>
        <w:t>，</w:t>
      </w:r>
      <w:r>
        <w:rPr>
          <w:rFonts w:hint="eastAsia" w:ascii="宋体" w:hAnsi="宋体" w:cs="宋体"/>
          <w:sz w:val="21"/>
          <w:szCs w:val="21"/>
        </w:rPr>
        <w:t>则</w:t>
      </w:r>
      <w:r>
        <w:rPr>
          <w:rFonts w:hint="eastAsia" w:ascii="宋体" w:hAnsi="宋体"/>
          <w:sz w:val="21"/>
          <w:szCs w:val="21"/>
        </w:rPr>
        <w:t>可提高</w:t>
      </w:r>
      <w:r>
        <w:rPr>
          <w:rFonts w:ascii="Times New Roman" w:hAnsi="Times New Roman"/>
          <w:sz w:val="21"/>
          <w:szCs w:val="21"/>
        </w:rPr>
        <w:t>2</w:t>
      </w:r>
      <w:r>
        <w:rPr>
          <w:rFonts w:hint="eastAsia" w:ascii="宋体" w:hAnsi="宋体"/>
          <w:sz w:val="21"/>
          <w:szCs w:val="21"/>
        </w:rPr>
        <w:t>～</w:t>
      </w:r>
      <w:r>
        <w:rPr>
          <w:rFonts w:ascii="Times New Roman" w:hAnsi="Times New Roman"/>
          <w:sz w:val="21"/>
          <w:szCs w:val="21"/>
        </w:rPr>
        <w:t>3</w:t>
      </w:r>
      <w:r>
        <w:rPr>
          <w:rFonts w:hint="eastAsia" w:ascii="宋体" w:hAnsi="宋体"/>
          <w:sz w:val="21"/>
          <w:szCs w:val="21"/>
        </w:rPr>
        <w:t>倍。</w:t>
      </w:r>
    </w:p>
    <w:p>
      <w:pPr>
        <w:widowControl w:val="0"/>
        <w:spacing w:line="480" w:lineRule="exact"/>
        <w:rPr>
          <w:rFonts w:ascii="宋体" w:hAnsi="宋体"/>
          <w:szCs w:val="24"/>
        </w:rPr>
      </w:pPr>
      <w:r>
        <w:rPr>
          <w:rFonts w:hint="eastAsia" w:ascii="Times New Roman" w:hAnsi="Times New Roman"/>
          <w:b/>
          <w:szCs w:val="24"/>
        </w:rPr>
        <w:t>C</w:t>
      </w:r>
      <w:r>
        <w:rPr>
          <w:rFonts w:ascii="Times New Roman" w:hAnsi="Times New Roman"/>
          <w:b/>
          <w:szCs w:val="24"/>
        </w:rPr>
        <w:t>.0.5</w:t>
      </w:r>
      <w:r>
        <w:rPr>
          <w:rFonts w:hint="eastAsia" w:ascii="宋体" w:hAnsi="宋体"/>
          <w:b/>
          <w:szCs w:val="24"/>
        </w:rPr>
        <w:t xml:space="preserve"> </w:t>
      </w:r>
      <w:r>
        <w:rPr>
          <w:rFonts w:hint="eastAsia" w:ascii="宋体" w:hAnsi="宋体"/>
          <w:szCs w:val="24"/>
        </w:rPr>
        <w:t>两层土之间的接触冲刷临界水力比降</w:t>
      </w:r>
      <w:r>
        <w:rPr>
          <w:rFonts w:ascii="宋体" w:hAnsi="宋体"/>
          <w:position w:val="-14"/>
          <w:szCs w:val="24"/>
        </w:rPr>
        <w:drawing>
          <wp:inline distT="0" distB="0" distL="0" distR="0">
            <wp:extent cx="381000" cy="243840"/>
            <wp:effectExtent l="0" t="0" r="0" b="0"/>
            <wp:docPr id="499" name="图片 4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true" noChangeArrowheads="true"/>
                    </pic:cNvPicPr>
                  </pic:nvPicPr>
                  <pic:blipFill>
                    <a:blip r:embed="rId718" cstate="print">
                      <a:extLst>
                        <a:ext uri="{28A0092B-C50C-407E-A947-70E740481C1C}">
                          <a14:useLocalDpi xmlns:a14="http://schemas.microsoft.com/office/drawing/2010/main" val="false"/>
                        </a:ext>
                      </a:extLst>
                    </a:blip>
                    <a:srcRect/>
                    <a:stretch>
                      <a:fillRect/>
                    </a:stretch>
                  </pic:blipFill>
                  <pic:spPr>
                    <a:xfrm>
                      <a:off x="0" y="0"/>
                      <a:ext cx="381000" cy="243840"/>
                    </a:xfrm>
                    <a:prstGeom prst="rect">
                      <a:avLst/>
                    </a:prstGeom>
                    <a:noFill/>
                    <a:ln>
                      <a:noFill/>
                    </a:ln>
                  </pic:spPr>
                </pic:pic>
              </a:graphicData>
            </a:graphic>
          </wp:inline>
        </w:drawing>
      </w:r>
      <w:r>
        <w:rPr>
          <w:rFonts w:hint="eastAsia" w:ascii="宋体" w:hAnsi="宋体"/>
          <w:szCs w:val="24"/>
        </w:rPr>
        <w:t>可按下式计算：</w:t>
      </w:r>
    </w:p>
    <w:p>
      <w:pPr>
        <w:widowControl w:val="0"/>
        <w:spacing w:line="480" w:lineRule="exact"/>
        <w:rPr>
          <w:rFonts w:ascii="宋体" w:hAnsi="宋体"/>
          <w:szCs w:val="24"/>
        </w:rPr>
      </w:pPr>
      <w:r>
        <w:rPr>
          <w:rFonts w:ascii="宋体" w:hAnsi="宋体"/>
          <w:szCs w:val="24"/>
        </w:rPr>
        <w:t xml:space="preserve">    </w:t>
      </w:r>
      <w:r>
        <w:rPr>
          <w:rFonts w:hint="eastAsia" w:ascii="宋体" w:hAnsi="宋体"/>
          <w:szCs w:val="24"/>
        </w:rPr>
        <w:t>如果两</w:t>
      </w:r>
      <w:r>
        <w:rPr>
          <w:rFonts w:hint="eastAsia" w:ascii="宋体" w:hAnsi="宋体" w:cs="宋体"/>
          <w:szCs w:val="24"/>
        </w:rPr>
        <w:t>层</w:t>
      </w:r>
      <w:r>
        <w:rPr>
          <w:rFonts w:hint="eastAsia" w:ascii="宋体" w:hAnsi="宋体"/>
          <w:szCs w:val="24"/>
        </w:rPr>
        <w:t>土都是非管涌型土，</w:t>
      </w:r>
      <w:r>
        <w:rPr>
          <w:rFonts w:hint="eastAsia" w:ascii="宋体" w:hAnsi="宋体" w:cs="宋体"/>
          <w:szCs w:val="24"/>
        </w:rPr>
        <w:t>则</w:t>
      </w:r>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tcPr>
          <w:p>
            <w:pPr>
              <w:widowControl w:val="0"/>
              <w:jc w:val="right"/>
              <w:rPr>
                <w:rFonts w:ascii="宋体" w:hAnsi="宋体"/>
                <w:position w:val="-30"/>
                <w:szCs w:val="24"/>
              </w:rPr>
            </w:pPr>
            <w:r>
              <w:rPr>
                <w:rFonts w:ascii="宋体" w:hAnsi="宋体"/>
                <w:position w:val="-30"/>
                <w:szCs w:val="24"/>
              </w:rPr>
              <w:drawing>
                <wp:inline distT="0" distB="0" distL="0" distR="0">
                  <wp:extent cx="1783080" cy="449580"/>
                  <wp:effectExtent l="0" t="0" r="0" b="0"/>
                  <wp:docPr id="500" name="图片 5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true" noChangeArrowheads="true"/>
                          </pic:cNvPicPr>
                        </pic:nvPicPr>
                        <pic:blipFill>
                          <a:blip r:embed="rId719" cstate="print">
                            <a:extLst>
                              <a:ext uri="{28A0092B-C50C-407E-A947-70E740481C1C}">
                                <a14:useLocalDpi xmlns:a14="http://schemas.microsoft.com/office/drawing/2010/main" val="false"/>
                              </a:ext>
                            </a:extLst>
                          </a:blip>
                          <a:srcRect/>
                          <a:stretch>
                            <a:fillRect/>
                          </a:stretch>
                        </pic:blipFill>
                        <pic:spPr>
                          <a:xfrm>
                            <a:off x="0" y="0"/>
                            <a:ext cx="1783080" cy="449580"/>
                          </a:xfrm>
                          <a:prstGeom prst="rect">
                            <a:avLst/>
                          </a:prstGeom>
                          <a:noFill/>
                          <a:ln>
                            <a:noFill/>
                          </a:ln>
                        </pic:spPr>
                      </pic:pic>
                    </a:graphicData>
                  </a:graphic>
                </wp:inline>
              </w:drawing>
            </w:r>
          </w:p>
        </w:tc>
        <w:tc>
          <w:tcPr>
            <w:tcW w:w="4927" w:type="dxa"/>
          </w:tcPr>
          <w:p>
            <w:pPr>
              <w:widowControl w:val="0"/>
              <w:spacing w:line="720" w:lineRule="auto"/>
              <w:jc w:val="right"/>
              <w:rPr>
                <w:rFonts w:ascii="宋体" w:hAnsi="宋体"/>
                <w:position w:val="-30"/>
                <w:szCs w:val="24"/>
              </w:rPr>
            </w:pPr>
            <w:r>
              <w:rPr>
                <w:rFonts w:ascii="宋体" w:hAnsi="宋体"/>
                <w:szCs w:val="24"/>
              </w:rPr>
              <w:t xml:space="preserve">   (</w:t>
            </w:r>
            <w:r>
              <w:rPr>
                <w:rFonts w:hint="eastAsia" w:ascii="宋体" w:hAnsi="宋体"/>
                <w:szCs w:val="24"/>
              </w:rPr>
              <w:t>C</w:t>
            </w:r>
            <w:r>
              <w:rPr>
                <w:rFonts w:ascii="宋体" w:hAnsi="宋体"/>
                <w:szCs w:val="24"/>
              </w:rPr>
              <w:t>.</w:t>
            </w:r>
            <w:r>
              <w:rPr>
                <w:rFonts w:ascii="Times New Roman" w:hAnsi="Times New Roman"/>
                <w:szCs w:val="24"/>
              </w:rPr>
              <w:t>0</w:t>
            </w:r>
            <w:r>
              <w:rPr>
                <w:rFonts w:ascii="宋体" w:hAnsi="宋体"/>
                <w:szCs w:val="24"/>
              </w:rPr>
              <w:t>.</w:t>
            </w:r>
            <w:r>
              <w:rPr>
                <w:rFonts w:hint="eastAsia" w:ascii="Times New Roman" w:hAnsi="Times New Roman"/>
                <w:szCs w:val="24"/>
              </w:rPr>
              <w:t>5</w:t>
            </w:r>
            <w:r>
              <w:rPr>
                <w:rFonts w:ascii="宋体" w:hAnsi="宋体"/>
                <w:szCs w:val="24"/>
              </w:rPr>
              <w:t>)</w:t>
            </w:r>
          </w:p>
        </w:tc>
      </w:tr>
    </w:tbl>
    <w:p>
      <w:pPr>
        <w:widowControl w:val="0"/>
        <w:spacing w:line="480" w:lineRule="exact"/>
        <w:rPr>
          <w:rFonts w:ascii="宋体" w:hAnsi="宋体"/>
          <w:szCs w:val="24"/>
        </w:rPr>
      </w:pPr>
      <w:r>
        <w:rPr>
          <w:rFonts w:hint="eastAsia" w:ascii="宋体" w:hAnsi="宋体"/>
          <w:szCs w:val="24"/>
        </w:rPr>
        <w:t>式中：</w:t>
      </w:r>
      <w:r>
        <w:rPr>
          <w:rFonts w:ascii="宋体" w:hAnsi="宋体"/>
          <w:szCs w:val="24"/>
        </w:rPr>
        <w:t xml:space="preserve"> d</w:t>
      </w:r>
      <w:r>
        <w:rPr>
          <w:rFonts w:ascii="Times New Roman" w:hAnsi="Times New Roman"/>
          <w:szCs w:val="24"/>
          <w:vertAlign w:val="subscript"/>
        </w:rPr>
        <w:t>10</w:t>
      </w:r>
      <w:r>
        <w:rPr>
          <w:rFonts w:ascii="Times New Roman" w:hAnsi="Times New Roman"/>
          <w:szCs w:val="24"/>
        </w:rPr>
        <w:t>——</w:t>
      </w:r>
      <w:r>
        <w:rPr>
          <w:rFonts w:hint="eastAsia" w:ascii="宋体" w:hAnsi="宋体"/>
          <w:szCs w:val="24"/>
        </w:rPr>
        <w:t>代表</w:t>
      </w:r>
      <w:r>
        <w:rPr>
          <w:rFonts w:hint="eastAsia" w:ascii="宋体" w:hAnsi="宋体" w:cs="宋体"/>
          <w:szCs w:val="24"/>
        </w:rPr>
        <w:t>细层</w:t>
      </w:r>
      <w:r>
        <w:rPr>
          <w:rFonts w:hint="eastAsia" w:ascii="宋体" w:hAnsi="宋体"/>
          <w:szCs w:val="24"/>
        </w:rPr>
        <w:t>的粒径</w:t>
      </w:r>
      <w:r>
        <w:rPr>
          <w:rFonts w:ascii="宋体" w:hAnsi="宋体"/>
          <w:szCs w:val="24"/>
        </w:rPr>
        <w:t>(mm)</w:t>
      </w:r>
      <w:r>
        <w:rPr>
          <w:rFonts w:hint="eastAsia" w:ascii="宋体" w:hAnsi="宋体"/>
          <w:szCs w:val="24"/>
        </w:rPr>
        <w:t>，小于</w:t>
      </w:r>
      <w:r>
        <w:rPr>
          <w:rFonts w:hint="eastAsia" w:ascii="宋体" w:hAnsi="宋体" w:cs="宋体"/>
          <w:szCs w:val="24"/>
        </w:rPr>
        <w:t>该</w:t>
      </w:r>
      <w:r>
        <w:rPr>
          <w:rFonts w:hint="eastAsia" w:ascii="宋体" w:hAnsi="宋体"/>
          <w:szCs w:val="24"/>
        </w:rPr>
        <w:t>粒径的土重占</w:t>
      </w:r>
      <w:r>
        <w:rPr>
          <w:rFonts w:hint="eastAsia" w:ascii="宋体" w:hAnsi="宋体" w:cs="宋体"/>
          <w:szCs w:val="24"/>
        </w:rPr>
        <w:t>总</w:t>
      </w:r>
      <w:r>
        <w:rPr>
          <w:rFonts w:hint="eastAsia" w:ascii="宋体" w:hAnsi="宋体"/>
          <w:szCs w:val="24"/>
        </w:rPr>
        <w:t>土重的</w:t>
      </w:r>
      <w:r>
        <w:rPr>
          <w:rFonts w:ascii="Times New Roman" w:hAnsi="Times New Roman"/>
          <w:szCs w:val="24"/>
        </w:rPr>
        <w:t>10</w:t>
      </w:r>
      <w:r>
        <w:rPr>
          <w:rFonts w:ascii="宋体" w:hAnsi="宋体"/>
          <w:szCs w:val="24"/>
        </w:rPr>
        <w:t>%</w:t>
      </w:r>
      <w:r>
        <w:rPr>
          <w:rFonts w:hint="eastAsia" w:ascii="宋体" w:hAnsi="宋体"/>
          <w:szCs w:val="24"/>
        </w:rPr>
        <w:t>；</w:t>
      </w:r>
    </w:p>
    <w:p>
      <w:pPr>
        <w:widowControl w:val="0"/>
      </w:pPr>
      <w:r>
        <w:rPr>
          <w:rFonts w:ascii="宋体" w:hAnsi="宋体"/>
          <w:szCs w:val="24"/>
        </w:rPr>
        <w:t xml:space="preserve">    </w:t>
      </w:r>
      <w:r>
        <w:rPr>
          <w:rFonts w:hint="eastAsia" w:ascii="宋体" w:hAnsi="宋体"/>
          <w:szCs w:val="24"/>
        </w:rPr>
        <w:t xml:space="preserve"> </w:t>
      </w:r>
      <w:r>
        <w:rPr>
          <w:rFonts w:ascii="宋体" w:hAnsi="宋体"/>
          <w:szCs w:val="24"/>
        </w:rPr>
        <w:t xml:space="preserve">  D</w:t>
      </w:r>
      <w:r>
        <w:rPr>
          <w:rFonts w:ascii="Times New Roman" w:hAnsi="Times New Roman"/>
          <w:szCs w:val="24"/>
          <w:vertAlign w:val="subscript"/>
        </w:rPr>
        <w:t>20</w:t>
      </w:r>
      <w:r>
        <w:rPr>
          <w:rFonts w:ascii="Times New Roman" w:hAnsi="Times New Roman"/>
          <w:szCs w:val="24"/>
        </w:rPr>
        <w:t>——</w:t>
      </w:r>
      <w:r>
        <w:rPr>
          <w:rFonts w:hint="eastAsia" w:ascii="宋体" w:hAnsi="宋体"/>
          <w:szCs w:val="24"/>
        </w:rPr>
        <w:t>代表粗</w:t>
      </w:r>
      <w:r>
        <w:rPr>
          <w:rFonts w:hint="eastAsia" w:ascii="宋体" w:hAnsi="宋体" w:cs="宋体"/>
          <w:szCs w:val="24"/>
        </w:rPr>
        <w:t>层</w:t>
      </w:r>
      <w:r>
        <w:rPr>
          <w:rFonts w:hint="eastAsia" w:ascii="宋体" w:hAnsi="宋体"/>
          <w:szCs w:val="24"/>
        </w:rPr>
        <w:t>的粒径</w:t>
      </w:r>
      <w:r>
        <w:rPr>
          <w:rFonts w:ascii="宋体" w:hAnsi="宋体"/>
          <w:szCs w:val="24"/>
        </w:rPr>
        <w:t>( mm)</w:t>
      </w:r>
      <w:r>
        <w:rPr>
          <w:rFonts w:hint="eastAsia" w:ascii="宋体" w:hAnsi="宋体"/>
          <w:szCs w:val="24"/>
        </w:rPr>
        <w:t>，小于</w:t>
      </w:r>
      <w:r>
        <w:rPr>
          <w:rFonts w:hint="eastAsia" w:ascii="宋体" w:hAnsi="宋体" w:cs="宋体"/>
          <w:szCs w:val="24"/>
        </w:rPr>
        <w:t>该</w:t>
      </w:r>
      <w:r>
        <w:rPr>
          <w:rFonts w:hint="eastAsia" w:ascii="宋体" w:hAnsi="宋体"/>
          <w:szCs w:val="24"/>
        </w:rPr>
        <w:t>粒径的土重占</w:t>
      </w:r>
      <w:r>
        <w:rPr>
          <w:rFonts w:hint="eastAsia" w:ascii="宋体" w:hAnsi="宋体" w:cs="宋体"/>
          <w:szCs w:val="24"/>
        </w:rPr>
        <w:t>总</w:t>
      </w:r>
      <w:r>
        <w:rPr>
          <w:rFonts w:hint="eastAsia" w:ascii="宋体" w:hAnsi="宋体"/>
          <w:szCs w:val="24"/>
        </w:rPr>
        <w:t>土重的</w:t>
      </w:r>
      <w:r>
        <w:rPr>
          <w:rFonts w:ascii="Times New Roman" w:hAnsi="Times New Roman"/>
          <w:szCs w:val="24"/>
        </w:rPr>
        <w:t>20</w:t>
      </w:r>
      <w:r>
        <w:rPr>
          <w:rFonts w:ascii="宋体" w:hAnsi="宋体"/>
          <w:szCs w:val="24"/>
        </w:rPr>
        <w:t>%</w:t>
      </w:r>
      <w:r>
        <w:rPr>
          <w:rFonts w:hint="eastAsia" w:ascii="宋体" w:hAnsi="宋体"/>
          <w:szCs w:val="24"/>
        </w:rPr>
        <w:t>。</w:t>
      </w:r>
    </w:p>
    <w:p>
      <w:pPr>
        <w:widowControl w:val="0"/>
        <w:tabs>
          <w:tab w:val="left" w:pos="658"/>
          <w:tab w:val="left" w:pos="1078"/>
          <w:tab w:val="left" w:pos="1274"/>
          <w:tab w:val="left" w:pos="1620"/>
          <w:tab w:val="left" w:pos="2520"/>
          <w:tab w:val="left" w:pos="4680"/>
          <w:tab w:val="left" w:pos="7020"/>
        </w:tabs>
        <w:spacing w:line="480" w:lineRule="exact"/>
        <w:ind w:firstLine="480" w:firstLineChars="200"/>
        <w:rPr>
          <w:rFonts w:ascii="Times New Roman" w:hAnsi="Times New Roman"/>
          <w:szCs w:val="24"/>
        </w:rPr>
      </w:pPr>
    </w:p>
    <w:p>
      <w:pPr>
        <w:jc w:val="left"/>
        <w:rPr>
          <w:rFonts w:ascii="Times New Roman" w:hAnsi="Times New Roman"/>
          <w:szCs w:val="24"/>
        </w:rPr>
      </w:pPr>
      <w:r>
        <w:rPr>
          <w:rFonts w:ascii="Times New Roman" w:hAnsi="Times New Roman"/>
          <w:szCs w:val="24"/>
        </w:rPr>
        <w:br w:type="page"/>
      </w:r>
    </w:p>
    <w:p>
      <w:pPr>
        <w:pStyle w:val="2"/>
        <w:bidi w:val="0"/>
        <w:rPr>
          <w:color w:val="auto"/>
          <w:sz w:val="36"/>
          <w:szCs w:val="36"/>
        </w:rPr>
      </w:pPr>
      <w:bookmarkStart w:id="998" w:name="_Toc8086"/>
      <w:bookmarkStart w:id="999" w:name="_Toc13759"/>
      <w:bookmarkStart w:id="1000" w:name="_Toc13233"/>
      <w:r>
        <w:rPr>
          <w:rFonts w:hint="eastAsia"/>
          <w:color w:val="auto"/>
          <w:sz w:val="36"/>
          <w:szCs w:val="36"/>
        </w:rPr>
        <w:t>附录D  井水位降深预测</w:t>
      </w:r>
      <w:bookmarkEnd w:id="998"/>
      <w:bookmarkEnd w:id="999"/>
      <w:bookmarkEnd w:id="1000"/>
    </w:p>
    <w:p>
      <w:pPr>
        <w:spacing w:line="480" w:lineRule="exact"/>
        <w:rPr>
          <w:rFonts w:ascii="Times New Roman" w:hAnsi="Times New Roman" w:cs="宋体"/>
          <w:lang w:bidi="ar"/>
        </w:rPr>
      </w:pPr>
      <w:r>
        <w:rPr>
          <w:rFonts w:hint="eastAsia" w:ascii="Times New Roman" w:hAnsi="Times New Roman" w:cs="宋体"/>
          <w:b/>
          <w:bCs/>
          <w:szCs w:val="24"/>
          <w:lang w:bidi="ar"/>
        </w:rPr>
        <w:t>D.0.1</w:t>
      </w:r>
      <w:r>
        <w:rPr>
          <w:rFonts w:ascii="Times New Roman" w:hAnsi="Times New Roman" w:cs="宋体"/>
          <w:b/>
          <w:bCs/>
          <w:szCs w:val="24"/>
          <w:lang w:bidi="ar"/>
        </w:rPr>
        <w:t xml:space="preserve"> </w:t>
      </w:r>
      <w:r>
        <w:rPr>
          <w:rFonts w:hint="eastAsia" w:ascii="Times New Roman" w:hAnsi="Times New Roman" w:cs="宋体"/>
          <w:szCs w:val="24"/>
          <w:lang w:bidi="ar"/>
        </w:rPr>
        <w:t>降水设计应对基坑范围内地下水位进行验算，对基坑外影响区域内的地下水位进行预估，计算时应符合下列要求：</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1  </w:t>
      </w:r>
      <w:r>
        <w:rPr>
          <w:rFonts w:hint="eastAsia" w:ascii="Times New Roman" w:hAnsi="Times New Roman" w:cs="宋体"/>
          <w:szCs w:val="24"/>
          <w:lang w:bidi="ar"/>
        </w:rPr>
        <w:t>对于截水帷幕已完全隔断的含水层基坑内排水可不做降水水位验算及预测，对减压含水层应进行水位预测；</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2  </w:t>
      </w:r>
      <w:r>
        <w:rPr>
          <w:rFonts w:hint="eastAsia" w:ascii="Times New Roman" w:hAnsi="Times New Roman" w:cs="宋体"/>
          <w:szCs w:val="24"/>
          <w:lang w:val="en-US" w:eastAsia="zh-CN" w:bidi="ar"/>
        </w:rPr>
        <w:t>当水文地质条件复杂、水位降深较大或相邻建筑物较近时，</w:t>
      </w:r>
      <w:r>
        <w:rPr>
          <w:rFonts w:hint="eastAsia" w:ascii="Times New Roman" w:hAnsi="Times New Roman" w:cs="宋体"/>
          <w:szCs w:val="24"/>
          <w:lang w:bidi="ar"/>
        </w:rPr>
        <w:t>降水工程宜采用地下水流解析法计算基坑内及降水影响区各点水位或建立地下水模型通过数值模拟方法进行水位计算；</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3  </w:t>
      </w:r>
      <w:r>
        <w:rPr>
          <w:rFonts w:hint="eastAsia" w:ascii="Times New Roman" w:hAnsi="Times New Roman" w:cs="宋体"/>
          <w:szCs w:val="24"/>
          <w:lang w:bidi="ar"/>
        </w:rPr>
        <w:t>在水位预测计算过程中，应考虑井周截水帷幕三维流、紊流的附加水头影响。</w:t>
      </w:r>
    </w:p>
    <w:p>
      <w:pPr>
        <w:spacing w:line="480" w:lineRule="exact"/>
        <w:rPr>
          <w:rFonts w:ascii="Times New Roman" w:hAnsi="Times New Roman" w:cs="宋体"/>
          <w:lang w:bidi="ar"/>
        </w:rPr>
      </w:pPr>
      <w:r>
        <w:rPr>
          <w:rFonts w:hint="eastAsia" w:ascii="Times New Roman" w:hAnsi="Times New Roman" w:cs="宋体"/>
          <w:b/>
          <w:bCs/>
          <w:szCs w:val="24"/>
          <w:lang w:bidi="ar"/>
        </w:rPr>
        <w:t>D.0.2</w:t>
      </w:r>
      <w:r>
        <w:rPr>
          <w:rFonts w:ascii="Times New Roman" w:hAnsi="Times New Roman" w:cs="宋体"/>
          <w:szCs w:val="24"/>
          <w:lang w:bidi="ar"/>
        </w:rPr>
        <w:t xml:space="preserve"> </w:t>
      </w:r>
      <w:r>
        <w:rPr>
          <w:rFonts w:hint="eastAsia" w:ascii="Times New Roman" w:hAnsi="Times New Roman" w:cs="宋体"/>
          <w:szCs w:val="24"/>
          <w:lang w:bidi="ar"/>
        </w:rPr>
        <w:t>对于均质无限边界、出水量相同的管井降水工程，块状基坑中心及周边水位降幅按下列公式进行预测：</w:t>
      </w:r>
    </w:p>
    <w:p>
      <w:pPr>
        <w:spacing w:line="480" w:lineRule="exact"/>
        <w:ind w:firstLine="480" w:firstLineChars="200"/>
        <w:rPr>
          <w:rFonts w:ascii="Times New Roman" w:hAnsi="Times New Roman" w:cs="宋体"/>
          <w:szCs w:val="24"/>
          <w:lang w:bidi="ar"/>
        </w:rPr>
      </w:pPr>
      <w:bookmarkStart w:id="1001" w:name="_Toc16831"/>
      <w:bookmarkStart w:id="1002" w:name="_Toc24038"/>
      <w:r>
        <w:rPr>
          <w:rFonts w:ascii="Times New Roman" w:hAnsi="Times New Roman" w:cs="宋体"/>
          <w:szCs w:val="24"/>
          <w:lang w:bidi="ar"/>
        </w:rPr>
        <w:t xml:space="preserve">1  </w:t>
      </w:r>
      <w:r>
        <w:rPr>
          <w:rFonts w:hint="eastAsia" w:ascii="Times New Roman" w:hAnsi="Times New Roman" w:cs="宋体"/>
          <w:szCs w:val="24"/>
          <w:lang w:bidi="ar"/>
        </w:rPr>
        <w:t>基坑中心的水位降深</w:t>
      </w:r>
      <w:bookmarkEnd w:id="1001"/>
      <w:bookmarkEnd w:id="1002"/>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潜水完整井：</w:t>
      </w:r>
      <w:r>
        <w:rPr>
          <w:rFonts w:ascii="Times New Roman" w:hAnsi="Times New Roman" w:cs="宋体"/>
          <w:szCs w:val="24"/>
          <w:lang w:bidi="ar"/>
        </w:rPr>
        <w:t xml:space="preserve">            </w:t>
      </w:r>
    </w:p>
    <w:p>
      <w:pPr>
        <w:jc w:val="right"/>
        <w:rPr>
          <w:rFonts w:ascii="Times New Roman" w:hAnsi="Times New Roman" w:cs="宋体"/>
          <w:lang w:bidi="ar"/>
        </w:rPr>
      </w:pPr>
      <w:r>
        <w:rPr>
          <w:rFonts w:ascii="Times New Roman" w:hAnsi="Times New Roman" w:cs="宋体"/>
          <w:szCs w:val="24"/>
          <w:lang w:bidi="ar"/>
        </w:rPr>
        <w:object>
          <v:shape id="_x0000_i1272" o:spt="75" type="#_x0000_t75" style="height:38.75pt;width:138.45pt;" o:ole="t" filled="f" coordsize="21600,21600">
            <v:path/>
            <v:fill on="f" focussize="0,0"/>
            <v:stroke/>
            <v:imagedata r:id="rId721" o:title=""/>
            <o:lock v:ext="edit" aspectratio="t"/>
            <w10:wrap type="none"/>
            <w10:anchorlock/>
          </v:shape>
          <o:OLEObject Type="Embed" ProgID="Equation.3" ShapeID="_x0000_i1272" DrawAspect="Content" ObjectID="_1468075972" r:id="rId720">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（D.0.2</w:t>
      </w:r>
      <w:r>
        <w:rPr>
          <w:rFonts w:ascii="Times New Roman" w:hAnsi="Times New Roman" w:cs="宋体"/>
          <w:szCs w:val="24"/>
          <w:lang w:bidi="ar"/>
        </w:rPr>
        <w:t>-1</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承压含水层完整井：</w:t>
      </w:r>
      <w:r>
        <w:rPr>
          <w:rFonts w:ascii="Times New Roman" w:hAnsi="Times New Roman" w:cs="宋体"/>
          <w:szCs w:val="24"/>
          <w:lang w:bidi="ar"/>
        </w:rPr>
        <w:t xml:space="preserve">         </w:t>
      </w:r>
    </w:p>
    <w:p>
      <w:pPr>
        <w:jc w:val="right"/>
        <w:rPr>
          <w:rFonts w:ascii="Times New Roman" w:hAnsi="Times New Roman" w:cs="宋体"/>
          <w:lang w:bidi="ar"/>
        </w:rPr>
      </w:pPr>
      <w:r>
        <w:rPr>
          <w:rFonts w:ascii="Times New Roman" w:hAnsi="Times New Roman" w:cs="宋体"/>
          <w:szCs w:val="24"/>
          <w:lang w:bidi="ar"/>
        </w:rPr>
        <w:object>
          <v:shape id="_x0000_i1273" o:spt="75" type="#_x0000_t75" style="height:33.25pt;width:87.8pt;" o:ole="t" filled="f" coordsize="21600,21600">
            <v:path/>
            <v:fill on="f" focussize="0,0"/>
            <v:stroke/>
            <v:imagedata r:id="rId723" o:title=""/>
            <o:lock v:ext="edit" aspectratio="t"/>
            <w10:wrap type="none"/>
            <w10:anchorlock/>
          </v:shape>
          <o:OLEObject Type="Embed" ProgID="Equation.3" ShapeID="_x0000_i1273" DrawAspect="Content" ObjectID="_1468075973" r:id="rId722">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（D.0.2</w:t>
      </w:r>
      <w:r>
        <w:rPr>
          <w:rFonts w:ascii="Times New Roman" w:hAnsi="Times New Roman" w:cs="宋体"/>
          <w:szCs w:val="24"/>
          <w:lang w:bidi="ar"/>
        </w:rPr>
        <w:t>-2</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274" o:spt="75" type="#_x0000_t75" style="height:11.1pt;width:8.7pt;" o:ole="t" filled="f" coordsize="21600,21600">
            <v:path/>
            <v:fill on="f" focussize="0,0"/>
            <v:stroke/>
            <v:imagedata r:id="rId725" o:title=""/>
            <o:lock v:ext="edit" aspectratio="t"/>
            <w10:wrap type="none"/>
            <w10:anchorlock/>
          </v:shape>
          <o:OLEObject Type="Embed" ProgID="Equation.3" ShapeID="_x0000_i1274" DrawAspect="Content" ObjectID="_1468075974" r:id="rId724">
            <o:LockedField>false</o:LockedField>
          </o:OLEObject>
        </w:object>
      </w:r>
      <w:r>
        <w:rPr>
          <w:rFonts w:hint="eastAsia" w:ascii="Times New Roman" w:hAnsi="Times New Roman" w:cs="宋体"/>
          <w:szCs w:val="24"/>
          <w:lang w:bidi="ar"/>
        </w:rPr>
        <w:t>——水位降深（</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75" o:spt="75" type="#_x0000_t75" style="height:12.65pt;width:14.25pt;" filled="f" coordsize="21600,21600">
            <v:path/>
            <v:fill on="f" focussize="0,0"/>
            <v:stroke/>
            <v:imagedata r:id="rId726" o:title=""/>
            <o:lock v:ext="edit" aspectratio="t"/>
            <w10:wrap type="none"/>
            <w10:anchorlock/>
          </v:shape>
        </w:pict>
      </w:r>
      <w:r>
        <w:rPr>
          <w:rFonts w:hint="eastAsia" w:ascii="Times New Roman" w:hAnsi="Times New Roman" w:cs="宋体"/>
          <w:szCs w:val="24"/>
          <w:lang w:bidi="ar"/>
        </w:rPr>
        <w:t>——潜水含水层厚度（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szCs w:val="24"/>
          <w:lang w:bidi="ar"/>
        </w:rPr>
      </w:pPr>
      <w:bookmarkStart w:id="1003" w:name="_Toc3052"/>
      <w:bookmarkStart w:id="1004" w:name="_Toc27271"/>
      <w:r>
        <w:rPr>
          <w:rFonts w:ascii="Times New Roman" w:hAnsi="Times New Roman" w:cs="宋体"/>
          <w:szCs w:val="24"/>
          <w:lang w:bidi="ar"/>
        </w:rPr>
        <w:t xml:space="preserve">2  </w:t>
      </w:r>
      <w:r>
        <w:rPr>
          <w:rFonts w:hint="eastAsia" w:ascii="Times New Roman" w:hAnsi="Times New Roman" w:cs="宋体"/>
          <w:szCs w:val="24"/>
          <w:lang w:bidi="ar"/>
        </w:rPr>
        <w:t>任意点的水位降深：</w:t>
      </w:r>
      <w:bookmarkEnd w:id="1003"/>
      <w:bookmarkEnd w:id="1004"/>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潜水完整井：</w:t>
      </w:r>
    </w:p>
    <w:p>
      <w:pPr>
        <w:jc w:val="right"/>
        <w:rPr>
          <w:rFonts w:ascii="Times New Roman" w:hAnsi="Times New Roman" w:cs="宋体"/>
          <w:lang w:bidi="ar"/>
        </w:rPr>
      </w:pPr>
      <w:r>
        <w:rPr>
          <w:rFonts w:ascii="Times New Roman" w:hAnsi="Times New Roman" w:cs="宋体"/>
          <w:szCs w:val="24"/>
          <w:lang w:bidi="ar"/>
        </w:rPr>
        <w:object>
          <v:shape id="_x0000_i1276" o:spt="75" type="#_x0000_t75" style="height:39.55pt;width:179.6pt;" o:ole="t" filled="f" coordsize="21600,21600">
            <v:path/>
            <v:fill on="f" focussize="0,0"/>
            <v:stroke/>
            <v:imagedata r:id="rId728" o:title=""/>
            <o:lock v:ext="edit" aspectratio="t"/>
            <w10:wrap type="none"/>
            <w10:anchorlock/>
          </v:shape>
          <o:OLEObject Type="Embed" ProgID="Equation.3" ShapeID="_x0000_i1276" DrawAspect="Content" ObjectID="_1468075975" r:id="rId727">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（D.0.2</w:t>
      </w:r>
      <w:r>
        <w:rPr>
          <w:rFonts w:ascii="Times New Roman" w:hAnsi="Times New Roman" w:cs="宋体"/>
          <w:szCs w:val="24"/>
          <w:lang w:bidi="ar"/>
        </w:rPr>
        <w:t>-3</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t>s</w:t>
      </w:r>
      <w:r>
        <w:rPr>
          <w:rFonts w:hint="eastAsia" w:ascii="Times New Roman" w:hAnsi="Times New Roman" w:cs="宋体"/>
          <w:szCs w:val="24"/>
          <w:lang w:bidi="ar"/>
        </w:rPr>
        <w:t>——水位降深（</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77" o:spt="75" type="#_x0000_t75" style="height:18.2pt;width:47.45pt;" filled="f" coordsize="21600,21600">
            <v:path/>
            <v:fill on="f" focussize="0,0"/>
            <v:stroke/>
            <v:imagedata r:id="rId729" o:title=""/>
            <o:lock v:ext="edit" aspectratio="t"/>
            <w10:wrap type="none"/>
            <w10:anchorlock/>
          </v:shape>
        </w:pict>
      </w:r>
      <w:r>
        <w:rPr>
          <w:rFonts w:hint="eastAsia" w:ascii="Times New Roman" w:hAnsi="Times New Roman" w:cs="宋体"/>
          <w:szCs w:val="24"/>
          <w:lang w:bidi="ar"/>
        </w:rPr>
        <w:t>——降深计算点至各降水井的距离（</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object>
          <v:shape id="_x0000_i1278" o:spt="75" type="#_x0000_t75" style="height:12.65pt;width:9.5pt;" o:ole="t" filled="f" coordsize="21600,21600">
            <v:path/>
            <v:fill on="f" focussize="0,0"/>
            <v:stroke/>
            <v:imagedata r:id="rId731" o:title=""/>
            <o:lock v:ext="edit" aspectratio="t"/>
            <w10:wrap type="none"/>
            <w10:anchorlock/>
          </v:shape>
          <o:OLEObject Type="Embed" ProgID="Equation.3" ShapeID="_x0000_i1278" DrawAspect="Content" ObjectID="_1468075976" r:id="rId730">
            <o:LockedField>false</o:LockedField>
          </o:OLEObject>
        </w:object>
      </w:r>
      <w:r>
        <w:rPr>
          <w:rFonts w:hint="eastAsia" w:ascii="Times New Roman" w:hAnsi="Times New Roman" w:cs="宋体"/>
          <w:szCs w:val="24"/>
          <w:lang w:bidi="ar"/>
        </w:rPr>
        <w:t>——单个降水井出水量（</w:t>
      </w:r>
      <w:r>
        <w:rPr>
          <w:rFonts w:ascii="Times New Roman" w:hAnsi="Times New Roman" w:cs="宋体"/>
          <w:szCs w:val="24"/>
          <w:lang w:bidi="ar"/>
        </w:rPr>
        <w:t>m</w:t>
      </w:r>
      <w:r>
        <w:rPr>
          <w:rFonts w:ascii="Times New Roman" w:hAnsi="Times New Roman" w:cs="宋体"/>
          <w:szCs w:val="24"/>
          <w:vertAlign w:val="superscript"/>
          <w:lang w:bidi="ar"/>
        </w:rPr>
        <w:t>3</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承压含水层完整井：</w:t>
      </w:r>
    </w:p>
    <w:p>
      <w:pPr>
        <w:jc w:val="right"/>
        <w:rPr>
          <w:rFonts w:ascii="Times New Roman" w:hAnsi="Times New Roman" w:cs="宋体"/>
          <w:lang w:bidi="ar"/>
        </w:rPr>
      </w:pPr>
      <w:r>
        <w:rPr>
          <w:rFonts w:ascii="Times New Roman" w:hAnsi="Times New Roman" w:cs="宋体"/>
          <w:szCs w:val="24"/>
          <w:lang w:bidi="ar"/>
        </w:rPr>
        <w:object>
          <v:shape id="_x0000_i1279" o:spt="75" type="#_x0000_t75" style="height:36.4pt;width:128.2pt;" o:ole="t" filled="f" coordsize="21600,21600">
            <v:path/>
            <v:fill on="f" focussize="0,0"/>
            <v:stroke/>
            <v:imagedata r:id="rId733" o:title=""/>
            <o:lock v:ext="edit" aspectratio="t"/>
            <w10:wrap type="none"/>
            <w10:anchorlock/>
          </v:shape>
          <o:OLEObject Type="Embed" ProgID="Equation.3" ShapeID="_x0000_i1279" DrawAspect="Content" ObjectID="_1468075977" r:id="rId732">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（D.0.2</w:t>
      </w:r>
      <w:r>
        <w:rPr>
          <w:rFonts w:ascii="Times New Roman" w:hAnsi="Times New Roman" w:cs="宋体"/>
          <w:szCs w:val="24"/>
          <w:lang w:bidi="ar"/>
        </w:rPr>
        <w:t>-4</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b/>
          <w:bCs/>
          <w:szCs w:val="24"/>
          <w:lang w:bidi="ar"/>
        </w:rPr>
        <w:t>D.0.3</w:t>
      </w:r>
      <w:r>
        <w:rPr>
          <w:rFonts w:ascii="Times New Roman" w:hAnsi="Times New Roman" w:cs="宋体"/>
          <w:szCs w:val="24"/>
          <w:lang w:bidi="ar"/>
        </w:rPr>
        <w:t xml:space="preserve"> </w:t>
      </w:r>
      <w:r>
        <w:rPr>
          <w:rFonts w:hint="eastAsia" w:ascii="Times New Roman" w:hAnsi="Times New Roman" w:cs="宋体"/>
          <w:szCs w:val="24"/>
          <w:lang w:bidi="ar"/>
        </w:rPr>
        <w:t>在无限分布均质各向同性无越流条件下，非稳定流干扰井计算，采用下列公式：</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1  </w:t>
      </w:r>
      <w:r>
        <w:rPr>
          <w:rFonts w:hint="eastAsia" w:ascii="Times New Roman" w:hAnsi="Times New Roman" w:cs="宋体"/>
          <w:szCs w:val="24"/>
          <w:lang w:bidi="ar"/>
        </w:rPr>
        <w:t>潜水含水层中按任意方式布井的任意点水位下降值公式：</w:t>
      </w:r>
    </w:p>
    <w:p>
      <w:pPr>
        <w:jc w:val="right"/>
        <w:rPr>
          <w:rFonts w:ascii="Times New Roman" w:hAnsi="Times New Roman" w:cs="宋体"/>
          <w:lang w:bidi="ar"/>
        </w:rPr>
      </w:pPr>
      <w:r>
        <w:rPr>
          <w:rFonts w:ascii="Times New Roman" w:hAnsi="Times New Roman" w:cs="宋体"/>
          <w:szCs w:val="24"/>
          <w:lang w:bidi="ar"/>
        </w:rPr>
        <w:pict>
          <v:shape id="_x0000_i1280" o:spt="75" type="#_x0000_t75" style="height:41.15pt;width:174.85pt;" filled="f" coordsize="21600,21600">
            <v:path/>
            <v:fill on="f" focussize="0,0"/>
            <v:stroke/>
            <v:imagedata r:id="rId734" o:title=""/>
            <o:lock v:ext="edit" aspectratio="t"/>
            <w10:wrap type="none"/>
            <w10:anchorlock/>
          </v:shape>
        </w:pict>
      </w:r>
      <w:r>
        <w:rPr>
          <w:rFonts w:ascii="Times New Roman" w:hAnsi="Times New Roman" w:cs="宋体"/>
          <w:szCs w:val="24"/>
          <w:lang w:bidi="ar"/>
        </w:rPr>
        <w:t xml:space="preserve">            </w:t>
      </w:r>
      <w:r>
        <w:rPr>
          <w:rFonts w:hint="eastAsia" w:ascii="Times New Roman" w:hAnsi="Times New Roman" w:cs="宋体"/>
          <w:szCs w:val="24"/>
          <w:lang w:bidi="ar"/>
        </w:rPr>
        <w:t>（</w:t>
      </w:r>
      <w:bookmarkStart w:id="1005" w:name="OLE_LINK1"/>
      <w:r>
        <w:rPr>
          <w:rFonts w:hint="eastAsia" w:ascii="Times New Roman" w:hAnsi="Times New Roman" w:cs="宋体"/>
          <w:szCs w:val="24"/>
          <w:lang w:bidi="ar"/>
        </w:rPr>
        <w:t>D.0.3</w:t>
      </w:r>
      <w:bookmarkEnd w:id="1005"/>
      <w:r>
        <w:rPr>
          <w:rFonts w:ascii="Times New Roman" w:hAnsi="Times New Roman" w:cs="宋体"/>
          <w:szCs w:val="24"/>
          <w:lang w:bidi="ar"/>
        </w:rPr>
        <w:t>-1</w:t>
      </w:r>
      <w:r>
        <w:rPr>
          <w:rFonts w:hint="eastAsia" w:ascii="Times New Roman" w:hAnsi="Times New Roman" w:cs="宋体"/>
          <w:szCs w:val="24"/>
          <w:lang w:bidi="ar"/>
        </w:rPr>
        <w:t>）</w:t>
      </w:r>
      <w:r>
        <w:rPr>
          <w:rFonts w:ascii="Times New Roman" w:hAnsi="Times New Roman" w:cs="宋体"/>
          <w:szCs w:val="24"/>
          <w:lang w:bidi="ar"/>
        </w:rPr>
        <w:t xml:space="preserve"> </w:t>
      </w:r>
    </w:p>
    <w:p>
      <w:pPr>
        <w:ind w:firstLine="480" w:firstLineChars="200"/>
        <w:rPr>
          <w:rFonts w:ascii="Times New Roman" w:hAnsi="Times New Roman" w:cs="宋体"/>
          <w:lang w:bidi="ar"/>
        </w:rPr>
      </w:pPr>
      <w:r>
        <w:rPr>
          <w:rFonts w:hint="eastAsia" w:ascii="Times New Roman" w:hAnsi="Times New Roman" w:cs="宋体"/>
          <w:szCs w:val="24"/>
          <w:lang w:bidi="ar"/>
        </w:rPr>
        <w:t>当</w:t>
      </w:r>
      <w:r>
        <w:rPr>
          <w:rFonts w:ascii="Times New Roman" w:hAnsi="Times New Roman" w:cs="宋体"/>
          <w:szCs w:val="24"/>
          <w:lang w:bidi="ar"/>
        </w:rPr>
        <w:pict>
          <v:shape id="_x0000_i1281" o:spt="75" type="#_x0000_t75" style="height:36.4pt;width:56.2pt;" filled="f" coordsize="21600,21600">
            <v:path/>
            <v:fill on="f" focussize="0,0"/>
            <v:stroke/>
            <v:imagedata r:id="rId735" o:title=""/>
            <o:lock v:ext="edit" aspectratio="t"/>
            <w10:wrap type="none"/>
            <w10:anchorlock/>
          </v:shape>
        </w:pict>
      </w:r>
      <w:r>
        <w:rPr>
          <w:rFonts w:hint="eastAsia" w:ascii="Times New Roman" w:hAnsi="Times New Roman" w:cs="宋体"/>
          <w:szCs w:val="24"/>
          <w:lang w:bidi="ar"/>
        </w:rPr>
        <w:t>时也可按下式计算：</w:t>
      </w:r>
    </w:p>
    <w:p>
      <w:pPr>
        <w:jc w:val="right"/>
        <w:rPr>
          <w:rFonts w:ascii="Times New Roman" w:hAnsi="Times New Roman" w:cs="宋体"/>
          <w:lang w:bidi="ar"/>
        </w:rPr>
      </w:pPr>
      <w:r>
        <w:rPr>
          <w:rFonts w:ascii="Times New Roman" w:hAnsi="Times New Roman" w:cs="宋体"/>
          <w:szCs w:val="24"/>
          <w:lang w:bidi="ar"/>
        </w:rPr>
        <w:pict>
          <v:shape id="_x0000_i1282" o:spt="75" type="#_x0000_t75" style="height:39.55pt;width:189.9pt;" filled="f" coordsize="21600,21600">
            <v:path/>
            <v:fill on="f" focussize="0,0"/>
            <v:stroke/>
            <v:imagedata r:id="rId736" o:title=""/>
            <o:lock v:ext="edit" aspectratio="t"/>
            <w10:wrap type="none"/>
            <w10:anchorlock/>
          </v:shape>
        </w:pict>
      </w:r>
      <w:r>
        <w:rPr>
          <w:rFonts w:ascii="Times New Roman" w:hAnsi="Times New Roman" w:cs="宋体"/>
          <w:szCs w:val="24"/>
          <w:lang w:bidi="ar"/>
        </w:rPr>
        <w:t xml:space="preserve">           </w:t>
      </w:r>
      <w:r>
        <w:rPr>
          <w:rFonts w:hint="eastAsia" w:ascii="Times New Roman" w:hAnsi="Times New Roman" w:cs="宋体"/>
          <w:szCs w:val="24"/>
          <w:lang w:bidi="ar"/>
        </w:rPr>
        <w:t>（D.0.3</w:t>
      </w:r>
      <w:r>
        <w:rPr>
          <w:rFonts w:ascii="Times New Roman" w:hAnsi="Times New Roman" w:cs="宋体"/>
          <w:szCs w:val="24"/>
          <w:lang w:bidi="ar"/>
        </w:rPr>
        <w:t>-2</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pict>
          <v:shape id="_x0000_i1283" o:spt="75" type="#_x0000_t75" style="height:19pt;width:17.4pt;" filled="f" coordsize="21600,21600">
            <v:path/>
            <v:fill on="f" focussize="0,0"/>
            <v:stroke/>
            <v:imagedata r:id="rId737" o:title=""/>
            <o:lock v:ext="edit" aspectratio="t"/>
            <w10:wrap type="none"/>
            <w10:anchorlock/>
          </v:shape>
        </w:pict>
      </w:r>
      <w:r>
        <w:rPr>
          <w:rFonts w:hint="eastAsia" w:ascii="Times New Roman" w:hAnsi="Times New Roman" w:cs="宋体"/>
          <w:szCs w:val="24"/>
          <w:lang w:bidi="ar"/>
        </w:rPr>
        <w:t>——预测点</w:t>
      </w:r>
      <w:r>
        <w:rPr>
          <w:rFonts w:ascii="Times New Roman" w:hAnsi="Times New Roman" w:cs="宋体"/>
          <w:szCs w:val="24"/>
          <w:lang w:bidi="ar"/>
        </w:rPr>
        <w:t>j</w:t>
      </w:r>
      <w:r>
        <w:rPr>
          <w:rFonts w:hint="eastAsia" w:ascii="Times New Roman" w:hAnsi="Times New Roman" w:cs="宋体"/>
          <w:szCs w:val="24"/>
          <w:lang w:bidi="ar"/>
        </w:rPr>
        <w:t>处</w:t>
      </w:r>
      <w:r>
        <w:rPr>
          <w:rFonts w:ascii="Times New Roman" w:hAnsi="Times New Roman" w:cs="宋体"/>
          <w:szCs w:val="24"/>
          <w:lang w:bidi="ar"/>
        </w:rPr>
        <w:t>t</w:t>
      </w:r>
      <w:r>
        <w:rPr>
          <w:rFonts w:hint="eastAsia" w:ascii="Times New Roman" w:hAnsi="Times New Roman" w:cs="宋体"/>
          <w:szCs w:val="24"/>
          <w:lang w:bidi="ar"/>
        </w:rPr>
        <w:t>时刻的地下水位下降值（</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84" o:spt="75" type="#_x0000_t75" style="height:14.25pt;width:30.85pt;" filled="f" coordsize="21600,21600">
            <v:path/>
            <v:fill on="f" focussize="0,0"/>
            <v:stroke/>
            <v:imagedata r:id="rId738" o:title=""/>
            <o:lock v:ext="edit" aspectratio="t"/>
            <w10:wrap type="none"/>
            <w10:anchorlock/>
          </v:shape>
        </w:pict>
      </w:r>
      <w:r>
        <w:rPr>
          <w:rFonts w:hint="eastAsia" w:ascii="Times New Roman" w:hAnsi="Times New Roman" w:cs="宋体"/>
          <w:szCs w:val="24"/>
          <w:lang w:bidi="ar"/>
        </w:rPr>
        <w:t>——井函数；</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85" o:spt="75" type="#_x0000_t75" style="height:12.65pt;width:14.25pt;" filled="f" coordsize="21600,21600">
            <v:path/>
            <v:fill on="f" focussize="0,0"/>
            <v:stroke/>
            <v:imagedata r:id="rId739" o:title=""/>
            <o:lock v:ext="edit" aspectratio="t"/>
            <w10:wrap type="none"/>
            <w10:anchorlock/>
          </v:shape>
        </w:pict>
      </w:r>
      <w:r>
        <w:rPr>
          <w:rFonts w:hint="eastAsia" w:ascii="Times New Roman" w:hAnsi="Times New Roman" w:cs="宋体"/>
          <w:szCs w:val="24"/>
          <w:lang w:bidi="ar"/>
        </w:rPr>
        <w:t>——潜水含水层厚度（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86" o:spt="75" type="#_x0000_t75" style="height:18.2pt;width:14.25pt;" filled="f" coordsize="21600,21600">
            <v:path/>
            <v:fill on="f" focussize="0,0"/>
            <v:stroke/>
            <v:imagedata r:id="rId740" o:title=""/>
            <o:lock v:ext="edit" aspectratio="t"/>
            <w10:wrap type="none"/>
            <w10:anchorlock/>
          </v:shape>
        </w:pict>
      </w:r>
      <w:r>
        <w:rPr>
          <w:rFonts w:hint="eastAsia" w:ascii="Times New Roman" w:hAnsi="Times New Roman" w:cs="宋体"/>
          <w:szCs w:val="24"/>
          <w:lang w:bidi="ar"/>
        </w:rPr>
        <w:t>——第</w:t>
      </w:r>
      <w:r>
        <w:rPr>
          <w:rFonts w:ascii="Times New Roman" w:hAnsi="Times New Roman" w:cs="宋体"/>
          <w:szCs w:val="24"/>
          <w:lang w:bidi="ar"/>
        </w:rPr>
        <w:t>i</w:t>
      </w:r>
      <w:r>
        <w:rPr>
          <w:rFonts w:hint="eastAsia" w:ascii="Times New Roman" w:hAnsi="Times New Roman" w:cs="宋体"/>
          <w:szCs w:val="24"/>
          <w:lang w:bidi="ar"/>
        </w:rPr>
        <w:t>眼井的抽水量（</w:t>
      </w:r>
      <w:r>
        <w:rPr>
          <w:rFonts w:ascii="Times New Roman" w:hAnsi="Times New Roman" w:cs="宋体"/>
          <w:szCs w:val="24"/>
          <w:lang w:bidi="ar"/>
        </w:rPr>
        <w:t>m</w:t>
      </w:r>
      <w:r>
        <w:rPr>
          <w:rFonts w:ascii="Times New Roman" w:hAnsi="Times New Roman" w:cs="宋体"/>
          <w:szCs w:val="24"/>
          <w:vertAlign w:val="superscript"/>
          <w:lang w:bidi="ar"/>
        </w:rPr>
        <w:t>3</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87" o:spt="75" type="#_x0000_t75" style="height:11.1pt;width:9.5pt;" filled="f" coordsize="21600,21600">
            <v:path/>
            <v:fill on="f" focussize="0,0"/>
            <v:stroke/>
            <v:imagedata r:id="rId741" o:title=""/>
            <o:lock v:ext="edit" aspectratio="t"/>
            <w10:wrap type="none"/>
            <w10:anchorlock/>
          </v:shape>
        </w:pict>
      </w:r>
      <w:r>
        <w:rPr>
          <w:rFonts w:hint="eastAsia" w:ascii="Times New Roman" w:hAnsi="Times New Roman" w:cs="宋体"/>
          <w:szCs w:val="24"/>
          <w:lang w:bidi="ar"/>
        </w:rPr>
        <w:t>——压力传导系数（</w:t>
      </w:r>
      <w:r>
        <w:rPr>
          <w:rFonts w:ascii="Times New Roman" w:hAnsi="Times New Roman" w:cs="宋体"/>
          <w:szCs w:val="24"/>
          <w:lang w:bidi="ar"/>
        </w:rPr>
        <w:t>m</w:t>
      </w:r>
      <w:r>
        <w:rPr>
          <w:rFonts w:ascii="Times New Roman" w:hAnsi="Times New Roman" w:cs="宋体"/>
          <w:szCs w:val="24"/>
          <w:vertAlign w:val="superscript"/>
          <w:lang w:bidi="ar"/>
        </w:rPr>
        <w:t>2</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88" o:spt="75" type="#_x0000_t75" style="height:19pt;width:8.7pt;" filled="f" coordsize="21600,21600">
            <v:path/>
            <v:fill on="f" focussize="0,0"/>
            <v:stroke/>
            <v:imagedata r:id="rId742" o:title=""/>
            <o:lock v:ext="edit" aspectratio="t"/>
            <w10:wrap type="none"/>
            <w10:anchorlock/>
          </v:shape>
        </w:pict>
      </w:r>
      <w:r>
        <w:rPr>
          <w:rFonts w:hint="eastAsia" w:ascii="Times New Roman" w:hAnsi="Times New Roman" w:cs="宋体"/>
          <w:szCs w:val="24"/>
          <w:lang w:bidi="ar"/>
        </w:rPr>
        <w:t>——抽水时间（</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89" o:spt="75" type="#_x0000_t75" style="height:13.45pt;width:6.35pt;" filled="f" coordsize="21600,21600">
            <v:path/>
            <v:fill on="f" focussize="0,0"/>
            <v:stroke/>
            <v:imagedata r:id="rId743" o:title=""/>
            <o:lock v:ext="edit" aspectratio="t"/>
            <w10:wrap type="none"/>
            <w10:anchorlock/>
          </v:shape>
        </w:pict>
      </w:r>
      <w:r>
        <w:rPr>
          <w:rFonts w:hint="eastAsia" w:ascii="Times New Roman" w:hAnsi="Times New Roman" w:cs="宋体"/>
          <w:szCs w:val="24"/>
          <w:lang w:bidi="ar"/>
        </w:rPr>
        <w:t>——降水井编号，</w:t>
      </w:r>
      <w:r>
        <w:rPr>
          <w:rFonts w:ascii="Times New Roman" w:hAnsi="Times New Roman" w:cs="宋体"/>
          <w:szCs w:val="24"/>
          <w:lang w:bidi="ar"/>
        </w:rPr>
        <w:t>i=1</w:t>
      </w:r>
      <w:r>
        <w:rPr>
          <w:rFonts w:hint="eastAsia" w:ascii="Times New Roman" w:hAnsi="Times New Roman" w:cs="宋体"/>
          <w:szCs w:val="24"/>
          <w:lang w:bidi="ar"/>
        </w:rPr>
        <w:t>，</w:t>
      </w:r>
      <w:r>
        <w:rPr>
          <w:rFonts w:ascii="Times New Roman" w:hAnsi="Times New Roman" w:cs="宋体"/>
          <w:szCs w:val="24"/>
          <w:lang w:bidi="ar"/>
        </w:rPr>
        <w:t>2</w:t>
      </w:r>
      <w:r>
        <w:rPr>
          <w:rFonts w:hint="eastAsia" w:ascii="Times New Roman" w:hAnsi="Times New Roman" w:cs="宋体"/>
          <w:szCs w:val="24"/>
          <w:lang w:bidi="ar"/>
        </w:rPr>
        <w:t>，</w:t>
      </w:r>
      <w:r>
        <w:rPr>
          <w:rFonts w:ascii="Times New Roman" w:hAnsi="Times New Roman" w:cs="宋体"/>
          <w:szCs w:val="24"/>
          <w:lang w:bidi="ar"/>
        </w:rPr>
        <w:t>3…</w:t>
      </w:r>
      <w:r>
        <w:rPr>
          <w:rFonts w:hint="eastAsia" w:ascii="Times New Roman" w:hAnsi="Times New Roman" w:cs="宋体"/>
          <w:szCs w:val="24"/>
          <w:lang w:bidi="ar"/>
        </w:rPr>
        <w:t>，</w:t>
      </w:r>
      <w:r>
        <w:rPr>
          <w:rFonts w:ascii="Times New Roman" w:hAnsi="Times New Roman" w:cs="宋体"/>
          <w:szCs w:val="24"/>
          <w:lang w:bidi="ar"/>
        </w:rPr>
        <w:t>n;</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90" o:spt="75" type="#_x0000_t75" style="height:19.8pt;width:11.1pt;" filled="f" coordsize="21600,21600">
            <v:path/>
            <v:fill on="f" focussize="0,0"/>
            <v:stroke/>
            <v:imagedata r:id="rId744" o:title=""/>
            <o:lock v:ext="edit" aspectratio="t"/>
            <w10:wrap type="none"/>
            <w10:anchorlock/>
          </v:shape>
        </w:pict>
      </w:r>
      <w:r>
        <w:rPr>
          <w:rFonts w:hint="eastAsia" w:ascii="Times New Roman" w:hAnsi="Times New Roman" w:cs="宋体"/>
          <w:szCs w:val="24"/>
          <w:lang w:bidi="ar"/>
        </w:rPr>
        <w:t>——第</w:t>
      </w:r>
      <w:r>
        <w:rPr>
          <w:rFonts w:ascii="Times New Roman" w:hAnsi="Times New Roman" w:cs="宋体"/>
          <w:szCs w:val="24"/>
          <w:lang w:bidi="ar"/>
        </w:rPr>
        <w:t>i</w:t>
      </w:r>
      <w:r>
        <w:rPr>
          <w:rFonts w:hint="eastAsia" w:ascii="Times New Roman" w:hAnsi="Times New Roman" w:cs="宋体"/>
          <w:szCs w:val="24"/>
          <w:lang w:bidi="ar"/>
        </w:rPr>
        <w:t>抽水井到预测点</w:t>
      </w:r>
      <w:r>
        <w:rPr>
          <w:rFonts w:ascii="Times New Roman" w:hAnsi="Times New Roman" w:cs="宋体"/>
          <w:szCs w:val="24"/>
          <w:lang w:bidi="ar"/>
        </w:rPr>
        <w:t>j</w:t>
      </w:r>
      <w:r>
        <w:rPr>
          <w:rFonts w:hint="eastAsia" w:ascii="Times New Roman" w:hAnsi="Times New Roman" w:cs="宋体"/>
          <w:szCs w:val="24"/>
          <w:lang w:bidi="ar"/>
        </w:rPr>
        <w:t>的距离（</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2  </w:t>
      </w:r>
      <w:r>
        <w:rPr>
          <w:rFonts w:hint="eastAsia" w:ascii="Times New Roman" w:hAnsi="Times New Roman" w:cs="宋体"/>
          <w:szCs w:val="24"/>
          <w:lang w:bidi="ar"/>
        </w:rPr>
        <w:t>承压含水层中按任意方式布井的干扰井公式：</w:t>
      </w:r>
    </w:p>
    <w:p>
      <w:pPr>
        <w:jc w:val="right"/>
        <w:rPr>
          <w:rFonts w:ascii="Times New Roman" w:hAnsi="Times New Roman" w:cs="宋体"/>
          <w:lang w:bidi="ar"/>
        </w:rPr>
      </w:pPr>
      <w:r>
        <w:rPr>
          <w:rFonts w:ascii="Times New Roman" w:hAnsi="Times New Roman" w:cs="宋体"/>
          <w:szCs w:val="24"/>
          <w:lang w:bidi="ar"/>
        </w:rPr>
        <w:pict>
          <v:shape id="_x0000_i1291" o:spt="75" type="#_x0000_t75" style="height:36.4pt;width:128.95pt;" filled="f" coordsize="21600,21600">
            <v:path/>
            <v:fill on="f" focussize="0,0"/>
            <v:stroke/>
            <v:imagedata r:id="rId745" o:title=""/>
            <o:lock v:ext="edit" aspectratio="t"/>
            <w10:wrap type="none"/>
            <w10:anchorlock/>
          </v:shape>
        </w:pi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（D.0.3</w:t>
      </w:r>
      <w:r>
        <w:rPr>
          <w:rFonts w:ascii="Times New Roman" w:hAnsi="Times New Roman" w:cs="宋体"/>
          <w:szCs w:val="24"/>
          <w:lang w:bidi="ar"/>
        </w:rPr>
        <w:t>-3</w:t>
      </w:r>
      <w:r>
        <w:rPr>
          <w:rFonts w:hint="eastAsia" w:ascii="Times New Roman" w:hAnsi="Times New Roman" w:cs="宋体"/>
          <w:szCs w:val="24"/>
          <w:lang w:bidi="ar"/>
        </w:rPr>
        <w:t>）</w:t>
      </w:r>
    </w:p>
    <w:p>
      <w:pPr>
        <w:ind w:firstLine="480" w:firstLineChars="200"/>
        <w:rPr>
          <w:rFonts w:ascii="Times New Roman" w:hAnsi="Times New Roman" w:cs="宋体"/>
          <w:lang w:bidi="ar"/>
        </w:rPr>
      </w:pPr>
      <w:r>
        <w:rPr>
          <w:rFonts w:hint="eastAsia" w:ascii="Times New Roman" w:hAnsi="Times New Roman" w:cs="宋体"/>
          <w:szCs w:val="24"/>
          <w:lang w:bidi="ar"/>
        </w:rPr>
        <w:t>当</w:t>
      </w:r>
      <w:r>
        <w:rPr>
          <w:rFonts w:ascii="Times New Roman" w:hAnsi="Times New Roman" w:cs="宋体"/>
          <w:szCs w:val="24"/>
          <w:lang w:bidi="ar"/>
        </w:rPr>
        <w:pict>
          <v:shape id="_x0000_i1292" o:spt="75" type="#_x0000_t75" style="height:36.4pt;width:56.2pt;" filled="f" coordsize="21600,21600">
            <v:path/>
            <v:fill on="f" focussize="0,0"/>
            <v:stroke/>
            <v:imagedata r:id="rId735" o:title=""/>
            <o:lock v:ext="edit" aspectratio="t"/>
            <w10:wrap type="none"/>
            <w10:anchorlock/>
          </v:shape>
        </w:pict>
      </w:r>
      <w:r>
        <w:rPr>
          <w:rFonts w:hint="eastAsia" w:ascii="Times New Roman" w:hAnsi="Times New Roman" w:cs="宋体"/>
          <w:szCs w:val="24"/>
          <w:lang w:bidi="ar"/>
        </w:rPr>
        <w:t>时也可按下式计算：</w:t>
      </w:r>
    </w:p>
    <w:p>
      <w:pPr>
        <w:jc w:val="right"/>
        <w:rPr>
          <w:rFonts w:ascii="Times New Roman" w:hAnsi="Times New Roman" w:cs="宋体"/>
          <w:lang w:bidi="ar"/>
        </w:rPr>
      </w:pPr>
      <w:r>
        <w:rPr>
          <w:rFonts w:ascii="Times New Roman" w:hAnsi="Times New Roman" w:cs="宋体"/>
          <w:szCs w:val="24"/>
          <w:lang w:bidi="ar"/>
        </w:rPr>
        <w:pict>
          <v:shape id="_x0000_i1293" o:spt="75" type="#_x0000_t75" style="height:36.4pt;width:144pt;" filled="f" coordsize="21600,21600">
            <v:path/>
            <v:fill on="f" focussize="0,0"/>
            <v:stroke/>
            <v:imagedata r:id="rId746" o:title=""/>
            <o:lock v:ext="edit" aspectratio="t"/>
            <w10:wrap type="none"/>
            <w10:anchorlock/>
          </v:shape>
        </w:pi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（D.0.3</w:t>
      </w:r>
      <w:r>
        <w:rPr>
          <w:rFonts w:ascii="Times New Roman" w:hAnsi="Times New Roman" w:cs="宋体"/>
          <w:szCs w:val="24"/>
          <w:lang w:bidi="ar"/>
        </w:rPr>
        <w:t>-4</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b/>
          <w:bCs/>
          <w:szCs w:val="24"/>
          <w:lang w:bidi="ar"/>
        </w:rPr>
        <w:t>D.0.4</w:t>
      </w:r>
      <w:r>
        <w:rPr>
          <w:rFonts w:ascii="Times New Roman" w:hAnsi="Times New Roman" w:cs="宋体"/>
          <w:szCs w:val="24"/>
          <w:lang w:bidi="ar"/>
        </w:rPr>
        <w:t xml:space="preserve"> </w:t>
      </w:r>
      <w:r>
        <w:rPr>
          <w:rFonts w:hint="eastAsia" w:ascii="Times New Roman" w:hAnsi="Times New Roman" w:cs="宋体"/>
          <w:szCs w:val="24"/>
          <w:lang w:bidi="ar"/>
        </w:rPr>
        <w:t>线状基坑降水水位预测可按下列公式计算：</w:t>
      </w:r>
    </w:p>
    <w:p>
      <w:pPr>
        <w:jc w:val="right"/>
        <w:rPr>
          <w:rFonts w:ascii="Times New Roman" w:hAnsi="Times New Roman" w:cs="宋体"/>
          <w:lang w:bidi="ar"/>
        </w:rPr>
      </w:pPr>
      <w:r>
        <w:rPr>
          <w:rFonts w:ascii="Times New Roman" w:hAnsi="Times New Roman" w:cs="宋体"/>
          <w:szCs w:val="24"/>
          <w:lang w:bidi="ar"/>
        </w:rPr>
        <w:object>
          <v:shape id="_x0000_i1294" o:spt="75" type="#_x0000_t75" style="height:35.6pt;width:128.95pt;" o:ole="t" filled="f" coordsize="21600,21600">
            <v:path/>
            <v:fill on="f" focussize="0,0"/>
            <v:stroke/>
            <v:imagedata r:id="rId748" o:title=""/>
            <o:lock v:ext="edit" aspectratio="t"/>
            <w10:wrap type="none"/>
            <w10:anchorlock/>
          </v:shape>
          <o:OLEObject Type="Embed" ProgID="Equation.3" ShapeID="_x0000_i1294" DrawAspect="Content" ObjectID="_1468075978" r:id="rId747">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（D.0.4）</w:t>
      </w:r>
    </w:p>
    <w:p>
      <w:pPr>
        <w:spacing w:line="480" w:lineRule="exact"/>
        <w:ind w:firstLine="480" w:firstLineChars="200"/>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295" o:spt="75" type="#_x0000_t75" style="height:11.1pt;width:8.7pt;" o:ole="t" filled="f" coordsize="21600,21600">
            <v:path/>
            <v:fill on="f" focussize="0,0"/>
            <v:stroke/>
            <v:imagedata r:id="rId750" o:title=""/>
            <o:lock v:ext="edit" aspectratio="t"/>
            <w10:wrap type="none"/>
            <w10:anchorlock/>
          </v:shape>
          <o:OLEObject Type="Embed" ProgID="Equation.3" ShapeID="_x0000_i1295" DrawAspect="Content" ObjectID="_1468075979" r:id="rId749">
            <o:LockedField>false</o:LockedField>
          </o:OLEObject>
        </w:object>
      </w:r>
      <w:r>
        <w:rPr>
          <w:rFonts w:ascii="Times New Roman" w:hAnsi="Times New Roman" w:cs="宋体"/>
          <w:szCs w:val="24"/>
          <w:lang w:bidi="ar"/>
        </w:rPr>
        <w:t>——</w:t>
      </w:r>
      <w:r>
        <w:rPr>
          <w:rFonts w:hint="eastAsia" w:ascii="Times New Roman" w:hAnsi="Times New Roman" w:cs="宋体"/>
          <w:szCs w:val="24"/>
          <w:lang w:bidi="ar"/>
        </w:rPr>
        <w:t>距降水井排</w:t>
      </w:r>
      <w:r>
        <w:rPr>
          <w:rFonts w:ascii="Times New Roman" w:hAnsi="Times New Roman" w:cs="宋体"/>
          <w:szCs w:val="24"/>
          <w:lang w:bidi="ar"/>
        </w:rPr>
        <w:t>x</w:t>
      </w:r>
      <w:r>
        <w:rPr>
          <w:rFonts w:hint="eastAsia" w:ascii="Times New Roman" w:hAnsi="Times New Roman" w:cs="宋体"/>
          <w:szCs w:val="24"/>
          <w:lang w:bidi="ar"/>
        </w:rPr>
        <w:t>处的水位下降值</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96" o:spt="75" type="#_x0000_t75" style="height:12.65pt;width:14.25pt;" filled="f" coordsize="21600,21600">
            <v:path/>
            <v:fill on="f" focussize="0,0"/>
            <v:stroke/>
            <v:imagedata r:id="rId751" o:title=""/>
            <o:lock v:ext="edit" aspectratio="t"/>
            <w10:wrap type="none"/>
            <w10:anchorlock/>
          </v:shape>
        </w:pict>
      </w:r>
      <w:r>
        <w:rPr>
          <w:rFonts w:ascii="Times New Roman" w:hAnsi="Times New Roman" w:cs="宋体"/>
          <w:szCs w:val="24"/>
          <w:lang w:bidi="ar"/>
        </w:rPr>
        <w:t>——</w:t>
      </w:r>
      <w:r>
        <w:rPr>
          <w:rFonts w:hint="eastAsia" w:ascii="Times New Roman" w:hAnsi="Times New Roman" w:cs="宋体"/>
          <w:szCs w:val="24"/>
          <w:lang w:bidi="ar"/>
        </w:rPr>
        <w:t>潜水含水层厚度（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97" o:spt="75" type="#_x0000_t75" style="height:18.2pt;width:11.85pt;" filled="f" coordsize="21600,21600">
            <v:path/>
            <v:fill on="f" focussize="0,0"/>
            <v:stroke/>
            <v:imagedata r:id="rId752" o:title=""/>
            <o:lock v:ext="edit" aspectratio="t"/>
            <w10:wrap type="none"/>
            <w10:anchorlock/>
          </v:shape>
        </w:pict>
      </w:r>
      <w:r>
        <w:rPr>
          <w:rFonts w:ascii="Times New Roman" w:hAnsi="Times New Roman" w:cs="宋体"/>
          <w:szCs w:val="24"/>
          <w:lang w:bidi="ar"/>
        </w:rPr>
        <w:t>——</w:t>
      </w:r>
      <w:r>
        <w:rPr>
          <w:rFonts w:hint="eastAsia" w:ascii="Times New Roman" w:hAnsi="Times New Roman" w:cs="宋体"/>
          <w:szCs w:val="24"/>
          <w:lang w:bidi="ar"/>
        </w:rPr>
        <w:t>降水井排处的潜水含水层厚度（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1200" w:firstLineChars="500"/>
        <w:rPr>
          <w:rFonts w:ascii="Times New Roman" w:hAnsi="Times New Roman" w:cs="宋体"/>
          <w:lang w:bidi="ar"/>
        </w:rPr>
      </w:pPr>
      <w:r>
        <w:rPr>
          <w:rFonts w:ascii="Times New Roman" w:hAnsi="Times New Roman" w:cs="宋体"/>
          <w:szCs w:val="24"/>
          <w:lang w:bidi="ar"/>
        </w:rPr>
        <w:pict>
          <v:shape id="_x0000_i1298" o:spt="75" type="#_x0000_t75" style="height:11.1pt;width:9.5pt;" filled="f" coordsize="21600,21600">
            <v:path/>
            <v:fill on="f" focussize="0,0"/>
            <v:stroke/>
            <v:imagedata r:id="rId753" o:title=""/>
            <o:lock v:ext="edit" aspectratio="t"/>
            <w10:wrap type="none"/>
            <w10:anchorlock/>
          </v:shape>
        </w:pict>
      </w:r>
      <w:r>
        <w:rPr>
          <w:rFonts w:ascii="Times New Roman" w:hAnsi="Times New Roman" w:cs="宋体"/>
          <w:szCs w:val="24"/>
          <w:lang w:bidi="ar"/>
        </w:rPr>
        <w:t>——</w:t>
      </w:r>
      <w:r>
        <w:rPr>
          <w:rFonts w:hint="eastAsia" w:ascii="Times New Roman" w:hAnsi="Times New Roman" w:cs="宋体"/>
          <w:szCs w:val="24"/>
          <w:lang w:bidi="ar"/>
        </w:rPr>
        <w:t>任意点至井排的距离（</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b/>
          <w:bCs/>
          <w:szCs w:val="24"/>
          <w:lang w:bidi="ar"/>
        </w:rPr>
        <w:t>D.0.5</w:t>
      </w:r>
      <w:r>
        <w:rPr>
          <w:rFonts w:ascii="Times New Roman" w:hAnsi="Times New Roman" w:cs="宋体"/>
          <w:szCs w:val="24"/>
          <w:lang w:bidi="ar"/>
        </w:rPr>
        <w:t xml:space="preserve"> </w:t>
      </w:r>
      <w:r>
        <w:rPr>
          <w:rFonts w:hint="eastAsia" w:ascii="Times New Roman" w:hAnsi="Times New Roman" w:cs="宋体"/>
          <w:szCs w:val="24"/>
          <w:lang w:bidi="ar"/>
        </w:rPr>
        <w:t>采用悬挂式截水帷幕的基坑降水形成的基坑内外的水位可按下式D.0.5-1、D.0.5-2进行预测，条件复杂时宜采用数值模拟法计算。</w:t>
      </w:r>
    </w:p>
    <w:p>
      <w:pPr>
        <w:spacing w:line="480" w:lineRule="exact"/>
        <w:ind w:firstLine="480" w:firstLineChars="200"/>
        <w:rPr>
          <w:rFonts w:ascii="Times New Roman" w:hAnsi="Times New Roman" w:cs="宋体"/>
          <w:szCs w:val="24"/>
          <w:lang w:bidi="ar"/>
        </w:rPr>
      </w:pPr>
      <w:bookmarkStart w:id="1006" w:name="_Toc19608"/>
      <w:bookmarkStart w:id="1007" w:name="_Toc9407"/>
      <w:r>
        <w:rPr>
          <w:rFonts w:hint="eastAsia" w:ascii="Times New Roman" w:hAnsi="Times New Roman" w:cs="宋体"/>
          <w:szCs w:val="24"/>
          <w:lang w:bidi="ar"/>
        </w:rPr>
        <w:t>1  承压水</w:t>
      </w:r>
      <w:bookmarkEnd w:id="1006"/>
      <w:bookmarkEnd w:id="1007"/>
    </w:p>
    <w:tbl>
      <w:tblPr>
        <w:tblStyle w:val="32"/>
        <w:tblW w:w="0" w:type="auto"/>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shd w:val="clear" w:color="auto" w:fill="auto"/>
            <w:vAlign w:val="center"/>
          </w:tcPr>
          <w:p>
            <w:pPr>
              <w:jc w:val="right"/>
              <w:rPr>
                <w:rFonts w:ascii="Times New Roman" w:hAnsi="Times New Roman" w:cs="宋体"/>
                <w:lang w:bidi="ar"/>
              </w:rPr>
            </w:pPr>
            <w:r>
              <w:rPr>
                <w:rFonts w:hint="eastAsia" w:ascii="Times New Roman" w:hAnsi="Times New Roman" w:cs="宋体"/>
              </w:rPr>
              <w:drawing>
                <wp:inline distT="0" distB="0" distL="114300" distR="114300">
                  <wp:extent cx="1266825" cy="571500"/>
                  <wp:effectExtent l="0" t="0" r="9525" b="0"/>
                  <wp:docPr id="382" name="图片 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2" name="图片 111"/>
                          <pic:cNvPicPr>
                            <a:picLocks noChangeAspect="true"/>
                          </pic:cNvPicPr>
                        </pic:nvPicPr>
                        <pic:blipFill>
                          <a:blip r:embed="rId754"/>
                          <a:stretch>
                            <a:fillRect/>
                          </a:stretch>
                        </pic:blipFill>
                        <pic:spPr>
                          <a:xfrm>
                            <a:off x="0" y="0"/>
                            <a:ext cx="1266825" cy="571500"/>
                          </a:xfrm>
                          <a:prstGeom prst="rect">
                            <a:avLst/>
                          </a:prstGeom>
                          <a:noFill/>
                          <a:ln>
                            <a:noFill/>
                          </a:ln>
                        </pic:spPr>
                      </pic:pic>
                    </a:graphicData>
                  </a:graphic>
                </wp:inline>
              </w:drawing>
            </w:r>
          </w:p>
        </w:tc>
        <w:tc>
          <w:tcPr>
            <w:tcW w:w="4927" w:type="dxa"/>
            <w:shd w:val="clear" w:color="auto" w:fill="auto"/>
            <w:vAlign w:val="center"/>
          </w:tcPr>
          <w:p>
            <w:pPr>
              <w:jc w:val="right"/>
              <w:rPr>
                <w:rFonts w:ascii="Times New Roman" w:hAnsi="Times New Roman" w:cs="宋体"/>
                <w:lang w:bidi="ar"/>
              </w:rPr>
            </w:pPr>
            <w:r>
              <w:rPr>
                <w:rFonts w:hint="eastAsia" w:ascii="Times New Roman" w:hAnsi="Times New Roman" w:cs="宋体"/>
                <w:szCs w:val="24"/>
                <w:lang w:val="pt-BR" w:bidi="ar"/>
              </w:rPr>
              <w:t>（D.</w:t>
            </w:r>
            <w:r>
              <w:rPr>
                <w:rFonts w:ascii="Times New Roman" w:hAnsi="Times New Roman" w:cs="宋体"/>
                <w:szCs w:val="24"/>
                <w:lang w:val="pt-BR" w:bidi="ar"/>
              </w:rPr>
              <w:t>0</w:t>
            </w:r>
            <w:r>
              <w:rPr>
                <w:rFonts w:hint="eastAsia" w:ascii="Times New Roman" w:hAnsi="Times New Roman" w:cs="宋体"/>
                <w:szCs w:val="24"/>
                <w:lang w:val="pt-BR" w:bidi="ar"/>
              </w:rPr>
              <w:t>.</w:t>
            </w:r>
            <w:r>
              <w:rPr>
                <w:rFonts w:hint="eastAsia" w:ascii="Times New Roman" w:hAnsi="Times New Roman" w:cs="宋体"/>
                <w:szCs w:val="24"/>
                <w:lang w:bidi="ar"/>
              </w:rPr>
              <w:t>5-1</w:t>
            </w:r>
            <w:r>
              <w:rPr>
                <w:rFonts w:hint="eastAsia" w:ascii="Times New Roman" w:hAnsi="Times New Roman" w:cs="宋体"/>
                <w:szCs w:val="24"/>
                <w:lang w:val="pt-BR" w:bidi="ar"/>
              </w:rPr>
              <w:t>）</w:t>
            </w:r>
          </w:p>
        </w:tc>
      </w:tr>
    </w:tbl>
    <w:p>
      <w:pPr>
        <w:spacing w:line="480" w:lineRule="exact"/>
        <w:rPr>
          <w:rFonts w:ascii="Times New Roman" w:hAnsi="Times New Roman" w:cs="宋体"/>
          <w:lang w:bidi="ar"/>
        </w:rPr>
      </w:pPr>
      <w:r>
        <w:rPr>
          <w:rFonts w:hint="eastAsia" w:ascii="Times New Roman" w:hAnsi="Times New Roman" w:cs="宋体"/>
          <w:szCs w:val="24"/>
          <w:lang w:bidi="ar"/>
        </w:rPr>
        <w:t>式中：S</w:t>
      </w:r>
      <w:r>
        <w:rPr>
          <w:rFonts w:ascii="Times New Roman" w:hAnsi="Times New Roman" w:cs="宋体"/>
          <w:szCs w:val="24"/>
          <w:lang w:bidi="ar"/>
        </w:rPr>
        <w:t>——</w:t>
      </w:r>
      <w:r>
        <w:rPr>
          <w:rFonts w:hint="eastAsia" w:ascii="Times New Roman" w:hAnsi="Times New Roman" w:cs="宋体"/>
          <w:szCs w:val="24"/>
          <w:lang w:bidi="ar"/>
        </w:rPr>
        <w:t>水位降深（m）；</w:t>
      </w:r>
      <w:r>
        <w:rPr>
          <w:rFonts w:hint="eastAsia" w:ascii="Times New Roman" w:hAnsi="Times New Roman" w:cs="宋体"/>
          <w:szCs w:val="24"/>
          <w:lang w:bidi="ar"/>
        </w:rPr>
        <w:tab/>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Q</w:t>
      </w:r>
      <w:r>
        <w:rPr>
          <w:rFonts w:ascii="Times New Roman" w:hAnsi="Times New Roman" w:cs="宋体"/>
          <w:szCs w:val="24"/>
          <w:lang w:bidi="ar"/>
        </w:rPr>
        <w:t>——</w:t>
      </w:r>
      <w:r>
        <w:rPr>
          <w:rFonts w:hint="eastAsia" w:ascii="Times New Roman" w:hAnsi="Times New Roman" w:cs="宋体"/>
          <w:szCs w:val="24"/>
          <w:lang w:bidi="ar"/>
        </w:rPr>
        <w:t>流量(m</w:t>
      </w:r>
      <w:r>
        <w:rPr>
          <w:rFonts w:ascii="Times New Roman" w:hAnsi="Times New Roman" w:cs="宋体"/>
          <w:szCs w:val="24"/>
          <w:vertAlign w:val="superscript"/>
          <w:lang w:bidi="ar"/>
        </w:rPr>
        <w:t>3</w:t>
      </w:r>
      <w:r>
        <w:rPr>
          <w:rFonts w:hint="eastAsia" w:ascii="Times New Roman" w:hAnsi="Times New Roman" w:cs="宋体"/>
          <w:szCs w:val="24"/>
          <w:lang w:bidi="ar"/>
        </w:rPr>
        <w:t>/d)；</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k</w:t>
      </w:r>
      <w:r>
        <w:rPr>
          <w:rFonts w:ascii="Times New Roman" w:hAnsi="Times New Roman" w:cs="宋体"/>
          <w:szCs w:val="24"/>
          <w:lang w:bidi="ar"/>
        </w:rPr>
        <w:t>——</w:t>
      </w:r>
      <w:r>
        <w:rPr>
          <w:rFonts w:hint="eastAsia" w:ascii="Times New Roman" w:hAnsi="Times New Roman" w:cs="宋体"/>
          <w:szCs w:val="24"/>
          <w:lang w:bidi="ar"/>
        </w:rPr>
        <w:t>渗透系数(m/d)；</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M</w:t>
      </w:r>
      <w:r>
        <w:rPr>
          <w:rFonts w:ascii="Times New Roman" w:hAnsi="Times New Roman" w:cs="宋体"/>
          <w:szCs w:val="24"/>
          <w:lang w:bidi="ar"/>
        </w:rPr>
        <w:t>——</w:t>
      </w:r>
      <w:r>
        <w:rPr>
          <w:rFonts w:hint="eastAsia" w:ascii="Times New Roman" w:hAnsi="Times New Roman" w:cs="宋体"/>
          <w:szCs w:val="24"/>
          <w:lang w:bidi="ar"/>
        </w:rPr>
        <w:t>含水层厚度（m）；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R</w:t>
      </w:r>
      <w:r>
        <w:rPr>
          <w:rFonts w:ascii="Times New Roman" w:hAnsi="Times New Roman" w:cs="宋体"/>
          <w:szCs w:val="24"/>
          <w:lang w:bidi="ar"/>
        </w:rPr>
        <w:t>——</w:t>
      </w:r>
      <w:r>
        <w:rPr>
          <w:rFonts w:hint="eastAsia" w:ascii="Times New Roman" w:hAnsi="Times New Roman" w:cs="宋体"/>
          <w:szCs w:val="24"/>
          <w:lang w:bidi="ar"/>
        </w:rPr>
        <w:t>影响半径（m）；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r</w:t>
      </w:r>
      <w:r>
        <w:rPr>
          <w:rFonts w:ascii="Times New Roman" w:hAnsi="Times New Roman" w:cs="宋体"/>
          <w:szCs w:val="24"/>
          <w:lang w:bidi="ar"/>
        </w:rPr>
        <w:t>——</w:t>
      </w:r>
      <w:r>
        <w:rPr>
          <w:rFonts w:hint="eastAsia" w:ascii="Times New Roman" w:hAnsi="Times New Roman" w:cs="宋体"/>
          <w:szCs w:val="24"/>
          <w:lang w:bidi="ar"/>
        </w:rPr>
        <w:t>计算点距离（m）；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&amp;</w:t>
      </w:r>
      <w:r>
        <w:rPr>
          <w:rFonts w:ascii="Times New Roman" w:hAnsi="Times New Roman" w:cs="宋体"/>
          <w:szCs w:val="24"/>
          <w:lang w:bidi="ar"/>
        </w:rPr>
        <w:t>——</w:t>
      </w:r>
      <w:r>
        <w:rPr>
          <w:rFonts w:hint="eastAsia" w:ascii="Times New Roman" w:hAnsi="Times New Roman" w:cs="宋体"/>
          <w:szCs w:val="24"/>
          <w:lang w:bidi="ar"/>
        </w:rPr>
        <w:t>渗透阻力系数。</w:t>
      </w:r>
    </w:p>
    <w:p>
      <w:pPr>
        <w:spacing w:line="480" w:lineRule="exact"/>
        <w:ind w:firstLine="480" w:firstLineChars="200"/>
        <w:rPr>
          <w:rFonts w:hint="eastAsia" w:ascii="Times New Roman" w:hAnsi="Times New Roman" w:cs="宋体"/>
          <w:szCs w:val="24"/>
          <w:lang w:bidi="ar"/>
        </w:rPr>
      </w:pPr>
      <w:bookmarkStart w:id="1008" w:name="_Toc10915"/>
      <w:bookmarkStart w:id="1009" w:name="_Toc20858"/>
      <w:r>
        <w:rPr>
          <w:rFonts w:hint="eastAsia" w:ascii="Times New Roman" w:hAnsi="Times New Roman" w:cs="宋体"/>
          <w:szCs w:val="24"/>
          <w:lang w:bidi="ar"/>
        </w:rPr>
        <w:t>2  潜水</w:t>
      </w:r>
      <w:bookmarkEnd w:id="1008"/>
      <w:bookmarkEnd w:id="1009"/>
    </w:p>
    <w:tbl>
      <w:tblPr>
        <w:tblStyle w:val="32"/>
        <w:tblW w:w="0" w:type="auto"/>
        <w:tblInd w:w="0" w:type="dxa"/>
        <w:tblLayout w:type="fixed"/>
        <w:tblCellMar>
          <w:top w:w="0" w:type="dxa"/>
          <w:left w:w="108" w:type="dxa"/>
          <w:bottom w:w="0" w:type="dxa"/>
          <w:right w:w="108" w:type="dxa"/>
        </w:tblCellMar>
      </w:tblPr>
      <w:tblGrid>
        <w:gridCol w:w="5778"/>
        <w:gridCol w:w="4076"/>
      </w:tblGrid>
      <w:tr>
        <w:tblPrEx>
          <w:tblCellMar>
            <w:top w:w="0" w:type="dxa"/>
            <w:left w:w="108" w:type="dxa"/>
            <w:bottom w:w="0" w:type="dxa"/>
            <w:right w:w="108" w:type="dxa"/>
          </w:tblCellMar>
        </w:tblPrEx>
        <w:tc>
          <w:tcPr>
            <w:tcW w:w="5778" w:type="dxa"/>
            <w:shd w:val="clear" w:color="auto" w:fill="auto"/>
            <w:vAlign w:val="center"/>
          </w:tcPr>
          <w:p>
            <w:pPr>
              <w:jc w:val="right"/>
              <w:rPr>
                <w:rFonts w:ascii="Times New Roman" w:hAnsi="Times New Roman" w:cs="宋体"/>
                <w:lang w:bidi="ar"/>
              </w:rPr>
            </w:pPr>
            <w:r>
              <w:rPr>
                <w:rFonts w:ascii="Times New Roman" w:hAnsi="Times New Roman" w:cs="宋体"/>
              </w:rPr>
              <w:drawing>
                <wp:inline distT="0" distB="0" distL="114300" distR="114300">
                  <wp:extent cx="2257425" cy="942975"/>
                  <wp:effectExtent l="0" t="0" r="9525" b="8890"/>
                  <wp:docPr id="195" name="图片 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5" name="图片 112"/>
                          <pic:cNvPicPr>
                            <a:picLocks noChangeAspect="true"/>
                          </pic:cNvPicPr>
                        </pic:nvPicPr>
                        <pic:blipFill>
                          <a:blip r:embed="rId755"/>
                          <a:stretch>
                            <a:fillRect/>
                          </a:stretch>
                        </pic:blipFill>
                        <pic:spPr>
                          <a:xfrm>
                            <a:off x="0" y="0"/>
                            <a:ext cx="2257425" cy="942975"/>
                          </a:xfrm>
                          <a:prstGeom prst="rect">
                            <a:avLst/>
                          </a:prstGeom>
                          <a:noFill/>
                          <a:ln>
                            <a:noFill/>
                          </a:ln>
                        </pic:spPr>
                      </pic:pic>
                    </a:graphicData>
                  </a:graphic>
                </wp:inline>
              </w:drawing>
            </w:r>
          </w:p>
        </w:tc>
        <w:tc>
          <w:tcPr>
            <w:tcW w:w="4076" w:type="dxa"/>
            <w:shd w:val="clear" w:color="auto" w:fill="auto"/>
            <w:vAlign w:val="center"/>
          </w:tcPr>
          <w:p>
            <w:pPr>
              <w:jc w:val="right"/>
              <w:rPr>
                <w:rFonts w:ascii="Times New Roman" w:hAnsi="Times New Roman" w:cs="宋体"/>
                <w:lang w:bidi="ar"/>
              </w:rPr>
            </w:pPr>
            <w:r>
              <w:rPr>
                <w:rFonts w:hint="eastAsia" w:ascii="Times New Roman" w:hAnsi="Times New Roman" w:cs="宋体"/>
                <w:szCs w:val="24"/>
                <w:lang w:val="pt-BR" w:bidi="ar"/>
              </w:rPr>
              <w:t>（D.</w:t>
            </w:r>
            <w:r>
              <w:rPr>
                <w:rFonts w:ascii="Times New Roman" w:hAnsi="Times New Roman" w:cs="宋体"/>
                <w:szCs w:val="24"/>
                <w:lang w:val="pt-BR" w:bidi="ar"/>
              </w:rPr>
              <w:t>0</w:t>
            </w:r>
            <w:r>
              <w:rPr>
                <w:rFonts w:hint="eastAsia" w:ascii="Times New Roman" w:hAnsi="Times New Roman" w:cs="宋体"/>
                <w:szCs w:val="24"/>
                <w:lang w:val="pt-BR" w:bidi="ar"/>
              </w:rPr>
              <w:t>.</w:t>
            </w:r>
            <w:r>
              <w:rPr>
                <w:rFonts w:hint="eastAsia" w:ascii="Times New Roman" w:hAnsi="Times New Roman" w:cs="宋体"/>
                <w:szCs w:val="24"/>
                <w:lang w:bidi="ar"/>
              </w:rPr>
              <w:t>5-2</w:t>
            </w:r>
            <w:r>
              <w:rPr>
                <w:rFonts w:hint="eastAsia" w:ascii="Times New Roman" w:hAnsi="Times New Roman" w:cs="宋体"/>
                <w:szCs w:val="24"/>
                <w:lang w:val="pt-BR" w:bidi="ar"/>
              </w:rPr>
              <w:t>）</w:t>
            </w:r>
          </w:p>
        </w:tc>
      </w:tr>
    </w:tbl>
    <w:p>
      <w:pPr>
        <w:spacing w:line="480" w:lineRule="exact"/>
        <w:rPr>
          <w:rFonts w:ascii="Times New Roman" w:hAnsi="Times New Roman" w:cs="宋体"/>
          <w:lang w:val="pt-BR" w:bidi="ar"/>
        </w:rPr>
      </w:pPr>
      <w:r>
        <w:rPr>
          <w:rFonts w:hint="eastAsia" w:ascii="Times New Roman" w:hAnsi="Times New Roman" w:cs="宋体"/>
          <w:szCs w:val="24"/>
          <w:lang w:bidi="ar"/>
        </w:rPr>
        <w:t>式中</w:t>
      </w:r>
      <w:r>
        <w:rPr>
          <w:rFonts w:hint="eastAsia" w:ascii="Times New Roman" w:hAnsi="Times New Roman" w:cs="宋体"/>
          <w:szCs w:val="24"/>
          <w:lang w:val="pt-BR" w:bidi="ar"/>
        </w:rPr>
        <w:t>：S</w:t>
      </w:r>
      <w:r>
        <w:rPr>
          <w:rFonts w:ascii="Times New Roman" w:hAnsi="Times New Roman" w:cs="宋体"/>
          <w:szCs w:val="24"/>
          <w:lang w:bidi="ar"/>
        </w:rPr>
        <w:t>——</w:t>
      </w:r>
      <w:r>
        <w:rPr>
          <w:rFonts w:hint="eastAsia" w:ascii="Times New Roman" w:hAnsi="Times New Roman" w:cs="宋体"/>
          <w:szCs w:val="24"/>
          <w:lang w:bidi="ar"/>
        </w:rPr>
        <w:t>水位降深</w:t>
      </w:r>
      <w:r>
        <w:rPr>
          <w:rFonts w:hint="eastAsia" w:ascii="Times New Roman" w:hAnsi="Times New Roman" w:cs="宋体"/>
          <w:szCs w:val="24"/>
          <w:lang w:val="pt-BR" w:bidi="ar"/>
        </w:rPr>
        <w:t>（m）；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Q</w:t>
      </w:r>
      <w:r>
        <w:rPr>
          <w:rFonts w:ascii="Times New Roman" w:hAnsi="Times New Roman" w:cs="宋体"/>
          <w:szCs w:val="24"/>
          <w:lang w:bidi="ar"/>
        </w:rPr>
        <w:t>——</w:t>
      </w:r>
      <w:r>
        <w:rPr>
          <w:rFonts w:hint="eastAsia" w:ascii="Times New Roman" w:hAnsi="Times New Roman" w:cs="宋体"/>
          <w:szCs w:val="24"/>
          <w:lang w:bidi="ar"/>
        </w:rPr>
        <w:t>流量(m</w:t>
      </w:r>
      <w:r>
        <w:rPr>
          <w:rFonts w:ascii="Times New Roman" w:hAnsi="Times New Roman" w:cs="宋体"/>
          <w:szCs w:val="24"/>
          <w:vertAlign w:val="superscript"/>
          <w:lang w:bidi="ar"/>
        </w:rPr>
        <w:t>3</w:t>
      </w:r>
      <w:r>
        <w:rPr>
          <w:rFonts w:hint="eastAsia" w:ascii="Times New Roman" w:hAnsi="Times New Roman" w:cs="宋体"/>
          <w:szCs w:val="24"/>
          <w:lang w:bidi="ar"/>
        </w:rPr>
        <w:t>/d)；</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H</w:t>
      </w:r>
      <w:r>
        <w:rPr>
          <w:rFonts w:ascii="Times New Roman" w:hAnsi="Times New Roman" w:cs="宋体"/>
          <w:szCs w:val="24"/>
          <w:lang w:bidi="ar"/>
        </w:rPr>
        <w:t>——</w:t>
      </w:r>
      <w:r>
        <w:rPr>
          <w:rFonts w:hint="eastAsia" w:ascii="Times New Roman" w:hAnsi="Times New Roman" w:cs="宋体"/>
          <w:szCs w:val="24"/>
          <w:lang w:bidi="ar"/>
        </w:rPr>
        <w:t>潜水水层厚度（m）；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K</w:t>
      </w:r>
      <w:r>
        <w:rPr>
          <w:rFonts w:ascii="Times New Roman" w:hAnsi="Times New Roman" w:cs="宋体"/>
          <w:szCs w:val="24"/>
          <w:lang w:bidi="ar"/>
        </w:rPr>
        <w:t>——</w:t>
      </w:r>
      <w:r>
        <w:rPr>
          <w:rFonts w:hint="eastAsia" w:ascii="Times New Roman" w:hAnsi="Times New Roman" w:cs="宋体"/>
          <w:szCs w:val="24"/>
          <w:lang w:bidi="ar"/>
        </w:rPr>
        <w:t>渗透系数(m/d)；</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R</w:t>
      </w:r>
      <w:r>
        <w:rPr>
          <w:rFonts w:ascii="Times New Roman" w:hAnsi="Times New Roman" w:cs="宋体"/>
          <w:szCs w:val="24"/>
          <w:lang w:bidi="ar"/>
        </w:rPr>
        <w:t>——</w:t>
      </w:r>
      <w:r>
        <w:rPr>
          <w:rFonts w:hint="eastAsia" w:ascii="Times New Roman" w:hAnsi="Times New Roman" w:cs="宋体"/>
          <w:szCs w:val="24"/>
          <w:lang w:bidi="ar"/>
        </w:rPr>
        <w:t>影响半径（m）；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r</w:t>
      </w:r>
      <w:r>
        <w:rPr>
          <w:rFonts w:ascii="Times New Roman" w:hAnsi="Times New Roman" w:cs="宋体"/>
          <w:szCs w:val="24"/>
          <w:lang w:bidi="ar"/>
        </w:rPr>
        <w:t>——</w:t>
      </w:r>
      <w:r>
        <w:rPr>
          <w:rFonts w:hint="eastAsia" w:ascii="Times New Roman" w:hAnsi="Times New Roman" w:cs="宋体"/>
          <w:szCs w:val="24"/>
          <w:lang w:bidi="ar"/>
        </w:rPr>
        <w:t>计算点距离（m）；</w:t>
      </w:r>
    </w:p>
    <w:p>
      <w:pPr>
        <w:spacing w:line="480" w:lineRule="exact"/>
        <w:ind w:firstLine="720" w:firstLineChars="300"/>
        <w:rPr>
          <w:rFonts w:ascii="Times New Roman" w:hAnsi="Times New Roman" w:cs="宋体"/>
          <w:lang w:bidi="ar"/>
        </w:rPr>
      </w:pPr>
      <w:r>
        <w:rPr>
          <w:rFonts w:hint="eastAsia" w:ascii="Times New Roman" w:hAnsi="Times New Roman" w:cs="宋体"/>
          <w:szCs w:val="24"/>
          <w:lang w:bidi="ar"/>
        </w:rPr>
        <w:t>&amp;</w:t>
      </w:r>
      <w:r>
        <w:rPr>
          <w:rFonts w:ascii="Times New Roman" w:hAnsi="Times New Roman" w:cs="宋体"/>
          <w:szCs w:val="24"/>
          <w:lang w:bidi="ar"/>
        </w:rPr>
        <w:t>——</w:t>
      </w:r>
      <w:r>
        <w:rPr>
          <w:rFonts w:hint="eastAsia" w:ascii="Times New Roman" w:hAnsi="Times New Roman" w:cs="宋体"/>
          <w:szCs w:val="24"/>
          <w:lang w:bidi="ar"/>
        </w:rPr>
        <w:t>渗透阻力系数。</w:t>
      </w:r>
    </w:p>
    <w:tbl>
      <w:tblPr>
        <w:tblStyle w:val="32"/>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206"/>
        <w:gridCol w:w="840"/>
        <w:gridCol w:w="840"/>
        <w:gridCol w:w="720"/>
        <w:gridCol w:w="779"/>
        <w:gridCol w:w="837"/>
        <w:gridCol w:w="838"/>
        <w:gridCol w:w="838"/>
        <w:gridCol w:w="838"/>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42" w:type="dxa"/>
            <w:vMerge w:val="restart"/>
            <w:tcBorders>
              <w:top w:val="single" w:color="auto" w:sz="4" w:space="0"/>
              <w:left w:val="single" w:color="auto" w:sz="4" w:space="0"/>
              <w:bottom w:val="single" w:color="auto" w:sz="4" w:space="0"/>
              <w:right w:val="single" w:color="auto" w:sz="4" w:space="0"/>
            </w:tcBorders>
            <w:shd w:val="clear" w:color="auto" w:fill="auto"/>
          </w:tcPr>
          <w:p>
            <w:pPr>
              <w:spacing w:line="960" w:lineRule="auto"/>
              <w:jc w:val="center"/>
              <w:rPr>
                <w:szCs w:val="21"/>
              </w:rPr>
            </w:pPr>
            <w:r>
              <w:rPr>
                <w:szCs w:val="21"/>
              </w:rPr>
              <w:drawing>
                <wp:inline distT="0" distB="0" distL="114300" distR="114300">
                  <wp:extent cx="133350" cy="400050"/>
                  <wp:effectExtent l="0" t="0" r="0" b="0"/>
                  <wp:docPr id="196"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 name="图片 113"/>
                          <pic:cNvPicPr>
                            <a:picLocks noChangeAspect="true"/>
                          </pic:cNvPicPr>
                        </pic:nvPicPr>
                        <pic:blipFill>
                          <a:blip r:embed="rId756">
                            <a:clrChange>
                              <a:clrFrom>
                                <a:srgbClr val="FFFFFF"/>
                              </a:clrFrom>
                              <a:clrTo>
                                <a:srgbClr val="FFFFFF">
                                  <a:alpha val="0"/>
                                </a:srgbClr>
                              </a:clrTo>
                            </a:clrChange>
                          </a:blip>
                          <a:stretch>
                            <a:fillRect/>
                          </a:stretch>
                        </pic:blipFill>
                        <pic:spPr>
                          <a:xfrm>
                            <a:off x="0" y="0"/>
                            <a:ext cx="133350" cy="400050"/>
                          </a:xfrm>
                          <a:prstGeom prst="rect">
                            <a:avLst/>
                          </a:prstGeom>
                          <a:noFill/>
                          <a:ln>
                            <a:noFill/>
                          </a:ln>
                        </pic:spPr>
                      </pic:pic>
                    </a:graphicData>
                  </a:graphic>
                </wp:inline>
              </w:drawing>
            </w:r>
          </w:p>
        </w:tc>
        <w:tc>
          <w:tcPr>
            <w:tcW w:w="8569" w:type="dxa"/>
            <w:gridSpan w:val="10"/>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szCs w:val="21"/>
              </w:rPr>
              <w:drawing>
                <wp:inline distT="0" distB="0" distL="114300" distR="114300">
                  <wp:extent cx="133350" cy="400050"/>
                  <wp:effectExtent l="0" t="0" r="0" b="0"/>
                  <wp:docPr id="197"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 name="图片 114"/>
                          <pic:cNvPicPr>
                            <a:picLocks noChangeAspect="true"/>
                          </pic:cNvPicPr>
                        </pic:nvPicPr>
                        <pic:blipFill>
                          <a:blip r:embed="rId757">
                            <a:clrChange>
                              <a:clrFrom>
                                <a:srgbClr val="FFFFFF"/>
                              </a:clrFrom>
                              <a:clrTo>
                                <a:srgbClr val="FFFFFF">
                                  <a:alpha val="0"/>
                                </a:srgbClr>
                              </a:clrTo>
                            </a:clrChange>
                          </a:blip>
                          <a:stretch>
                            <a:fillRect/>
                          </a:stretch>
                        </pic:blipFill>
                        <pic:spPr>
                          <a:xfrm>
                            <a:off x="0" y="0"/>
                            <a:ext cx="133350" cy="400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42"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sz w:val="20"/>
                <w:szCs w:val="20"/>
              </w:rPr>
            </w:pPr>
          </w:p>
        </w:tc>
        <w:tc>
          <w:tcPr>
            <w:tcW w:w="1206"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5</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3</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10</w:t>
            </w:r>
          </w:p>
        </w:tc>
        <w:tc>
          <w:tcPr>
            <w:tcW w:w="779"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30</w:t>
            </w:r>
          </w:p>
        </w:tc>
        <w:tc>
          <w:tcPr>
            <w:tcW w:w="837"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100</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200</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500</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1000</w:t>
            </w:r>
          </w:p>
        </w:tc>
        <w:tc>
          <w:tcPr>
            <w:tcW w:w="833"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42"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1</w:t>
            </w:r>
          </w:p>
        </w:tc>
        <w:tc>
          <w:tcPr>
            <w:tcW w:w="1206"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00391</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122</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w:t>
            </w:r>
            <w:r>
              <w:rPr>
                <w:sz w:val="21"/>
                <w:szCs w:val="21"/>
                <w:lang w:bidi="ar"/>
              </w:rPr>
              <w:t>.</w:t>
            </w:r>
            <w:r>
              <w:rPr>
                <w:rFonts w:ascii="Times New Roman" w:hAnsi="Times New Roman"/>
                <w:sz w:val="21"/>
                <w:szCs w:val="21"/>
                <w:lang w:bidi="ar"/>
              </w:rPr>
              <w:t>04</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10</w:t>
            </w:r>
            <w:r>
              <w:rPr>
                <w:sz w:val="21"/>
                <w:szCs w:val="21"/>
                <w:lang w:bidi="ar"/>
              </w:rPr>
              <w:t>.</w:t>
            </w:r>
            <w:r>
              <w:rPr>
                <w:rFonts w:ascii="Times New Roman" w:hAnsi="Times New Roman"/>
                <w:sz w:val="21"/>
                <w:szCs w:val="21"/>
                <w:lang w:bidi="ar"/>
              </w:rPr>
              <w:t>4</w:t>
            </w:r>
          </w:p>
        </w:tc>
        <w:tc>
          <w:tcPr>
            <w:tcW w:w="779"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24</w:t>
            </w:r>
            <w:r>
              <w:rPr>
                <w:sz w:val="21"/>
                <w:szCs w:val="21"/>
                <w:lang w:bidi="ar"/>
              </w:rPr>
              <w:t>.</w:t>
            </w:r>
            <w:r>
              <w:rPr>
                <w:rFonts w:ascii="Times New Roman" w:hAnsi="Times New Roman"/>
                <w:sz w:val="21"/>
                <w:szCs w:val="21"/>
                <w:lang w:bidi="ar"/>
              </w:rPr>
              <w:t>3</w:t>
            </w:r>
          </w:p>
        </w:tc>
        <w:tc>
          <w:tcPr>
            <w:tcW w:w="837"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42</w:t>
            </w:r>
            <w:r>
              <w:rPr>
                <w:sz w:val="21"/>
                <w:szCs w:val="21"/>
                <w:lang w:bidi="ar"/>
              </w:rPr>
              <w:t>.</w:t>
            </w:r>
            <w:r>
              <w:rPr>
                <w:rFonts w:ascii="Times New Roman" w:hAnsi="Times New Roman"/>
                <w:sz w:val="21"/>
                <w:szCs w:val="21"/>
                <w:lang w:bidi="ar"/>
              </w:rPr>
              <w:t>8</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53</w:t>
            </w:r>
            <w:r>
              <w:rPr>
                <w:sz w:val="21"/>
                <w:szCs w:val="21"/>
                <w:lang w:bidi="ar"/>
              </w:rPr>
              <w:t>.</w:t>
            </w:r>
            <w:r>
              <w:rPr>
                <w:rFonts w:ascii="Times New Roman" w:hAnsi="Times New Roman"/>
                <w:sz w:val="21"/>
                <w:szCs w:val="21"/>
                <w:lang w:bidi="ar"/>
              </w:rPr>
              <w:t>8</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69</w:t>
            </w:r>
            <w:r>
              <w:rPr>
                <w:sz w:val="21"/>
                <w:szCs w:val="21"/>
                <w:lang w:bidi="ar"/>
              </w:rPr>
              <w:t>.</w:t>
            </w:r>
            <w:r>
              <w:rPr>
                <w:rFonts w:ascii="Times New Roman" w:hAnsi="Times New Roman"/>
                <w:sz w:val="21"/>
                <w:szCs w:val="21"/>
                <w:lang w:bidi="ar"/>
              </w:rPr>
              <w:t>5</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79</w:t>
            </w:r>
            <w:r>
              <w:rPr>
                <w:sz w:val="21"/>
                <w:szCs w:val="21"/>
                <w:lang w:bidi="ar"/>
              </w:rPr>
              <w:t>.</w:t>
            </w:r>
            <w:r>
              <w:rPr>
                <w:rFonts w:ascii="Times New Roman" w:hAnsi="Times New Roman"/>
                <w:sz w:val="21"/>
                <w:szCs w:val="21"/>
                <w:lang w:bidi="ar"/>
              </w:rPr>
              <w:t>5</w:t>
            </w:r>
          </w:p>
        </w:tc>
        <w:tc>
          <w:tcPr>
            <w:tcW w:w="833"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90</w:t>
            </w:r>
            <w:r>
              <w:rPr>
                <w:sz w:val="21"/>
                <w:szCs w:val="21"/>
                <w:lang w:bidi="ar"/>
              </w:rPr>
              <w:t>.</w:t>
            </w:r>
            <w:r>
              <w:rPr>
                <w:rFonts w:ascii="Times New Roman" w:hAnsi="Times New Roman"/>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2"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3</w:t>
            </w:r>
          </w:p>
        </w:tc>
        <w:tc>
          <w:tcPr>
            <w:tcW w:w="1206"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00297</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0908</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w:t>
            </w:r>
            <w:r>
              <w:rPr>
                <w:sz w:val="21"/>
                <w:szCs w:val="21"/>
                <w:lang w:bidi="ar"/>
              </w:rPr>
              <w:t>.</w:t>
            </w:r>
            <w:r>
              <w:rPr>
                <w:rFonts w:ascii="Times New Roman" w:hAnsi="Times New Roman"/>
                <w:sz w:val="21"/>
                <w:szCs w:val="21"/>
                <w:lang w:bidi="ar"/>
              </w:rPr>
              <w:t>29</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4</w:t>
            </w:r>
            <w:r>
              <w:rPr>
                <w:sz w:val="21"/>
                <w:szCs w:val="21"/>
                <w:lang w:bidi="ar"/>
              </w:rPr>
              <w:t>.</w:t>
            </w:r>
            <w:r>
              <w:rPr>
                <w:rFonts w:ascii="Times New Roman" w:hAnsi="Times New Roman"/>
                <w:sz w:val="21"/>
                <w:szCs w:val="21"/>
                <w:lang w:bidi="ar"/>
              </w:rPr>
              <w:t>97</w:t>
            </w:r>
          </w:p>
        </w:tc>
        <w:tc>
          <w:tcPr>
            <w:tcW w:w="779"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9</w:t>
            </w:r>
            <w:r>
              <w:rPr>
                <w:sz w:val="21"/>
                <w:szCs w:val="21"/>
                <w:lang w:bidi="ar"/>
              </w:rPr>
              <w:t>.</w:t>
            </w:r>
            <w:r>
              <w:rPr>
                <w:rFonts w:ascii="Times New Roman" w:hAnsi="Times New Roman"/>
                <w:sz w:val="21"/>
                <w:szCs w:val="21"/>
                <w:lang w:bidi="ar"/>
              </w:rPr>
              <w:t>23</w:t>
            </w:r>
          </w:p>
        </w:tc>
        <w:tc>
          <w:tcPr>
            <w:tcW w:w="837"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14</w:t>
            </w:r>
            <w:r>
              <w:rPr>
                <w:sz w:val="21"/>
                <w:szCs w:val="21"/>
                <w:lang w:bidi="ar"/>
              </w:rPr>
              <w:t>.</w:t>
            </w:r>
            <w:r>
              <w:rPr>
                <w:rFonts w:ascii="Times New Roman" w:hAnsi="Times New Roman"/>
                <w:sz w:val="21"/>
                <w:szCs w:val="21"/>
                <w:lang w:bidi="ar"/>
              </w:rPr>
              <w:t>5</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17</w:t>
            </w:r>
            <w:r>
              <w:rPr>
                <w:sz w:val="21"/>
                <w:szCs w:val="21"/>
                <w:lang w:bidi="ar"/>
              </w:rPr>
              <w:t>.</w:t>
            </w:r>
            <w:r>
              <w:rPr>
                <w:rFonts w:ascii="Times New Roman" w:hAnsi="Times New Roman"/>
                <w:sz w:val="21"/>
                <w:szCs w:val="21"/>
                <w:lang w:bidi="ar"/>
              </w:rPr>
              <w:t>7</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21</w:t>
            </w:r>
            <w:r>
              <w:rPr>
                <w:sz w:val="21"/>
                <w:szCs w:val="21"/>
                <w:lang w:bidi="ar"/>
              </w:rPr>
              <w:t>.</w:t>
            </w:r>
            <w:r>
              <w:rPr>
                <w:rFonts w:ascii="Times New Roman" w:hAnsi="Times New Roman"/>
                <w:sz w:val="21"/>
                <w:szCs w:val="21"/>
                <w:lang w:bidi="ar"/>
              </w:rPr>
              <w:t>8</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24</w:t>
            </w:r>
            <w:r>
              <w:rPr>
                <w:sz w:val="21"/>
                <w:szCs w:val="21"/>
                <w:lang w:bidi="ar"/>
              </w:rPr>
              <w:t>.</w:t>
            </w:r>
            <w:r>
              <w:rPr>
                <w:rFonts w:ascii="Times New Roman" w:hAnsi="Times New Roman"/>
                <w:sz w:val="21"/>
                <w:szCs w:val="21"/>
                <w:lang w:bidi="ar"/>
              </w:rPr>
              <w:t>9</w:t>
            </w:r>
          </w:p>
        </w:tc>
        <w:tc>
          <w:tcPr>
            <w:tcW w:w="833"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28</w:t>
            </w:r>
            <w:r>
              <w:rPr>
                <w:sz w:val="21"/>
                <w:szCs w:val="21"/>
                <w:lang w:bidi="ar"/>
              </w:rPr>
              <w:t>.</w:t>
            </w:r>
            <w:r>
              <w:rPr>
                <w:rFonts w:ascii="Times New Roman" w:hAnsi="Times New Roman"/>
                <w:sz w:val="21"/>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5</w:t>
            </w:r>
          </w:p>
        </w:tc>
        <w:tc>
          <w:tcPr>
            <w:tcW w:w="1206"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00165</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0494</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656</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w:t>
            </w:r>
            <w:r>
              <w:rPr>
                <w:sz w:val="21"/>
                <w:szCs w:val="21"/>
                <w:lang w:bidi="ar"/>
              </w:rPr>
              <w:t>.</w:t>
            </w:r>
            <w:r>
              <w:rPr>
                <w:rFonts w:ascii="Times New Roman" w:hAnsi="Times New Roman"/>
                <w:sz w:val="21"/>
                <w:szCs w:val="21"/>
                <w:lang w:bidi="ar"/>
              </w:rPr>
              <w:t>26</w:t>
            </w:r>
          </w:p>
        </w:tc>
        <w:tc>
          <w:tcPr>
            <w:tcW w:w="779"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4</w:t>
            </w:r>
            <w:r>
              <w:rPr>
                <w:sz w:val="21"/>
                <w:szCs w:val="21"/>
                <w:lang w:bidi="ar"/>
              </w:rPr>
              <w:t>.</w:t>
            </w:r>
            <w:r>
              <w:rPr>
                <w:rFonts w:ascii="Times New Roman" w:hAnsi="Times New Roman"/>
                <w:sz w:val="21"/>
                <w:szCs w:val="21"/>
                <w:lang w:bidi="ar"/>
              </w:rPr>
              <w:t>21</w:t>
            </w:r>
          </w:p>
        </w:tc>
        <w:tc>
          <w:tcPr>
            <w:tcW w:w="837"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6</w:t>
            </w:r>
            <w:r>
              <w:rPr>
                <w:sz w:val="21"/>
                <w:szCs w:val="21"/>
                <w:lang w:bidi="ar"/>
              </w:rPr>
              <w:t>.</w:t>
            </w:r>
            <w:r>
              <w:rPr>
                <w:rFonts w:ascii="Times New Roman" w:hAnsi="Times New Roman"/>
                <w:sz w:val="21"/>
                <w:szCs w:val="21"/>
                <w:lang w:bidi="ar"/>
              </w:rPr>
              <w:t>55</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7</w:t>
            </w:r>
            <w:r>
              <w:rPr>
                <w:sz w:val="21"/>
                <w:szCs w:val="21"/>
                <w:lang w:bidi="ar"/>
              </w:rPr>
              <w:t>.</w:t>
            </w:r>
            <w:r>
              <w:rPr>
                <w:rFonts w:ascii="Times New Roman" w:hAnsi="Times New Roman"/>
                <w:sz w:val="21"/>
                <w:szCs w:val="21"/>
                <w:lang w:bidi="ar"/>
              </w:rPr>
              <w:t>86</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9</w:t>
            </w:r>
            <w:r>
              <w:rPr>
                <w:sz w:val="21"/>
                <w:szCs w:val="21"/>
                <w:lang w:bidi="ar"/>
              </w:rPr>
              <w:t>.</w:t>
            </w:r>
            <w:r>
              <w:rPr>
                <w:rFonts w:ascii="Times New Roman" w:hAnsi="Times New Roman"/>
                <w:sz w:val="21"/>
                <w:szCs w:val="21"/>
                <w:lang w:bidi="ar"/>
              </w:rPr>
              <w:t>64</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11</w:t>
            </w:r>
            <w:r>
              <w:rPr>
                <w:sz w:val="21"/>
                <w:szCs w:val="21"/>
                <w:lang w:bidi="ar"/>
              </w:rPr>
              <w:t>.</w:t>
            </w:r>
            <w:r>
              <w:rPr>
                <w:rFonts w:ascii="Times New Roman" w:hAnsi="Times New Roman"/>
                <w:sz w:val="21"/>
                <w:szCs w:val="21"/>
                <w:lang w:bidi="ar"/>
              </w:rPr>
              <w:t>0</w:t>
            </w:r>
          </w:p>
        </w:tc>
        <w:tc>
          <w:tcPr>
            <w:tcW w:w="833"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12</w:t>
            </w:r>
            <w:r>
              <w:rPr>
                <w:sz w:val="21"/>
                <w:szCs w:val="21"/>
                <w:lang w:bidi="ar"/>
              </w:rPr>
              <w:t>.</w:t>
            </w:r>
            <w:r>
              <w:rPr>
                <w:rFonts w:ascii="Times New Roman" w:hAnsi="Times New Roman"/>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7</w:t>
            </w:r>
          </w:p>
        </w:tc>
        <w:tc>
          <w:tcPr>
            <w:tcW w:w="1206"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000506</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0167</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237</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879</w:t>
            </w:r>
          </w:p>
        </w:tc>
        <w:tc>
          <w:tcPr>
            <w:tcW w:w="779"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w:t>
            </w:r>
            <w:r>
              <w:rPr>
                <w:sz w:val="21"/>
                <w:szCs w:val="21"/>
                <w:lang w:bidi="ar"/>
              </w:rPr>
              <w:t>.</w:t>
            </w:r>
            <w:r>
              <w:rPr>
                <w:rFonts w:ascii="Times New Roman" w:hAnsi="Times New Roman"/>
                <w:sz w:val="21"/>
                <w:szCs w:val="21"/>
                <w:lang w:bidi="ar"/>
              </w:rPr>
              <w:t>69</w:t>
            </w:r>
          </w:p>
        </w:tc>
        <w:tc>
          <w:tcPr>
            <w:tcW w:w="837"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2</w:t>
            </w:r>
            <w:r>
              <w:rPr>
                <w:sz w:val="21"/>
                <w:szCs w:val="21"/>
                <w:lang w:bidi="ar"/>
              </w:rPr>
              <w:t>.</w:t>
            </w:r>
            <w:r>
              <w:rPr>
                <w:rFonts w:ascii="Times New Roman" w:hAnsi="Times New Roman"/>
                <w:sz w:val="21"/>
                <w:szCs w:val="21"/>
                <w:lang w:bidi="ar"/>
              </w:rPr>
              <w:t>67</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3</w:t>
            </w:r>
            <w:r>
              <w:rPr>
                <w:sz w:val="21"/>
                <w:szCs w:val="21"/>
                <w:lang w:bidi="ar"/>
              </w:rPr>
              <w:t>.</w:t>
            </w:r>
            <w:r>
              <w:rPr>
                <w:rFonts w:ascii="Times New Roman" w:hAnsi="Times New Roman"/>
                <w:sz w:val="21"/>
                <w:szCs w:val="21"/>
                <w:lang w:bidi="ar"/>
              </w:rPr>
              <w:t>24</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4</w:t>
            </w:r>
            <w:r>
              <w:rPr>
                <w:sz w:val="21"/>
                <w:szCs w:val="21"/>
                <w:lang w:bidi="ar"/>
              </w:rPr>
              <w:t>.</w:t>
            </w:r>
            <w:r>
              <w:rPr>
                <w:rFonts w:ascii="Times New Roman" w:hAnsi="Times New Roman"/>
                <w:sz w:val="21"/>
                <w:szCs w:val="21"/>
                <w:lang w:bidi="ar"/>
              </w:rPr>
              <w:t>01</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4</w:t>
            </w:r>
            <w:r>
              <w:rPr>
                <w:sz w:val="21"/>
                <w:szCs w:val="21"/>
                <w:lang w:bidi="ar"/>
              </w:rPr>
              <w:t>.</w:t>
            </w:r>
            <w:r>
              <w:rPr>
                <w:rFonts w:ascii="Times New Roman" w:hAnsi="Times New Roman"/>
                <w:sz w:val="21"/>
                <w:szCs w:val="21"/>
                <w:lang w:bidi="ar"/>
              </w:rPr>
              <w:t>58</w:t>
            </w:r>
          </w:p>
        </w:tc>
        <w:tc>
          <w:tcPr>
            <w:tcW w:w="833"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5</w:t>
            </w:r>
            <w:r>
              <w:rPr>
                <w:sz w:val="21"/>
                <w:szCs w:val="21"/>
                <w:lang w:bidi="ar"/>
              </w:rPr>
              <w:t>.</w:t>
            </w:r>
            <w:r>
              <w:rPr>
                <w:rFonts w:ascii="Times New Roman" w:hAnsi="Times New Roman"/>
                <w:sz w:val="21"/>
                <w:szCs w:val="21"/>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9</w:t>
            </w:r>
          </w:p>
        </w:tc>
        <w:tc>
          <w:tcPr>
            <w:tcW w:w="1206"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000042</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0015</w:t>
            </w:r>
          </w:p>
        </w:tc>
        <w:tc>
          <w:tcPr>
            <w:tcW w:w="84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0251</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128</w:t>
            </w:r>
          </w:p>
        </w:tc>
        <w:tc>
          <w:tcPr>
            <w:tcW w:w="779"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334</w:t>
            </w:r>
          </w:p>
        </w:tc>
        <w:tc>
          <w:tcPr>
            <w:tcW w:w="837"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528</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664</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846</w:t>
            </w:r>
          </w:p>
        </w:tc>
        <w:tc>
          <w:tcPr>
            <w:tcW w:w="838"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0</w:t>
            </w:r>
            <w:r>
              <w:rPr>
                <w:sz w:val="21"/>
                <w:szCs w:val="21"/>
                <w:lang w:bidi="ar"/>
              </w:rPr>
              <w:t>.</w:t>
            </w:r>
            <w:r>
              <w:rPr>
                <w:rFonts w:ascii="Times New Roman" w:hAnsi="Times New Roman"/>
                <w:sz w:val="21"/>
                <w:szCs w:val="21"/>
                <w:lang w:bidi="ar"/>
              </w:rPr>
              <w:t>988</w:t>
            </w:r>
          </w:p>
        </w:tc>
        <w:tc>
          <w:tcPr>
            <w:tcW w:w="833" w:type="dxa"/>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ascii="Times New Roman" w:hAnsi="Times New Roman"/>
                <w:sz w:val="21"/>
                <w:szCs w:val="21"/>
                <w:lang w:bidi="ar"/>
              </w:rPr>
              <w:t>1</w:t>
            </w:r>
            <w:r>
              <w:rPr>
                <w:sz w:val="21"/>
                <w:szCs w:val="21"/>
                <w:lang w:bidi="ar"/>
              </w:rPr>
              <w:t>.</w:t>
            </w:r>
            <w:r>
              <w:rPr>
                <w:rFonts w:ascii="Times New Roman" w:hAnsi="Times New Roman"/>
                <w:sz w:val="21"/>
                <w:szCs w:val="21"/>
                <w:lang w:bidi="ar"/>
              </w:rPr>
              <w:t>11</w:t>
            </w:r>
          </w:p>
        </w:tc>
      </w:tr>
    </w:tbl>
    <w:p>
      <w:pPr>
        <w:bidi w:val="0"/>
        <w:jc w:val="center"/>
        <w:rPr>
          <w:rFonts w:hint="eastAsia" w:ascii="宋体" w:hAnsi="宋体" w:eastAsia="宋体" w:cs="宋体"/>
          <w:b/>
          <w:bCs/>
        </w:rPr>
      </w:pPr>
      <w:bookmarkStart w:id="1010" w:name="_Toc17545"/>
      <w:bookmarkStart w:id="1011" w:name="_Toc14536"/>
      <w:r>
        <w:rPr>
          <w:rFonts w:hint="eastAsia" w:ascii="宋体" w:hAnsi="宋体" w:eastAsia="宋体" w:cs="宋体"/>
          <w:b/>
          <w:bCs/>
        </w:rPr>
        <w:t>表D.0.5 渗透阻力系数&amp;</w:t>
      </w:r>
      <w:bookmarkEnd w:id="1010"/>
      <w:bookmarkEnd w:id="1011"/>
    </w:p>
    <w:p>
      <w:pPr>
        <w:tabs>
          <w:tab w:val="left" w:pos="658"/>
          <w:tab w:val="left" w:pos="1078"/>
          <w:tab w:val="left" w:pos="1274"/>
          <w:tab w:val="left" w:pos="1620"/>
          <w:tab w:val="left" w:pos="2520"/>
          <w:tab w:val="left" w:pos="4680"/>
          <w:tab w:val="left" w:pos="7020"/>
        </w:tabs>
        <w:spacing w:line="480" w:lineRule="exact"/>
        <w:ind w:firstLine="420" w:firstLineChars="200"/>
        <w:rPr>
          <w:rFonts w:ascii="宋体" w:hAnsi="宋体" w:cs="宋体"/>
        </w:rPr>
      </w:pPr>
      <w:r>
        <w:rPr>
          <w:rFonts w:hint="eastAsia" w:ascii="宋体" w:hAnsi="宋体" w:cs="宋体"/>
          <w:sz w:val="21"/>
          <w:szCs w:val="21"/>
          <w:lang w:bidi="ar"/>
        </w:rPr>
        <w:t>注：进水断面长度</w:t>
      </w:r>
      <w:r>
        <w:rPr>
          <w:position w:val="-6"/>
        </w:rPr>
        <w:drawing>
          <wp:inline distT="0" distB="0" distL="114300" distR="114300">
            <wp:extent cx="85725" cy="180975"/>
            <wp:effectExtent l="0" t="0" r="9525" b="8890"/>
            <wp:docPr id="198" name="图片 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8" name="图片 115"/>
                    <pic:cNvPicPr>
                      <a:picLocks noChangeAspect="true"/>
                    </pic:cNvPicPr>
                  </pic:nvPicPr>
                  <pic:blipFill>
                    <a:blip r:embed="rId758"/>
                    <a:stretch>
                      <a:fillRect/>
                    </a:stretch>
                  </pic:blipFill>
                  <pic:spPr>
                    <a:xfrm>
                      <a:off x="0" y="0"/>
                      <a:ext cx="85725" cy="180975"/>
                    </a:xfrm>
                    <a:prstGeom prst="rect">
                      <a:avLst/>
                    </a:prstGeom>
                    <a:noFill/>
                    <a:ln>
                      <a:noFill/>
                    </a:ln>
                  </pic:spPr>
                </pic:pic>
              </a:graphicData>
            </a:graphic>
          </wp:inline>
        </w:drawing>
      </w:r>
      <w:r>
        <w:rPr>
          <w:rFonts w:hint="eastAsia" w:ascii="宋体" w:hAnsi="宋体" w:cs="宋体"/>
          <w:sz w:val="21"/>
          <w:szCs w:val="21"/>
          <w:lang w:bidi="ar"/>
        </w:rPr>
        <w:t>（m）</w:t>
      </w:r>
      <w:r>
        <w:rPr>
          <w:rStyle w:val="39"/>
          <w:rFonts w:hint="eastAsia" w:cs="宋体"/>
          <w:lang w:bidi="ar"/>
        </w:rPr>
        <w:t>。</w:t>
      </w:r>
    </w:p>
    <w:p>
      <w:pPr>
        <w:jc w:val="left"/>
        <w:rPr>
          <w:rFonts w:ascii="Times New Roman" w:hAnsi="Times New Roman" w:cs="宋体"/>
          <w:lang w:bidi="ar"/>
        </w:rPr>
      </w:pPr>
      <w:r>
        <w:rPr>
          <w:rFonts w:ascii="Times New Roman" w:hAnsi="Times New Roman" w:cs="宋体"/>
          <w:lang w:bidi="ar"/>
        </w:rPr>
        <w:br w:type="page"/>
      </w:r>
    </w:p>
    <w:p>
      <w:pPr>
        <w:pStyle w:val="2"/>
        <w:bidi w:val="0"/>
        <w:rPr>
          <w:sz w:val="36"/>
          <w:szCs w:val="36"/>
        </w:rPr>
      </w:pPr>
      <w:bookmarkStart w:id="1012" w:name="_Toc388643595"/>
      <w:bookmarkStart w:id="1013" w:name="_Toc23368"/>
      <w:bookmarkStart w:id="1014" w:name="_Toc388643478"/>
      <w:bookmarkStart w:id="1015" w:name="_Toc31601"/>
      <w:bookmarkStart w:id="1016" w:name="_Toc30837"/>
      <w:r>
        <w:rPr>
          <w:rFonts w:hint="eastAsia"/>
          <w:sz w:val="36"/>
          <w:szCs w:val="36"/>
        </w:rPr>
        <w:t>附录E  圆形截面混凝土支护桩的正截面</w:t>
      </w:r>
      <w:r>
        <w:rPr>
          <w:rFonts w:hint="eastAsia"/>
          <w:sz w:val="36"/>
          <w:szCs w:val="36"/>
          <w:lang w:val="en-US" w:eastAsia="zh-CN"/>
        </w:rPr>
        <w:t>抗</w:t>
      </w:r>
      <w:r>
        <w:rPr>
          <w:rFonts w:hint="eastAsia"/>
          <w:sz w:val="36"/>
          <w:szCs w:val="36"/>
        </w:rPr>
        <w:t>弯承载力表</w:t>
      </w:r>
      <w:bookmarkEnd w:id="1012"/>
      <w:bookmarkEnd w:id="1013"/>
      <w:bookmarkEnd w:id="1014"/>
      <w:bookmarkEnd w:id="1015"/>
      <w:bookmarkEnd w:id="1016"/>
    </w:p>
    <w:p>
      <w:pPr>
        <w:widowControl w:val="0"/>
        <w:rPr>
          <w:rFonts w:hint="eastAsia" w:ascii="Times New Roman" w:hAnsi="Times New Roman"/>
          <w:szCs w:val="24"/>
          <w:lang w:val="en-US" w:eastAsia="zh-CN"/>
        </w:rPr>
      </w:pPr>
      <w:r>
        <w:rPr>
          <w:rFonts w:hint="eastAsia" w:ascii="Times New Roman" w:hAnsi="Times New Roman"/>
          <w:b/>
        </w:rPr>
        <w:t>E.0.1</w:t>
      </w:r>
      <w:r>
        <w:rPr>
          <w:rFonts w:hint="eastAsia" w:ascii="Times New Roman" w:hAnsi="Times New Roman"/>
          <w:b/>
          <w:sz w:val="21"/>
          <w:szCs w:val="24"/>
        </w:rPr>
        <w:t xml:space="preserve">   </w:t>
      </w:r>
      <w:r>
        <w:rPr>
          <w:rFonts w:hint="eastAsia" w:ascii="Times New Roman" w:hAnsi="Times New Roman"/>
          <w:szCs w:val="24"/>
        </w:rPr>
        <w:t>圆形截面混凝土支护桩的正截面</w:t>
      </w:r>
      <w:r>
        <w:rPr>
          <w:rFonts w:hint="eastAsia" w:ascii="Times New Roman" w:hAnsi="Times New Roman"/>
          <w:szCs w:val="24"/>
          <w:lang w:val="en-US" w:eastAsia="zh-CN"/>
        </w:rPr>
        <w:t>抗</w:t>
      </w:r>
      <w:r>
        <w:rPr>
          <w:rFonts w:hint="eastAsia" w:ascii="Times New Roman" w:hAnsi="Times New Roman"/>
          <w:szCs w:val="24"/>
        </w:rPr>
        <w:t>弯承载力表</w:t>
      </w:r>
      <w:r>
        <w:rPr>
          <w:rFonts w:hint="eastAsia" w:ascii="Times New Roman" w:hAnsi="Times New Roman"/>
          <w:szCs w:val="24"/>
          <w:lang w:val="en-US" w:eastAsia="zh-CN"/>
        </w:rPr>
        <w:t>中的参数包括以下内容：</w:t>
      </w:r>
    </w:p>
    <w:p>
      <w:pPr>
        <w:widowControl w:val="0"/>
        <w:ind w:firstLine="480" w:firstLineChars="200"/>
        <w:rPr>
          <w:rFonts w:hint="eastAsia" w:ascii="Times New Roman" w:hAnsi="Times New Roman"/>
          <w:szCs w:val="24"/>
        </w:rPr>
      </w:pPr>
      <w:r>
        <w:rPr>
          <w:rFonts w:hint="eastAsia" w:ascii="Times New Roman" w:hAnsi="Times New Roman"/>
          <w:szCs w:val="24"/>
        </w:rPr>
        <w:t>1 本表</w:t>
      </w:r>
      <w:r>
        <w:rPr>
          <w:rFonts w:hint="eastAsia"/>
          <w:szCs w:val="24"/>
        </w:rPr>
        <w:t>适用于</w:t>
      </w:r>
      <w:r>
        <w:rPr>
          <w:rFonts w:hint="eastAsia" w:ascii="Times New Roman" w:hAnsi="Times New Roman"/>
          <w:szCs w:val="24"/>
        </w:rPr>
        <w:t>用HRB400钢筋，</w:t>
      </w:r>
      <w:r>
        <w:rPr>
          <w:rFonts w:ascii="Times New Roman" w:hAnsi="Times New Roman"/>
          <w:position w:val="-14"/>
          <w:szCs w:val="24"/>
        </w:rPr>
        <w:drawing>
          <wp:inline distT="0" distB="0" distL="0" distR="0">
            <wp:extent cx="1043940" cy="251460"/>
            <wp:effectExtent l="0" t="0" r="7620" b="6350"/>
            <wp:docPr id="506" name="图片 5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true" noChangeArrowheads="true"/>
                    </pic:cNvPicPr>
                  </pic:nvPicPr>
                  <pic:blipFill>
                    <a:blip r:embed="rId759" cstate="print">
                      <a:extLst>
                        <a:ext uri="{28A0092B-C50C-407E-A947-70E740481C1C}">
                          <a14:useLocalDpi xmlns:a14="http://schemas.microsoft.com/office/drawing/2010/main" val="false"/>
                        </a:ext>
                      </a:extLst>
                    </a:blip>
                    <a:srcRect/>
                    <a:stretch>
                      <a:fillRect/>
                    </a:stretch>
                  </pic:blipFill>
                  <pic:spPr>
                    <a:xfrm>
                      <a:off x="0" y="0"/>
                      <a:ext cx="1043940" cy="251460"/>
                    </a:xfrm>
                    <a:prstGeom prst="rect">
                      <a:avLst/>
                    </a:prstGeom>
                    <a:noFill/>
                    <a:ln>
                      <a:noFill/>
                    </a:ln>
                  </pic:spPr>
                </pic:pic>
              </a:graphicData>
            </a:graphic>
          </wp:inline>
        </w:drawing>
      </w:r>
      <w:r>
        <w:rPr>
          <w:rFonts w:hint="eastAsia" w:ascii="Times New Roman" w:hAnsi="Times New Roman"/>
          <w:szCs w:val="24"/>
        </w:rPr>
        <w:t>；</w:t>
      </w:r>
    </w:p>
    <w:p>
      <w:pPr>
        <w:widowControl w:val="0"/>
        <w:ind w:firstLine="480" w:firstLineChars="200"/>
        <w:rPr>
          <w:rFonts w:ascii="Times New Roman" w:hAnsi="Times New Roman"/>
          <w:szCs w:val="24"/>
        </w:rPr>
      </w:pPr>
      <w:r>
        <w:rPr>
          <w:rFonts w:hint="eastAsia" w:ascii="Times New Roman" w:hAnsi="Times New Roman"/>
          <w:szCs w:val="24"/>
        </w:rPr>
        <w:t>2 混凝土保护层厚度为50mm，</w:t>
      </w:r>
      <w:r>
        <w:rPr>
          <w:rFonts w:ascii="Times New Roman" w:hAnsi="Times New Roman"/>
          <w:position w:val="-12"/>
          <w:szCs w:val="24"/>
        </w:rPr>
        <w:drawing>
          <wp:inline distT="0" distB="0" distL="0" distR="0">
            <wp:extent cx="739140" cy="228600"/>
            <wp:effectExtent l="0" t="0" r="7620" b="0"/>
            <wp:docPr id="507" name="图片 5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true" noChangeArrowheads="true"/>
                    </pic:cNvPicPr>
                  </pic:nvPicPr>
                  <pic:blipFill>
                    <a:blip r:embed="rId760" cstate="print">
                      <a:extLst>
                        <a:ext uri="{28A0092B-C50C-407E-A947-70E740481C1C}">
                          <a14:useLocalDpi xmlns:a14="http://schemas.microsoft.com/office/drawing/2010/main" val="false"/>
                        </a:ext>
                      </a:extLst>
                    </a:blip>
                    <a:srcRect/>
                    <a:stretch>
                      <a:fillRect/>
                    </a:stretch>
                  </pic:blipFill>
                  <pic:spPr>
                    <a:xfrm>
                      <a:off x="0" y="0"/>
                      <a:ext cx="739140" cy="228600"/>
                    </a:xfrm>
                    <a:prstGeom prst="rect">
                      <a:avLst/>
                    </a:prstGeom>
                    <a:noFill/>
                    <a:ln>
                      <a:noFill/>
                    </a:ln>
                  </pic:spPr>
                </pic:pic>
              </a:graphicData>
            </a:graphic>
          </wp:inline>
        </w:drawing>
      </w:r>
      <w:r>
        <w:rPr>
          <w:rFonts w:hint="eastAsia" w:ascii="Times New Roman" w:hAnsi="Times New Roman"/>
          <w:szCs w:val="24"/>
        </w:rPr>
        <w:t>；</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3 适用于截面内纵向钢筋均匀布置且数量不少于6根的情况；</w:t>
      </w:r>
    </w:p>
    <w:p>
      <w:pPr>
        <w:widowControl w:val="0"/>
        <w:spacing w:line="360" w:lineRule="auto"/>
        <w:ind w:firstLine="480" w:firstLineChars="200"/>
        <w:rPr>
          <w:rFonts w:ascii="Times New Roman" w:hAnsi="Times New Roman"/>
          <w:szCs w:val="24"/>
        </w:rPr>
      </w:pPr>
      <w:r>
        <w:rPr>
          <w:rFonts w:hint="eastAsia" w:ascii="Times New Roman" w:hAnsi="Times New Roman"/>
          <w:szCs w:val="24"/>
        </w:rPr>
        <w:t>4 本附录中</w:t>
      </w:r>
      <w:r>
        <w:rPr>
          <w:rFonts w:hint="eastAsia" w:ascii="Times New Roman" w:hAnsi="Times New Roman"/>
          <w:i/>
          <w:iCs/>
          <w:szCs w:val="24"/>
        </w:rPr>
        <w:t>A</w:t>
      </w:r>
      <w:r>
        <w:rPr>
          <w:rFonts w:hint="eastAsia" w:ascii="Times New Roman" w:hAnsi="Times New Roman"/>
          <w:szCs w:val="24"/>
          <w:vertAlign w:val="subscript"/>
        </w:rPr>
        <w:t>s</w:t>
      </w:r>
      <w:r>
        <w:rPr>
          <w:rFonts w:hint="eastAsia" w:ascii="Times New Roman" w:hAnsi="Times New Roman"/>
          <w:szCs w:val="24"/>
        </w:rPr>
        <w:t>为钢筋截面面积，</w:t>
      </w:r>
      <w:r>
        <w:rPr>
          <w:rFonts w:hint="eastAsia" w:ascii="Times New Roman" w:hAnsi="Times New Roman"/>
          <w:i/>
          <w:iCs/>
          <w:szCs w:val="24"/>
        </w:rPr>
        <w:t>D</w:t>
      </w:r>
      <w:r>
        <w:rPr>
          <w:rFonts w:hint="eastAsia" w:ascii="Times New Roman" w:hAnsi="Times New Roman"/>
          <w:szCs w:val="24"/>
        </w:rPr>
        <w:t>为桩的直径。</w:t>
      </w:r>
    </w:p>
    <w:p>
      <w:pPr>
        <w:widowControl w:val="0"/>
        <w:spacing w:before="240"/>
        <w:jc w:val="both"/>
        <w:rPr>
          <w:rFonts w:hint="default" w:ascii="Times New Roman" w:hAnsi="Times New Roman"/>
          <w:szCs w:val="24"/>
          <w:lang w:val="en-US" w:eastAsia="zh-CN"/>
        </w:rPr>
      </w:pPr>
      <w:r>
        <w:rPr>
          <w:rFonts w:hint="eastAsia" w:ascii="Times New Roman" w:hAnsi="Times New Roman"/>
          <w:b/>
        </w:rPr>
        <w:t>E.0.</w:t>
      </w:r>
      <w:r>
        <w:rPr>
          <w:rFonts w:hint="eastAsia" w:ascii="Times New Roman" w:hAnsi="Times New Roman"/>
          <w:b/>
          <w:lang w:val="en-US" w:eastAsia="zh-CN"/>
        </w:rPr>
        <w:t>2</w:t>
      </w:r>
      <w:r>
        <w:rPr>
          <w:rFonts w:hint="eastAsia" w:ascii="Times New Roman" w:hAnsi="Times New Roman"/>
          <w:b/>
          <w:sz w:val="21"/>
          <w:szCs w:val="24"/>
        </w:rPr>
        <w:t xml:space="preserve">   </w:t>
      </w:r>
      <w:r>
        <w:rPr>
          <w:rFonts w:hint="eastAsia" w:ascii="Times New Roman" w:hAnsi="Times New Roman"/>
          <w:szCs w:val="24"/>
        </w:rPr>
        <w:t>C25</w:t>
      </w:r>
      <w:r>
        <w:rPr>
          <w:rFonts w:hint="eastAsia" w:ascii="Times New Roman" w:hAnsi="Times New Roman"/>
          <w:szCs w:val="24"/>
          <w:lang w:val="en-US" w:eastAsia="zh-CN"/>
        </w:rPr>
        <w:t xml:space="preserve"> </w:t>
      </w:r>
      <w:r>
        <w:rPr>
          <w:rFonts w:hint="eastAsia" w:ascii="Times New Roman" w:hAnsi="Times New Roman"/>
          <w:szCs w:val="24"/>
        </w:rPr>
        <w:t>圆形截面混凝土支护桩的正截面受弯承载力</w:t>
      </w:r>
      <w:r>
        <w:rPr>
          <w:rFonts w:hint="eastAsia" w:ascii="Times New Roman" w:hAnsi="Times New Roman"/>
          <w:szCs w:val="24"/>
          <w:lang w:val="en-US" w:eastAsia="zh-CN"/>
        </w:rPr>
        <w:t>见表</w:t>
      </w:r>
      <w:r>
        <w:rPr>
          <w:rFonts w:hint="eastAsia" w:ascii="Times New Roman" w:hAnsi="Times New Roman"/>
          <w:szCs w:val="24"/>
        </w:rPr>
        <w:t>E.0.</w:t>
      </w:r>
      <w:r>
        <w:rPr>
          <w:rFonts w:hint="eastAsia" w:ascii="Times New Roman" w:hAnsi="Times New Roman"/>
          <w:szCs w:val="24"/>
          <w:lang w:val="en-US" w:eastAsia="zh-CN"/>
        </w:rPr>
        <w:t>2。</w:t>
      </w:r>
    </w:p>
    <w:p>
      <w:pPr>
        <w:widowControl w:val="0"/>
        <w:spacing w:before="240"/>
        <w:jc w:val="center"/>
        <w:rPr>
          <w:rFonts w:hint="eastAsia" w:ascii="Times New Roman" w:hAnsi="Times New Roman"/>
          <w:b/>
          <w:sz w:val="21"/>
          <w:szCs w:val="24"/>
        </w:rPr>
      </w:pPr>
      <w:r>
        <w:rPr>
          <w:rFonts w:hint="eastAsia" w:ascii="Times New Roman" w:hAnsi="Times New Roman"/>
          <w:b/>
          <w:sz w:val="21"/>
          <w:szCs w:val="24"/>
        </w:rPr>
        <w:t>表E.0.</w:t>
      </w:r>
      <w:r>
        <w:rPr>
          <w:rFonts w:hint="eastAsia" w:ascii="Times New Roman" w:hAnsi="Times New Roman"/>
          <w:b/>
          <w:sz w:val="21"/>
          <w:szCs w:val="24"/>
          <w:lang w:val="en-US" w:eastAsia="zh-CN"/>
        </w:rPr>
        <w:t>2</w:t>
      </w:r>
      <w:r>
        <w:rPr>
          <w:rFonts w:hint="eastAsia" w:ascii="Times New Roman" w:hAnsi="Times New Roman"/>
          <w:b/>
          <w:sz w:val="21"/>
          <w:szCs w:val="24"/>
        </w:rPr>
        <w:t xml:space="preserve">  C25</w:t>
      </w:r>
      <w:r>
        <w:rPr>
          <w:rFonts w:hint="eastAsia" w:ascii="Times New Roman" w:hAnsi="Times New Roman"/>
          <w:b/>
          <w:sz w:val="21"/>
          <w:szCs w:val="24"/>
          <w:lang w:val="en-US" w:eastAsia="zh-CN"/>
        </w:rPr>
        <w:t xml:space="preserve"> </w:t>
      </w:r>
      <w:r>
        <w:rPr>
          <w:rFonts w:hint="eastAsia" w:ascii="Times New Roman" w:hAnsi="Times New Roman"/>
          <w:b/>
          <w:sz w:val="21"/>
          <w:szCs w:val="24"/>
        </w:rPr>
        <w:t>圆形截面混凝土支护桩的正截面受弯承载力</w:t>
      </w:r>
      <w:r>
        <w:rPr>
          <w:rFonts w:hint="eastAsia" w:ascii="Times New Roman" w:hAnsi="Times New Roman"/>
          <w:b/>
          <w:i/>
          <w:iCs/>
          <w:sz w:val="21"/>
          <w:szCs w:val="24"/>
          <w:lang w:val="en-US" w:eastAsia="zh-CN"/>
        </w:rPr>
        <w:t>M</w:t>
      </w:r>
      <w:r>
        <w:rPr>
          <w:rFonts w:hint="eastAsia" w:ascii="Times New Roman" w:hAnsi="Times New Roman"/>
          <w:b/>
          <w:sz w:val="21"/>
          <w:szCs w:val="24"/>
        </w:rPr>
        <w:t xml:space="preserve">    </w:t>
      </w:r>
    </w:p>
    <w:p>
      <w:pPr>
        <w:widowControl w:val="0"/>
        <w:spacing w:before="240"/>
        <w:jc w:val="center"/>
        <w:rPr>
          <w:rFonts w:ascii="Times New Roman" w:hAnsi="Times New Roman"/>
          <w:b/>
          <w:sz w:val="21"/>
          <w:szCs w:val="24"/>
        </w:rPr>
      </w:pPr>
      <w:r>
        <w:rPr>
          <w:rFonts w:hint="eastAsia" w:ascii="Times New Roman" w:hAnsi="Times New Roman"/>
          <w:b/>
          <w:sz w:val="21"/>
          <w:szCs w:val="24"/>
          <w:lang w:val="en-US" w:eastAsia="zh-CN"/>
        </w:rPr>
        <w:t xml:space="preserve">                                                       </w:t>
      </w:r>
      <w:r>
        <w:rPr>
          <w:rFonts w:hint="eastAsia" w:ascii="Times New Roman" w:hAnsi="Times New Roman"/>
          <w:b/>
          <w:sz w:val="21"/>
          <w:szCs w:val="24"/>
        </w:rPr>
        <w:t xml:space="preserve"> </w:t>
      </w:r>
      <w:r>
        <w:rPr>
          <w:rFonts w:hint="eastAsia" w:ascii="Times New Roman" w:hAnsi="Times New Roman"/>
          <w:b w:val="0"/>
          <w:bCs/>
          <w:sz w:val="21"/>
          <w:szCs w:val="24"/>
        </w:rPr>
        <w:t xml:space="preserve"> 单位（kN</w:t>
      </w:r>
      <w:r>
        <w:rPr>
          <w:rFonts w:ascii="宋体" w:hAnsi="宋体"/>
          <w:b w:val="0"/>
          <w:bCs/>
          <w:sz w:val="21"/>
          <w:szCs w:val="24"/>
        </w:rPr>
        <w:t>·</w:t>
      </w:r>
      <w:r>
        <w:rPr>
          <w:rFonts w:hint="eastAsia" w:ascii="Times New Roman" w:hAnsi="Times New Roman"/>
          <w:b w:val="0"/>
          <w:bCs/>
          <w:sz w:val="21"/>
          <w:szCs w:val="24"/>
        </w:rPr>
        <w:t>m）</w:t>
      </w:r>
    </w:p>
    <w:tbl>
      <w:tblPr>
        <w:tblStyle w:val="32"/>
        <w:tblpPr w:leftFromText="180" w:rightFromText="180" w:vertAnchor="text" w:horzAnchor="margin" w:tblpXSpec="center" w:tblpY="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992"/>
        <w:gridCol w:w="1061"/>
        <w:gridCol w:w="992"/>
        <w:gridCol w:w="992"/>
        <w:gridCol w:w="924"/>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526" w:type="dxa"/>
            <w:tcBorders>
              <w:tl2br w:val="single" w:color="auto" w:sz="4" w:space="0"/>
            </w:tcBorders>
          </w:tcPr>
          <w:p>
            <w:pPr>
              <w:widowControl w:val="0"/>
              <w:jc w:val="center"/>
              <w:rPr>
                <w:rFonts w:ascii="Times New Roman" w:hAnsi="Times New Roman"/>
                <w:sz w:val="21"/>
                <w:szCs w:val="24"/>
              </w:rPr>
            </w:pPr>
            <w:r>
              <w:rPr>
                <w:rFonts w:hint="eastAsia" w:ascii="Times New Roman" w:hAnsi="Times New Roman"/>
                <w:sz w:val="21"/>
                <w:szCs w:val="24"/>
              </w:rPr>
              <w:t xml:space="preserve">     </w:t>
            </w:r>
            <w:r>
              <w:rPr>
                <w:rFonts w:hint="eastAsia" w:ascii="Times New Roman" w:hAnsi="Times New Roman"/>
                <w:i/>
                <w:iCs/>
                <w:sz w:val="21"/>
                <w:szCs w:val="24"/>
              </w:rPr>
              <w:t>D</w:t>
            </w:r>
            <w:r>
              <w:rPr>
                <w:rFonts w:hint="eastAsia" w:ascii="Times New Roman" w:hAnsi="Times New Roman"/>
                <w:sz w:val="21"/>
                <w:szCs w:val="24"/>
              </w:rPr>
              <w:t xml:space="preserve"> (mm)</w:t>
            </w:r>
          </w:p>
          <w:p>
            <w:pPr>
              <w:widowControl w:val="0"/>
              <w:rPr>
                <w:rFonts w:ascii="Times New Roman" w:hAnsi="Times New Roman"/>
                <w:sz w:val="21"/>
                <w:szCs w:val="24"/>
              </w:rPr>
            </w:pPr>
            <w:r>
              <w:rPr>
                <w:rFonts w:hint="eastAsia" w:ascii="Times New Roman" w:hAnsi="Times New Roman"/>
                <w:i/>
                <w:iCs/>
                <w:sz w:val="21"/>
                <w:szCs w:val="24"/>
              </w:rPr>
              <w:t>A</w:t>
            </w:r>
            <w:r>
              <w:rPr>
                <w:rFonts w:hint="eastAsia" w:ascii="Times New Roman" w:hAnsi="Times New Roman"/>
                <w:sz w:val="21"/>
                <w:szCs w:val="24"/>
                <w:vertAlign w:val="subscript"/>
              </w:rPr>
              <w:t>s</w:t>
            </w:r>
            <w:r>
              <w:rPr>
                <w:rFonts w:hint="eastAsia" w:ascii="Times New Roman" w:hAnsi="Times New Roman"/>
                <w:sz w:val="21"/>
                <w:szCs w:val="24"/>
              </w:rPr>
              <w:t xml:space="preserve"> (cm</w:t>
            </w:r>
            <w:r>
              <w:rPr>
                <w:rFonts w:hint="eastAsia" w:ascii="Times New Roman" w:hAnsi="Times New Roman"/>
                <w:sz w:val="21"/>
                <w:szCs w:val="21"/>
                <w:vertAlign w:val="superscript"/>
              </w:rPr>
              <w:t>2</w:t>
            </w:r>
            <w:r>
              <w:rPr>
                <w:rFonts w:hint="eastAsia" w:ascii="Times New Roman" w:hAnsi="Times New Roman"/>
                <w:sz w:val="21"/>
                <w:szCs w:val="21"/>
              </w:rPr>
              <w:t xml:space="preserve">) </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600</w:t>
            </w:r>
          </w:p>
        </w:tc>
        <w:tc>
          <w:tcPr>
            <w:tcW w:w="992" w:type="dxa"/>
            <w:vAlign w:val="center"/>
          </w:tcPr>
          <w:p>
            <w:pPr>
              <w:widowControl w:val="0"/>
              <w:jc w:val="center"/>
              <w:rPr>
                <w:rFonts w:ascii="Times New Roman" w:hAnsi="Times New Roman"/>
                <w:sz w:val="21"/>
                <w:szCs w:val="21"/>
              </w:rPr>
            </w:pPr>
            <w:r>
              <w:rPr>
                <w:rFonts w:ascii="Times New Roman" w:hAnsi="Times New Roman"/>
                <w:sz w:val="21"/>
                <w:szCs w:val="21"/>
              </w:rPr>
              <w:t>700</w:t>
            </w:r>
          </w:p>
        </w:tc>
        <w:tc>
          <w:tcPr>
            <w:tcW w:w="1061" w:type="dxa"/>
            <w:vAlign w:val="center"/>
          </w:tcPr>
          <w:p>
            <w:pPr>
              <w:widowControl w:val="0"/>
              <w:jc w:val="center"/>
              <w:rPr>
                <w:rFonts w:ascii="宋体" w:hAnsi="宋体" w:cs="宋体"/>
                <w:szCs w:val="24"/>
              </w:rPr>
            </w:pPr>
            <w:r>
              <w:rPr>
                <w:rFonts w:hint="eastAsia" w:ascii="Times New Roman" w:hAnsi="Times New Roman"/>
                <w:sz w:val="21"/>
                <w:szCs w:val="24"/>
              </w:rPr>
              <w:t>800</w:t>
            </w:r>
          </w:p>
        </w:tc>
        <w:tc>
          <w:tcPr>
            <w:tcW w:w="992" w:type="dxa"/>
            <w:vAlign w:val="center"/>
          </w:tcPr>
          <w:p>
            <w:pPr>
              <w:widowControl w:val="0"/>
              <w:jc w:val="center"/>
              <w:rPr>
                <w:rFonts w:ascii="Times New Roman" w:hAnsi="Times New Roman"/>
                <w:sz w:val="21"/>
                <w:szCs w:val="21"/>
              </w:rPr>
            </w:pPr>
            <w:r>
              <w:rPr>
                <w:rFonts w:ascii="Times New Roman" w:hAnsi="Times New Roman"/>
                <w:sz w:val="21"/>
                <w:szCs w:val="21"/>
              </w:rPr>
              <w:t>900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1000</w:t>
            </w:r>
          </w:p>
        </w:tc>
        <w:tc>
          <w:tcPr>
            <w:tcW w:w="924" w:type="dxa"/>
            <w:vAlign w:val="center"/>
          </w:tcPr>
          <w:p>
            <w:pPr>
              <w:widowControl w:val="0"/>
              <w:jc w:val="center"/>
              <w:rPr>
                <w:rFonts w:ascii="Times New Roman" w:hAnsi="Times New Roman"/>
                <w:sz w:val="21"/>
                <w:szCs w:val="21"/>
              </w:rPr>
            </w:pPr>
            <w:r>
              <w:rPr>
                <w:rFonts w:ascii="Times New Roman" w:hAnsi="Times New Roman"/>
                <w:sz w:val="21"/>
                <w:szCs w:val="21"/>
              </w:rPr>
              <w:t>1100</w:t>
            </w:r>
          </w:p>
        </w:tc>
        <w:tc>
          <w:tcPr>
            <w:tcW w:w="1061" w:type="dxa"/>
            <w:vAlign w:val="center"/>
          </w:tcPr>
          <w:p>
            <w:pPr>
              <w:widowControl w:val="0"/>
              <w:jc w:val="center"/>
              <w:rPr>
                <w:rFonts w:ascii="宋体" w:hAnsi="宋体" w:cs="宋体"/>
                <w:szCs w:val="24"/>
              </w:rPr>
            </w:pPr>
            <w:r>
              <w:rPr>
                <w:rFonts w:hint="eastAsia" w:ascii="Times New Roman" w:hAnsi="Times New Roman"/>
                <w:sz w:val="21"/>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20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163.2 </w:t>
            </w: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24"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30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233.3 </w:t>
            </w: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24"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40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300.3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371.7 </w:t>
            </w: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24"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50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365.1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452.3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540.3 </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24"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60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427.6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529.6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636.2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742.4 </w:t>
            </w:r>
          </w:p>
        </w:tc>
        <w:tc>
          <w:tcPr>
            <w:tcW w:w="992" w:type="dxa"/>
            <w:vAlign w:val="center"/>
          </w:tcPr>
          <w:p>
            <w:pPr>
              <w:widowControl w:val="0"/>
              <w:rPr>
                <w:rFonts w:ascii="宋体" w:hAnsi="宋体" w:cs="宋体"/>
                <w:color w:val="000000"/>
                <w:szCs w:val="24"/>
              </w:rPr>
            </w:pPr>
          </w:p>
        </w:tc>
        <w:tc>
          <w:tcPr>
            <w:tcW w:w="924"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70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488.5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607.0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729.1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851.6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978.4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1106.0 </w:t>
            </w:r>
          </w:p>
        </w:tc>
        <w:tc>
          <w:tcPr>
            <w:tcW w:w="1061"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80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547.3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681.4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821.3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959.8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1103.3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1241.1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90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606.8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756.9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908.7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1066.2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1226.0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1380.4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100</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665.3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828.8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997.5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1170.2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1345.6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1523.6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1694.9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110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901.3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1084.1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1271.1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1461.2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1654.3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120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971.9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1171.5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1373.3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1578.7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1787.4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1999.9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130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1256.2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1471.9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1697.8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1922.7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140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1341.5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1571.4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1811.8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2051.5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150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1671.7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1927.0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2181.9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160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1767.7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2036.5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2313.6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2589.6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170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2153.5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2437.9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2728.1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180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2264.6 </w:t>
            </w: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2563.2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2878.9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widowControl w:val="0"/>
              <w:jc w:val="center"/>
              <w:rPr>
                <w:rFonts w:ascii="宋体" w:hAnsi="宋体" w:cs="宋体"/>
                <w:szCs w:val="24"/>
              </w:rPr>
            </w:pPr>
            <w:r>
              <w:rPr>
                <w:rFonts w:hint="eastAsia" w:ascii="Times New Roman" w:hAnsi="Times New Roman"/>
                <w:sz w:val="21"/>
                <w:szCs w:val="24"/>
              </w:rPr>
              <w:t>190</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61"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2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2689.4 </w:t>
            </w:r>
          </w:p>
        </w:tc>
        <w:tc>
          <w:tcPr>
            <w:tcW w:w="1061"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3020.0 </w:t>
            </w:r>
          </w:p>
        </w:tc>
      </w:tr>
    </w:tbl>
    <w:p>
      <w:pPr>
        <w:widowControl w:val="0"/>
        <w:spacing w:before="240"/>
        <w:jc w:val="center"/>
        <w:rPr>
          <w:rFonts w:hint="eastAsia" w:ascii="Times New Roman" w:hAnsi="Times New Roman"/>
          <w:b/>
          <w:sz w:val="21"/>
          <w:szCs w:val="24"/>
        </w:rPr>
      </w:pPr>
    </w:p>
    <w:p>
      <w:pPr>
        <w:widowControl w:val="0"/>
        <w:spacing w:before="240"/>
        <w:jc w:val="both"/>
        <w:rPr>
          <w:rFonts w:hint="eastAsia" w:ascii="Times New Roman" w:hAnsi="Times New Roman"/>
          <w:b/>
          <w:sz w:val="21"/>
          <w:szCs w:val="24"/>
        </w:rPr>
      </w:pPr>
      <w:r>
        <w:rPr>
          <w:rFonts w:hint="eastAsia" w:ascii="Times New Roman" w:hAnsi="Times New Roman"/>
          <w:b/>
        </w:rPr>
        <w:t>E.0.</w:t>
      </w:r>
      <w:r>
        <w:rPr>
          <w:rFonts w:hint="eastAsia" w:ascii="Times New Roman" w:hAnsi="Times New Roman"/>
          <w:b/>
          <w:lang w:val="en-US" w:eastAsia="zh-CN"/>
        </w:rPr>
        <w:t>3</w:t>
      </w:r>
      <w:r>
        <w:rPr>
          <w:rFonts w:hint="eastAsia" w:ascii="Times New Roman" w:hAnsi="Times New Roman"/>
          <w:b/>
          <w:sz w:val="21"/>
          <w:szCs w:val="24"/>
        </w:rPr>
        <w:t xml:space="preserve">   </w:t>
      </w:r>
      <w:r>
        <w:rPr>
          <w:rFonts w:hint="eastAsia" w:ascii="Times New Roman" w:hAnsi="Times New Roman"/>
          <w:szCs w:val="24"/>
        </w:rPr>
        <w:t>C</w:t>
      </w:r>
      <w:r>
        <w:rPr>
          <w:rFonts w:hint="eastAsia" w:ascii="Times New Roman" w:hAnsi="Times New Roman"/>
          <w:szCs w:val="24"/>
          <w:lang w:val="en-US" w:eastAsia="zh-CN"/>
        </w:rPr>
        <w:t>30</w:t>
      </w:r>
      <w:r>
        <w:rPr>
          <w:rFonts w:hint="eastAsia" w:ascii="Times New Roman" w:hAnsi="Times New Roman"/>
          <w:szCs w:val="24"/>
        </w:rPr>
        <w:t>圆形截面混凝土支护桩的正截面受弯承载力</w:t>
      </w:r>
      <w:r>
        <w:rPr>
          <w:rFonts w:hint="eastAsia" w:ascii="Times New Roman" w:hAnsi="Times New Roman"/>
          <w:szCs w:val="24"/>
          <w:lang w:val="en-US" w:eastAsia="zh-CN"/>
        </w:rPr>
        <w:t>见表</w:t>
      </w:r>
      <w:r>
        <w:rPr>
          <w:rFonts w:hint="eastAsia" w:ascii="Times New Roman" w:hAnsi="Times New Roman"/>
          <w:szCs w:val="24"/>
        </w:rPr>
        <w:t>E.0.</w:t>
      </w:r>
      <w:r>
        <w:rPr>
          <w:rFonts w:hint="eastAsia" w:ascii="Times New Roman" w:hAnsi="Times New Roman"/>
          <w:szCs w:val="24"/>
          <w:lang w:val="en-US" w:eastAsia="zh-CN"/>
        </w:rPr>
        <w:t>3。</w:t>
      </w:r>
    </w:p>
    <w:p>
      <w:pPr>
        <w:widowControl w:val="0"/>
        <w:spacing w:before="240"/>
        <w:jc w:val="center"/>
        <w:rPr>
          <w:rFonts w:hint="eastAsia" w:ascii="Times New Roman" w:hAnsi="Times New Roman"/>
          <w:b/>
          <w:sz w:val="21"/>
          <w:szCs w:val="24"/>
        </w:rPr>
      </w:pPr>
      <w:r>
        <w:rPr>
          <w:rFonts w:hint="eastAsia" w:ascii="Times New Roman" w:hAnsi="Times New Roman"/>
          <w:b/>
          <w:sz w:val="21"/>
          <w:szCs w:val="24"/>
        </w:rPr>
        <w:t>表E.0.</w:t>
      </w:r>
      <w:r>
        <w:rPr>
          <w:rFonts w:hint="eastAsia" w:ascii="Times New Roman" w:hAnsi="Times New Roman"/>
          <w:b/>
          <w:sz w:val="21"/>
          <w:szCs w:val="24"/>
          <w:lang w:val="en-US" w:eastAsia="zh-CN"/>
        </w:rPr>
        <w:t>3</w:t>
      </w:r>
      <w:r>
        <w:rPr>
          <w:rFonts w:hint="eastAsia" w:ascii="Times New Roman" w:hAnsi="Times New Roman"/>
          <w:b/>
          <w:sz w:val="21"/>
          <w:szCs w:val="24"/>
        </w:rPr>
        <w:t xml:space="preserve">  C</w:t>
      </w:r>
      <w:r>
        <w:rPr>
          <w:rFonts w:hint="eastAsia" w:ascii="Times New Roman" w:hAnsi="Times New Roman"/>
          <w:b/>
          <w:sz w:val="21"/>
          <w:szCs w:val="24"/>
          <w:lang w:val="en-US" w:eastAsia="zh-CN"/>
        </w:rPr>
        <w:t>30</w:t>
      </w:r>
      <w:r>
        <w:rPr>
          <w:rFonts w:hint="eastAsia" w:ascii="Times New Roman" w:hAnsi="Times New Roman"/>
          <w:b/>
          <w:sz w:val="21"/>
          <w:szCs w:val="24"/>
        </w:rPr>
        <w:t>圆形截面混凝土支护桩的正截面受弯承载力</w:t>
      </w:r>
      <w:r>
        <w:rPr>
          <w:rFonts w:hint="eastAsia" w:ascii="Times New Roman" w:hAnsi="Times New Roman"/>
          <w:b/>
          <w:i/>
          <w:iCs/>
          <w:sz w:val="21"/>
          <w:szCs w:val="24"/>
          <w:lang w:val="en-US" w:eastAsia="zh-CN"/>
        </w:rPr>
        <w:t>M</w:t>
      </w:r>
      <w:r>
        <w:rPr>
          <w:rFonts w:hint="eastAsia" w:ascii="Times New Roman" w:hAnsi="Times New Roman"/>
          <w:b/>
          <w:sz w:val="21"/>
          <w:szCs w:val="24"/>
        </w:rPr>
        <w:t xml:space="preserve">         </w:t>
      </w:r>
    </w:p>
    <w:p>
      <w:pPr>
        <w:widowControl w:val="0"/>
        <w:spacing w:before="240"/>
        <w:jc w:val="center"/>
        <w:rPr>
          <w:rFonts w:ascii="Times New Roman" w:hAnsi="Times New Roman"/>
          <w:b/>
          <w:sz w:val="21"/>
          <w:szCs w:val="24"/>
        </w:rPr>
      </w:pPr>
      <w:r>
        <w:rPr>
          <w:rFonts w:hint="eastAsia" w:ascii="Times New Roman" w:hAnsi="Times New Roman"/>
          <w:b/>
          <w:sz w:val="21"/>
          <w:szCs w:val="24"/>
          <w:lang w:val="en-US" w:eastAsia="zh-CN"/>
        </w:rPr>
        <w:t xml:space="preserve">                                                        </w:t>
      </w:r>
      <w:r>
        <w:rPr>
          <w:rFonts w:hint="eastAsia" w:ascii="Times New Roman" w:hAnsi="Times New Roman"/>
          <w:b w:val="0"/>
          <w:bCs/>
          <w:sz w:val="21"/>
          <w:szCs w:val="24"/>
        </w:rPr>
        <w:t>单位（kN</w:t>
      </w:r>
      <w:r>
        <w:rPr>
          <w:rFonts w:ascii="宋体" w:hAnsi="宋体"/>
          <w:b w:val="0"/>
          <w:bCs/>
          <w:sz w:val="21"/>
          <w:szCs w:val="24"/>
        </w:rPr>
        <w:t>·</w:t>
      </w:r>
      <w:r>
        <w:rPr>
          <w:rFonts w:hint="eastAsia" w:ascii="Times New Roman" w:hAnsi="Times New Roman"/>
          <w:b w:val="0"/>
          <w:bCs/>
          <w:sz w:val="21"/>
          <w:szCs w:val="24"/>
        </w:rPr>
        <w:t>m）</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074"/>
        <w:gridCol w:w="993"/>
        <w:gridCol w:w="992"/>
        <w:gridCol w:w="975"/>
        <w:gridCol w:w="992"/>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616" w:type="dxa"/>
            <w:tcBorders>
              <w:tl2br w:val="single" w:color="auto" w:sz="4" w:space="0"/>
            </w:tcBorders>
          </w:tcPr>
          <w:p>
            <w:pPr>
              <w:widowControl w:val="0"/>
              <w:ind w:left="525" w:hanging="525" w:hangingChars="250"/>
              <w:rPr>
                <w:rFonts w:ascii="Times New Roman" w:hAnsi="Times New Roman"/>
                <w:sz w:val="21"/>
                <w:szCs w:val="24"/>
              </w:rPr>
            </w:pPr>
            <w:r>
              <w:rPr>
                <w:rFonts w:hint="eastAsia" w:ascii="Times New Roman" w:hAnsi="Times New Roman"/>
                <w:sz w:val="21"/>
                <w:szCs w:val="24"/>
              </w:rPr>
              <w:t xml:space="preserve">      </w:t>
            </w:r>
            <w:r>
              <w:rPr>
                <w:rFonts w:hint="eastAsia" w:ascii="Times New Roman" w:hAnsi="Times New Roman"/>
                <w:i/>
                <w:iCs/>
                <w:sz w:val="21"/>
                <w:szCs w:val="24"/>
              </w:rPr>
              <w:t>D</w:t>
            </w:r>
            <w:r>
              <w:rPr>
                <w:rFonts w:hint="eastAsia" w:ascii="Times New Roman" w:hAnsi="Times New Roman"/>
                <w:sz w:val="21"/>
                <w:szCs w:val="24"/>
              </w:rPr>
              <w:t xml:space="preserve"> (mm)</w:t>
            </w:r>
          </w:p>
          <w:p>
            <w:pPr>
              <w:widowControl w:val="0"/>
              <w:rPr>
                <w:rFonts w:ascii="Times New Roman" w:hAnsi="Times New Roman"/>
                <w:sz w:val="21"/>
                <w:szCs w:val="24"/>
              </w:rPr>
            </w:pPr>
            <w:r>
              <w:rPr>
                <w:rFonts w:hint="eastAsia" w:ascii="Times New Roman" w:hAnsi="Times New Roman"/>
                <w:i/>
                <w:iCs/>
                <w:sz w:val="21"/>
                <w:szCs w:val="24"/>
              </w:rPr>
              <w:t>A</w:t>
            </w:r>
            <w:r>
              <w:rPr>
                <w:rFonts w:hint="eastAsia" w:ascii="Times New Roman" w:hAnsi="Times New Roman"/>
                <w:sz w:val="21"/>
                <w:szCs w:val="24"/>
                <w:vertAlign w:val="subscript"/>
              </w:rPr>
              <w:t>s</w:t>
            </w:r>
            <w:r>
              <w:rPr>
                <w:rFonts w:hint="eastAsia" w:ascii="Times New Roman" w:hAnsi="Times New Roman"/>
                <w:sz w:val="21"/>
                <w:szCs w:val="24"/>
              </w:rPr>
              <w:t xml:space="preserve"> (cm</w:t>
            </w:r>
            <w:r>
              <w:rPr>
                <w:rFonts w:hint="eastAsia" w:ascii="Times New Roman" w:hAnsi="Times New Roman"/>
                <w:sz w:val="21"/>
                <w:szCs w:val="21"/>
                <w:vertAlign w:val="superscript"/>
              </w:rPr>
              <w:t>2</w:t>
            </w:r>
            <w:r>
              <w:rPr>
                <w:rFonts w:hint="eastAsia" w:ascii="Times New Roman" w:hAnsi="Times New Roman"/>
                <w:sz w:val="21"/>
                <w:szCs w:val="21"/>
              </w:rPr>
              <w:t>)</w:t>
            </w:r>
          </w:p>
        </w:tc>
        <w:tc>
          <w:tcPr>
            <w:tcW w:w="1074" w:type="dxa"/>
            <w:vAlign w:val="center"/>
          </w:tcPr>
          <w:p>
            <w:pPr>
              <w:widowControl w:val="0"/>
              <w:jc w:val="center"/>
              <w:rPr>
                <w:rFonts w:ascii="宋体" w:hAnsi="宋体" w:cs="宋体"/>
                <w:szCs w:val="24"/>
              </w:rPr>
            </w:pPr>
            <w:r>
              <w:rPr>
                <w:rFonts w:hint="eastAsia" w:ascii="Times New Roman" w:hAnsi="Times New Roman"/>
                <w:sz w:val="21"/>
                <w:szCs w:val="24"/>
              </w:rPr>
              <w:t>600</w:t>
            </w:r>
          </w:p>
        </w:tc>
        <w:tc>
          <w:tcPr>
            <w:tcW w:w="993" w:type="dxa"/>
            <w:vAlign w:val="center"/>
          </w:tcPr>
          <w:p>
            <w:pPr>
              <w:widowControl w:val="0"/>
              <w:jc w:val="center"/>
              <w:rPr>
                <w:rFonts w:ascii="Times New Roman" w:hAnsi="Times New Roman"/>
                <w:sz w:val="21"/>
                <w:szCs w:val="21"/>
              </w:rPr>
            </w:pPr>
            <w:r>
              <w:rPr>
                <w:rFonts w:ascii="Times New Roman" w:hAnsi="Times New Roman"/>
                <w:sz w:val="21"/>
                <w:szCs w:val="21"/>
              </w:rPr>
              <w:t>700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800</w:t>
            </w:r>
          </w:p>
        </w:tc>
        <w:tc>
          <w:tcPr>
            <w:tcW w:w="975" w:type="dxa"/>
            <w:vAlign w:val="center"/>
          </w:tcPr>
          <w:p>
            <w:pPr>
              <w:widowControl w:val="0"/>
              <w:jc w:val="center"/>
              <w:rPr>
                <w:rFonts w:ascii="Times New Roman" w:hAnsi="Times New Roman"/>
                <w:sz w:val="21"/>
                <w:szCs w:val="21"/>
              </w:rPr>
            </w:pPr>
            <w:r>
              <w:rPr>
                <w:rFonts w:ascii="Times New Roman" w:hAnsi="Times New Roman"/>
                <w:sz w:val="21"/>
                <w:szCs w:val="21"/>
              </w:rPr>
              <w:t>900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1000</w:t>
            </w:r>
          </w:p>
        </w:tc>
        <w:tc>
          <w:tcPr>
            <w:tcW w:w="992" w:type="dxa"/>
            <w:vAlign w:val="center"/>
          </w:tcPr>
          <w:p>
            <w:pPr>
              <w:widowControl w:val="0"/>
              <w:jc w:val="center"/>
              <w:rPr>
                <w:rFonts w:ascii="Times New Roman" w:hAnsi="Times New Roman"/>
                <w:sz w:val="21"/>
                <w:szCs w:val="21"/>
              </w:rPr>
            </w:pPr>
            <w:r>
              <w:rPr>
                <w:rFonts w:ascii="Times New Roman" w:hAnsi="Times New Roman"/>
                <w:sz w:val="21"/>
                <w:szCs w:val="21"/>
              </w:rPr>
              <w:t>1100</w:t>
            </w:r>
          </w:p>
        </w:tc>
        <w:tc>
          <w:tcPr>
            <w:tcW w:w="1134" w:type="dxa"/>
            <w:vAlign w:val="center"/>
          </w:tcPr>
          <w:p>
            <w:pPr>
              <w:widowControl w:val="0"/>
              <w:jc w:val="center"/>
              <w:rPr>
                <w:rFonts w:ascii="宋体" w:hAnsi="宋体" w:cs="宋体"/>
                <w:szCs w:val="24"/>
              </w:rPr>
            </w:pPr>
            <w:r>
              <w:rPr>
                <w:rFonts w:hint="eastAsia" w:ascii="Times New Roman" w:hAnsi="Times New Roman"/>
                <w:sz w:val="21"/>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20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166.2 </w:t>
            </w: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134"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30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238.4 </w:t>
            </w: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134"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40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307.0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379.3 </w:t>
            </w: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134"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50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373.1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461.7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550.7 </w:t>
            </w: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134"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60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436.7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543.0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648.8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756.0 </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134"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70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500.1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621.9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743.7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867.6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995.7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1123.9 </w:t>
            </w:r>
          </w:p>
        </w:tc>
        <w:tc>
          <w:tcPr>
            <w:tcW w:w="1134"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80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561.3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697.5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837.8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978.3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1123.7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1269.8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90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621.6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774.5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930.4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1087.0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1249.2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1412.8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100</w:t>
            </w:r>
          </w:p>
        </w:tc>
        <w:tc>
          <w:tcPr>
            <w:tcW w:w="107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680.8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849.9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1020.8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1192.8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1371.1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1551.3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1722.9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110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923.4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1108.6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1300.7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1495.8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1684.2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120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994.9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1197.6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1404.9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1615.6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1829.3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130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1283.4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1504.8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1729.8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1958.3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2190.7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140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1369.9 </w:t>
            </w: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1611.4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1853.2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2098.9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2337.1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150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1707.7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1970.4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2231.8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2485.9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160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1810.6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2081.2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2356.3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2636.8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170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2200.7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2492.3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2789.8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180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2313.4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2619.5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2931.7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Align w:val="center"/>
          </w:tcPr>
          <w:p>
            <w:pPr>
              <w:widowControl w:val="0"/>
              <w:jc w:val="center"/>
              <w:rPr>
                <w:rFonts w:ascii="宋体" w:hAnsi="宋体" w:cs="宋体"/>
                <w:szCs w:val="24"/>
              </w:rPr>
            </w:pPr>
            <w:r>
              <w:rPr>
                <w:rFonts w:hint="eastAsia" w:ascii="Times New Roman" w:hAnsi="Times New Roman"/>
                <w:sz w:val="21"/>
                <w:szCs w:val="24"/>
              </w:rPr>
              <w:t>190</w:t>
            </w:r>
          </w:p>
        </w:tc>
        <w:tc>
          <w:tcPr>
            <w:tcW w:w="107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75"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2747.7 </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3075.0 </w:t>
            </w:r>
          </w:p>
        </w:tc>
      </w:tr>
    </w:tbl>
    <w:p>
      <w:pPr>
        <w:widowControl w:val="0"/>
        <w:spacing w:before="240"/>
        <w:jc w:val="both"/>
        <w:rPr>
          <w:rFonts w:hint="eastAsia" w:ascii="Times New Roman" w:hAnsi="Times New Roman"/>
          <w:b/>
          <w:sz w:val="21"/>
          <w:szCs w:val="24"/>
        </w:rPr>
      </w:pPr>
      <w:r>
        <w:rPr>
          <w:rFonts w:hint="eastAsia" w:ascii="Times New Roman" w:hAnsi="Times New Roman"/>
          <w:b/>
        </w:rPr>
        <w:t>E.0.</w:t>
      </w:r>
      <w:r>
        <w:rPr>
          <w:rFonts w:hint="eastAsia" w:ascii="Times New Roman" w:hAnsi="Times New Roman"/>
          <w:b/>
          <w:lang w:val="en-US" w:eastAsia="zh-CN"/>
        </w:rPr>
        <w:t>4</w:t>
      </w:r>
      <w:r>
        <w:rPr>
          <w:rFonts w:hint="eastAsia" w:ascii="Times New Roman" w:hAnsi="Times New Roman"/>
          <w:b/>
          <w:sz w:val="21"/>
          <w:szCs w:val="24"/>
        </w:rPr>
        <w:t xml:space="preserve">   </w:t>
      </w:r>
      <w:r>
        <w:rPr>
          <w:rFonts w:hint="eastAsia" w:ascii="Times New Roman" w:hAnsi="Times New Roman"/>
          <w:szCs w:val="24"/>
        </w:rPr>
        <w:t>C</w:t>
      </w:r>
      <w:r>
        <w:rPr>
          <w:rFonts w:hint="eastAsia" w:ascii="Times New Roman" w:hAnsi="Times New Roman"/>
          <w:szCs w:val="24"/>
          <w:lang w:val="en-US" w:eastAsia="zh-CN"/>
        </w:rPr>
        <w:t>35</w:t>
      </w:r>
      <w:r>
        <w:rPr>
          <w:rFonts w:hint="eastAsia" w:ascii="Times New Roman" w:hAnsi="Times New Roman"/>
          <w:szCs w:val="24"/>
        </w:rPr>
        <w:t>圆形截面混凝土支护桩的正截面受弯承载力</w:t>
      </w:r>
      <w:r>
        <w:rPr>
          <w:rFonts w:hint="eastAsia" w:ascii="Times New Roman" w:hAnsi="Times New Roman"/>
          <w:szCs w:val="24"/>
          <w:lang w:val="en-US" w:eastAsia="zh-CN"/>
        </w:rPr>
        <w:t>见表</w:t>
      </w:r>
      <w:r>
        <w:rPr>
          <w:rFonts w:hint="eastAsia" w:ascii="Times New Roman" w:hAnsi="Times New Roman"/>
          <w:szCs w:val="24"/>
        </w:rPr>
        <w:t>E.0.</w:t>
      </w:r>
      <w:r>
        <w:rPr>
          <w:rFonts w:hint="eastAsia" w:ascii="Times New Roman" w:hAnsi="Times New Roman"/>
          <w:szCs w:val="24"/>
          <w:lang w:val="en-US" w:eastAsia="zh-CN"/>
        </w:rPr>
        <w:t>4。</w:t>
      </w:r>
    </w:p>
    <w:p>
      <w:pPr>
        <w:widowControl w:val="0"/>
        <w:spacing w:before="240"/>
        <w:jc w:val="center"/>
        <w:rPr>
          <w:rFonts w:hint="eastAsia" w:ascii="Times New Roman" w:hAnsi="Times New Roman"/>
          <w:b/>
          <w:sz w:val="21"/>
          <w:szCs w:val="24"/>
        </w:rPr>
      </w:pPr>
      <w:r>
        <w:rPr>
          <w:rFonts w:hint="eastAsia" w:ascii="Times New Roman" w:hAnsi="Times New Roman"/>
          <w:b/>
          <w:sz w:val="21"/>
          <w:szCs w:val="24"/>
        </w:rPr>
        <w:t>表E.0.</w:t>
      </w:r>
      <w:r>
        <w:rPr>
          <w:rFonts w:hint="eastAsia" w:ascii="Times New Roman" w:hAnsi="Times New Roman"/>
          <w:b/>
          <w:sz w:val="21"/>
          <w:szCs w:val="24"/>
          <w:lang w:val="en-US" w:eastAsia="zh-CN"/>
        </w:rPr>
        <w:t>4</w:t>
      </w:r>
      <w:r>
        <w:rPr>
          <w:rFonts w:hint="eastAsia" w:ascii="Times New Roman" w:hAnsi="Times New Roman"/>
          <w:b/>
          <w:sz w:val="21"/>
          <w:szCs w:val="24"/>
        </w:rPr>
        <w:t xml:space="preserve">  C</w:t>
      </w:r>
      <w:r>
        <w:rPr>
          <w:rFonts w:hint="eastAsia" w:ascii="Times New Roman" w:hAnsi="Times New Roman"/>
          <w:b/>
          <w:sz w:val="21"/>
          <w:szCs w:val="24"/>
          <w:lang w:val="en-US" w:eastAsia="zh-CN"/>
        </w:rPr>
        <w:t>35</w:t>
      </w:r>
      <w:r>
        <w:rPr>
          <w:rFonts w:hint="eastAsia" w:ascii="Times New Roman" w:hAnsi="Times New Roman"/>
          <w:b/>
          <w:sz w:val="21"/>
          <w:szCs w:val="24"/>
        </w:rPr>
        <w:t>圆形截面混凝土支护桩的正截面受弯承载力</w:t>
      </w:r>
      <w:r>
        <w:rPr>
          <w:rFonts w:hint="eastAsia" w:ascii="Times New Roman" w:hAnsi="Times New Roman"/>
          <w:b/>
          <w:i/>
          <w:iCs/>
          <w:sz w:val="21"/>
          <w:szCs w:val="24"/>
          <w:lang w:val="en-US" w:eastAsia="zh-CN"/>
        </w:rPr>
        <w:t>M</w:t>
      </w:r>
      <w:r>
        <w:rPr>
          <w:rFonts w:hint="eastAsia" w:ascii="Times New Roman" w:hAnsi="Times New Roman"/>
          <w:b/>
          <w:sz w:val="21"/>
          <w:szCs w:val="24"/>
        </w:rPr>
        <w:t xml:space="preserve">         </w:t>
      </w:r>
    </w:p>
    <w:p>
      <w:pPr>
        <w:widowControl w:val="0"/>
        <w:spacing w:before="240"/>
        <w:jc w:val="center"/>
        <w:rPr>
          <w:rFonts w:ascii="Times New Roman" w:hAnsi="Times New Roman"/>
          <w:b/>
          <w:sz w:val="21"/>
          <w:szCs w:val="24"/>
        </w:rPr>
      </w:pPr>
      <w:r>
        <w:rPr>
          <w:rFonts w:hint="eastAsia" w:ascii="Times New Roman" w:hAnsi="Times New Roman"/>
          <w:b/>
          <w:sz w:val="21"/>
          <w:szCs w:val="24"/>
          <w:lang w:val="en-US" w:eastAsia="zh-CN"/>
        </w:rPr>
        <w:t xml:space="preserve">                                                        </w:t>
      </w:r>
      <w:r>
        <w:rPr>
          <w:rFonts w:hint="eastAsia" w:ascii="Times New Roman" w:hAnsi="Times New Roman"/>
          <w:b w:val="0"/>
          <w:bCs/>
          <w:sz w:val="21"/>
          <w:szCs w:val="24"/>
        </w:rPr>
        <w:t>单位（kN</w:t>
      </w:r>
      <w:r>
        <w:rPr>
          <w:rFonts w:ascii="宋体" w:hAnsi="宋体"/>
          <w:b w:val="0"/>
          <w:bCs/>
          <w:sz w:val="21"/>
          <w:szCs w:val="24"/>
        </w:rPr>
        <w:t>·</w:t>
      </w:r>
      <w:r>
        <w:rPr>
          <w:rFonts w:hint="eastAsia" w:ascii="Times New Roman" w:hAnsi="Times New Roman"/>
          <w:b w:val="0"/>
          <w:bCs/>
          <w:sz w:val="21"/>
          <w:szCs w:val="24"/>
        </w:rPr>
        <w:t>m）</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134"/>
        <w:gridCol w:w="993"/>
        <w:gridCol w:w="1025"/>
        <w:gridCol w:w="914"/>
        <w:gridCol w:w="992"/>
        <w:gridCol w:w="99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510" w:type="dxa"/>
            <w:tcBorders>
              <w:tl2br w:val="single" w:color="auto" w:sz="4" w:space="0"/>
            </w:tcBorders>
          </w:tcPr>
          <w:p>
            <w:pPr>
              <w:widowControl w:val="0"/>
              <w:rPr>
                <w:rFonts w:ascii="Times New Roman" w:hAnsi="Times New Roman"/>
                <w:sz w:val="21"/>
                <w:szCs w:val="24"/>
              </w:rPr>
            </w:pPr>
            <w:r>
              <w:rPr>
                <w:rFonts w:hint="eastAsia" w:ascii="Times New Roman" w:hAnsi="Times New Roman"/>
                <w:sz w:val="21"/>
                <w:szCs w:val="24"/>
              </w:rPr>
              <w:t xml:space="preserve">     </w:t>
            </w:r>
            <w:r>
              <w:rPr>
                <w:rFonts w:hint="eastAsia" w:ascii="Times New Roman" w:hAnsi="Times New Roman"/>
                <w:i/>
                <w:iCs/>
                <w:sz w:val="21"/>
                <w:szCs w:val="24"/>
              </w:rPr>
              <w:t xml:space="preserve">D </w:t>
            </w:r>
            <w:r>
              <w:rPr>
                <w:rFonts w:hint="eastAsia" w:ascii="Times New Roman" w:hAnsi="Times New Roman"/>
                <w:sz w:val="21"/>
                <w:szCs w:val="24"/>
              </w:rPr>
              <w:t>(mm)</w:t>
            </w:r>
          </w:p>
          <w:p>
            <w:pPr>
              <w:widowControl w:val="0"/>
              <w:rPr>
                <w:rFonts w:ascii="Times New Roman" w:hAnsi="Times New Roman"/>
                <w:sz w:val="21"/>
                <w:szCs w:val="24"/>
              </w:rPr>
            </w:pPr>
            <w:r>
              <w:rPr>
                <w:rFonts w:hint="eastAsia" w:ascii="Times New Roman" w:hAnsi="Times New Roman"/>
                <w:i/>
                <w:iCs/>
                <w:sz w:val="21"/>
                <w:szCs w:val="24"/>
              </w:rPr>
              <w:t>A</w:t>
            </w:r>
            <w:r>
              <w:rPr>
                <w:rFonts w:hint="eastAsia" w:ascii="Times New Roman" w:hAnsi="Times New Roman"/>
                <w:sz w:val="21"/>
                <w:szCs w:val="24"/>
                <w:vertAlign w:val="subscript"/>
              </w:rPr>
              <w:t>s</w:t>
            </w:r>
            <w:r>
              <w:rPr>
                <w:rFonts w:hint="eastAsia" w:ascii="Times New Roman" w:hAnsi="Times New Roman"/>
                <w:sz w:val="21"/>
                <w:szCs w:val="24"/>
              </w:rPr>
              <w:t xml:space="preserve"> (cm</w:t>
            </w:r>
            <w:r>
              <w:rPr>
                <w:rFonts w:hint="eastAsia" w:ascii="Times New Roman" w:hAnsi="Times New Roman"/>
                <w:sz w:val="21"/>
                <w:szCs w:val="21"/>
                <w:vertAlign w:val="superscript"/>
              </w:rPr>
              <w:t>2</w:t>
            </w:r>
            <w:r>
              <w:rPr>
                <w:rFonts w:hint="eastAsia" w:ascii="Times New Roman" w:hAnsi="Times New Roman"/>
                <w:sz w:val="21"/>
                <w:szCs w:val="21"/>
              </w:rPr>
              <w:t>)</w:t>
            </w:r>
          </w:p>
        </w:tc>
        <w:tc>
          <w:tcPr>
            <w:tcW w:w="1134" w:type="dxa"/>
            <w:vAlign w:val="center"/>
          </w:tcPr>
          <w:p>
            <w:pPr>
              <w:widowControl w:val="0"/>
              <w:jc w:val="center"/>
              <w:rPr>
                <w:rFonts w:ascii="宋体" w:hAnsi="宋体" w:cs="宋体"/>
                <w:szCs w:val="24"/>
              </w:rPr>
            </w:pPr>
            <w:r>
              <w:rPr>
                <w:rFonts w:hint="eastAsia" w:ascii="Times New Roman" w:hAnsi="Times New Roman"/>
                <w:sz w:val="21"/>
                <w:szCs w:val="24"/>
              </w:rPr>
              <w:t>600</w:t>
            </w:r>
          </w:p>
        </w:tc>
        <w:tc>
          <w:tcPr>
            <w:tcW w:w="993" w:type="dxa"/>
            <w:vAlign w:val="center"/>
          </w:tcPr>
          <w:p>
            <w:pPr>
              <w:widowControl w:val="0"/>
              <w:jc w:val="center"/>
              <w:rPr>
                <w:rFonts w:ascii="Times New Roman" w:hAnsi="Times New Roman"/>
                <w:sz w:val="21"/>
                <w:szCs w:val="21"/>
              </w:rPr>
            </w:pPr>
            <w:r>
              <w:rPr>
                <w:rFonts w:ascii="Times New Roman" w:hAnsi="Times New Roman"/>
                <w:sz w:val="21"/>
                <w:szCs w:val="21"/>
              </w:rPr>
              <w:t>700</w:t>
            </w:r>
          </w:p>
        </w:tc>
        <w:tc>
          <w:tcPr>
            <w:tcW w:w="1025" w:type="dxa"/>
            <w:vAlign w:val="center"/>
          </w:tcPr>
          <w:p>
            <w:pPr>
              <w:widowControl w:val="0"/>
              <w:jc w:val="center"/>
              <w:rPr>
                <w:rFonts w:ascii="宋体" w:hAnsi="宋体" w:cs="宋体"/>
                <w:szCs w:val="24"/>
              </w:rPr>
            </w:pPr>
            <w:r>
              <w:rPr>
                <w:rFonts w:hint="eastAsia" w:ascii="Times New Roman" w:hAnsi="Times New Roman"/>
                <w:sz w:val="21"/>
                <w:szCs w:val="24"/>
              </w:rPr>
              <w:t>800</w:t>
            </w:r>
          </w:p>
        </w:tc>
        <w:tc>
          <w:tcPr>
            <w:tcW w:w="914" w:type="dxa"/>
            <w:vAlign w:val="center"/>
          </w:tcPr>
          <w:p>
            <w:pPr>
              <w:widowControl w:val="0"/>
              <w:jc w:val="center"/>
              <w:rPr>
                <w:rFonts w:ascii="Times New Roman" w:hAnsi="Times New Roman"/>
                <w:sz w:val="21"/>
                <w:szCs w:val="21"/>
              </w:rPr>
            </w:pPr>
            <w:r>
              <w:rPr>
                <w:rFonts w:ascii="Times New Roman" w:hAnsi="Times New Roman"/>
                <w:sz w:val="21"/>
                <w:szCs w:val="21"/>
              </w:rPr>
              <w:t>900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1000</w:t>
            </w:r>
          </w:p>
        </w:tc>
        <w:tc>
          <w:tcPr>
            <w:tcW w:w="992" w:type="dxa"/>
            <w:vAlign w:val="center"/>
          </w:tcPr>
          <w:p>
            <w:pPr>
              <w:widowControl w:val="0"/>
              <w:jc w:val="center"/>
              <w:rPr>
                <w:rFonts w:ascii="Times New Roman" w:hAnsi="Times New Roman"/>
                <w:sz w:val="21"/>
                <w:szCs w:val="21"/>
              </w:rPr>
            </w:pPr>
            <w:r>
              <w:rPr>
                <w:rFonts w:ascii="Times New Roman" w:hAnsi="Times New Roman"/>
                <w:sz w:val="21"/>
                <w:szCs w:val="21"/>
              </w:rPr>
              <w:t>1100</w:t>
            </w:r>
          </w:p>
        </w:tc>
        <w:tc>
          <w:tcPr>
            <w:tcW w:w="1038" w:type="dxa"/>
            <w:vAlign w:val="center"/>
          </w:tcPr>
          <w:p>
            <w:pPr>
              <w:widowControl w:val="0"/>
              <w:jc w:val="center"/>
              <w:rPr>
                <w:rFonts w:ascii="宋体" w:hAnsi="宋体" w:cs="宋体"/>
                <w:szCs w:val="24"/>
              </w:rPr>
            </w:pPr>
            <w:r>
              <w:rPr>
                <w:rFonts w:hint="eastAsia" w:ascii="Times New Roman" w:hAnsi="Times New Roman"/>
                <w:sz w:val="21"/>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20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169.0 </w:t>
            </w: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38"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30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243.0 </w:t>
            </w: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38"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40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313.1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386.3 </w:t>
            </w: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38"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50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380.5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470.4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560.2 </w:t>
            </w: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38"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60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446.9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553.4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660.5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768.5 </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1038"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70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509.6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633.7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757.3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882.5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1011.5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1139.9 </w:t>
            </w:r>
          </w:p>
        </w:tc>
        <w:tc>
          <w:tcPr>
            <w:tcW w:w="1038"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80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573.5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713.4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853.2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995.4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1142.4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1280.2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1425.5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90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634.6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788.7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947.4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1106.2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1270.5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1426.0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100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696.3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865.2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1039.3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1213.9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1394.7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1576.8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1748.6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110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939.6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1132.8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1323.9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1522.0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1711.9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120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1014.9 </w:t>
            </w: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1218.5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1429.7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1643.9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1850.1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130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1309.9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1537.1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1759.6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1991.3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140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1397.6 </w:t>
            </w: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1639.5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1885.5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2135.1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150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1743.1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2004.7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2270.2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2526.7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160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1841.1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2116.4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2396.0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2680.6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170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2238.2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2534.7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2836.8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180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2352.3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2663.5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2980.7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vAlign w:val="center"/>
          </w:tcPr>
          <w:p>
            <w:pPr>
              <w:widowControl w:val="0"/>
              <w:jc w:val="center"/>
              <w:rPr>
                <w:rFonts w:ascii="宋体" w:hAnsi="宋体" w:cs="宋体"/>
                <w:szCs w:val="24"/>
              </w:rPr>
            </w:pPr>
            <w:r>
              <w:rPr>
                <w:rFonts w:hint="eastAsia" w:ascii="Times New Roman" w:hAnsi="Times New Roman"/>
                <w:sz w:val="21"/>
                <w:szCs w:val="24"/>
              </w:rPr>
              <w:t>190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1025" w:type="dxa"/>
            <w:vAlign w:val="center"/>
          </w:tcPr>
          <w:p>
            <w:pPr>
              <w:widowControl w:val="0"/>
              <w:rPr>
                <w:rFonts w:ascii="宋体" w:hAnsi="宋体" w:cs="宋体"/>
                <w:color w:val="000000"/>
                <w:szCs w:val="24"/>
              </w:rPr>
            </w:pPr>
          </w:p>
        </w:tc>
        <w:tc>
          <w:tcPr>
            <w:tcW w:w="914"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2793.5 </w:t>
            </w:r>
          </w:p>
        </w:tc>
        <w:tc>
          <w:tcPr>
            <w:tcW w:w="1038"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3126.1 </w:t>
            </w:r>
          </w:p>
        </w:tc>
      </w:tr>
    </w:tbl>
    <w:p>
      <w:pPr>
        <w:widowControl w:val="0"/>
        <w:spacing w:before="240"/>
        <w:jc w:val="both"/>
        <w:rPr>
          <w:rFonts w:hint="eastAsia" w:ascii="Times New Roman" w:hAnsi="Times New Roman"/>
          <w:b/>
          <w:sz w:val="21"/>
          <w:szCs w:val="24"/>
        </w:rPr>
      </w:pPr>
      <w:r>
        <w:rPr>
          <w:rFonts w:hint="eastAsia" w:ascii="Times New Roman" w:hAnsi="Times New Roman"/>
          <w:b/>
        </w:rPr>
        <w:t>E.0.</w:t>
      </w:r>
      <w:r>
        <w:rPr>
          <w:rFonts w:hint="eastAsia" w:ascii="Times New Roman" w:hAnsi="Times New Roman"/>
          <w:b/>
          <w:lang w:val="en-US" w:eastAsia="zh-CN"/>
        </w:rPr>
        <w:t>5</w:t>
      </w:r>
      <w:r>
        <w:rPr>
          <w:rFonts w:hint="eastAsia" w:ascii="Times New Roman" w:hAnsi="Times New Roman"/>
          <w:b/>
          <w:sz w:val="21"/>
          <w:szCs w:val="24"/>
        </w:rPr>
        <w:t xml:space="preserve">   </w:t>
      </w:r>
      <w:r>
        <w:rPr>
          <w:rFonts w:hint="eastAsia" w:ascii="Times New Roman" w:hAnsi="Times New Roman"/>
          <w:szCs w:val="24"/>
        </w:rPr>
        <w:t>C</w:t>
      </w:r>
      <w:r>
        <w:rPr>
          <w:rFonts w:hint="eastAsia" w:ascii="Times New Roman" w:hAnsi="Times New Roman"/>
          <w:szCs w:val="24"/>
          <w:lang w:val="en-US" w:eastAsia="zh-CN"/>
        </w:rPr>
        <w:t>40</w:t>
      </w:r>
      <w:r>
        <w:rPr>
          <w:rFonts w:hint="eastAsia" w:ascii="Times New Roman" w:hAnsi="Times New Roman"/>
          <w:szCs w:val="24"/>
        </w:rPr>
        <w:t>圆形截面混凝土支护桩的正截面受弯承载力</w:t>
      </w:r>
      <w:r>
        <w:rPr>
          <w:rFonts w:hint="eastAsia" w:ascii="Times New Roman" w:hAnsi="Times New Roman"/>
          <w:szCs w:val="24"/>
          <w:lang w:val="en-US" w:eastAsia="zh-CN"/>
        </w:rPr>
        <w:t>见表</w:t>
      </w:r>
      <w:r>
        <w:rPr>
          <w:rFonts w:hint="eastAsia" w:ascii="Times New Roman" w:hAnsi="Times New Roman"/>
          <w:szCs w:val="24"/>
        </w:rPr>
        <w:t>E.0.</w:t>
      </w:r>
      <w:r>
        <w:rPr>
          <w:rFonts w:hint="eastAsia" w:ascii="Times New Roman" w:hAnsi="Times New Roman"/>
          <w:szCs w:val="24"/>
          <w:lang w:val="en-US" w:eastAsia="zh-CN"/>
        </w:rPr>
        <w:t>5。</w:t>
      </w:r>
    </w:p>
    <w:p>
      <w:pPr>
        <w:widowControl w:val="0"/>
        <w:spacing w:before="240"/>
        <w:jc w:val="center"/>
        <w:rPr>
          <w:rFonts w:hint="eastAsia" w:ascii="Times New Roman" w:hAnsi="Times New Roman"/>
          <w:b/>
          <w:sz w:val="21"/>
          <w:szCs w:val="24"/>
        </w:rPr>
      </w:pPr>
      <w:r>
        <w:rPr>
          <w:rFonts w:hint="eastAsia" w:ascii="Times New Roman" w:hAnsi="Times New Roman"/>
          <w:b/>
          <w:sz w:val="21"/>
          <w:szCs w:val="24"/>
        </w:rPr>
        <w:t>表E.0.</w:t>
      </w:r>
      <w:r>
        <w:rPr>
          <w:rFonts w:hint="eastAsia" w:ascii="Times New Roman" w:hAnsi="Times New Roman"/>
          <w:b/>
          <w:sz w:val="21"/>
          <w:szCs w:val="24"/>
          <w:lang w:val="en-US" w:eastAsia="zh-CN"/>
        </w:rPr>
        <w:t>5</w:t>
      </w:r>
      <w:r>
        <w:rPr>
          <w:rFonts w:hint="eastAsia" w:ascii="Times New Roman" w:hAnsi="Times New Roman"/>
          <w:b/>
          <w:sz w:val="21"/>
          <w:szCs w:val="24"/>
        </w:rPr>
        <w:t xml:space="preserve">  C</w:t>
      </w:r>
      <w:r>
        <w:rPr>
          <w:rFonts w:hint="eastAsia" w:ascii="Times New Roman" w:hAnsi="Times New Roman"/>
          <w:b/>
          <w:sz w:val="21"/>
          <w:szCs w:val="24"/>
          <w:lang w:val="en-US" w:eastAsia="zh-CN"/>
        </w:rPr>
        <w:t>40</w:t>
      </w:r>
      <w:r>
        <w:rPr>
          <w:rFonts w:hint="eastAsia" w:ascii="Times New Roman" w:hAnsi="Times New Roman"/>
          <w:b/>
          <w:sz w:val="21"/>
          <w:szCs w:val="24"/>
        </w:rPr>
        <w:t>圆形截面混凝土支护桩的正截面受弯承载力</w:t>
      </w:r>
      <w:r>
        <w:rPr>
          <w:rFonts w:hint="eastAsia" w:ascii="Times New Roman" w:hAnsi="Times New Roman"/>
          <w:b/>
          <w:i/>
          <w:iCs/>
          <w:sz w:val="21"/>
          <w:szCs w:val="24"/>
          <w:lang w:val="en-US" w:eastAsia="zh-CN"/>
        </w:rPr>
        <w:t>M</w:t>
      </w:r>
      <w:r>
        <w:rPr>
          <w:rFonts w:hint="eastAsia" w:ascii="Times New Roman" w:hAnsi="Times New Roman"/>
          <w:b/>
          <w:i/>
          <w:iCs/>
          <w:sz w:val="21"/>
          <w:szCs w:val="24"/>
        </w:rPr>
        <w:t xml:space="preserve"> </w:t>
      </w:r>
      <w:r>
        <w:rPr>
          <w:rFonts w:hint="eastAsia" w:ascii="Times New Roman" w:hAnsi="Times New Roman"/>
          <w:b/>
          <w:sz w:val="21"/>
          <w:szCs w:val="24"/>
        </w:rPr>
        <w:t xml:space="preserve">        </w:t>
      </w:r>
    </w:p>
    <w:p>
      <w:pPr>
        <w:widowControl w:val="0"/>
        <w:spacing w:before="240"/>
        <w:jc w:val="center"/>
        <w:rPr>
          <w:rFonts w:ascii="Times New Roman" w:hAnsi="Times New Roman"/>
          <w:b/>
          <w:sz w:val="21"/>
          <w:szCs w:val="24"/>
        </w:rPr>
      </w:pPr>
      <w:r>
        <w:rPr>
          <w:rFonts w:hint="eastAsia" w:ascii="Times New Roman" w:hAnsi="Times New Roman"/>
          <w:b/>
          <w:sz w:val="21"/>
          <w:szCs w:val="24"/>
          <w:lang w:val="en-US" w:eastAsia="zh-CN"/>
        </w:rPr>
        <w:t xml:space="preserve">                                                        </w:t>
      </w:r>
      <w:r>
        <w:rPr>
          <w:rFonts w:hint="eastAsia" w:ascii="Times New Roman" w:hAnsi="Times New Roman"/>
          <w:b w:val="0"/>
          <w:bCs/>
          <w:sz w:val="21"/>
          <w:szCs w:val="24"/>
        </w:rPr>
        <w:t>单位（kN</w:t>
      </w:r>
      <w:r>
        <w:rPr>
          <w:rFonts w:ascii="宋体" w:hAnsi="宋体"/>
          <w:b w:val="0"/>
          <w:bCs/>
          <w:sz w:val="21"/>
          <w:szCs w:val="24"/>
        </w:rPr>
        <w:t>·</w:t>
      </w:r>
      <w:r>
        <w:rPr>
          <w:rFonts w:hint="eastAsia" w:ascii="Times New Roman" w:hAnsi="Times New Roman"/>
          <w:b w:val="0"/>
          <w:bCs/>
          <w:sz w:val="21"/>
          <w:szCs w:val="24"/>
        </w:rPr>
        <w:t>m）</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34"/>
        <w:gridCol w:w="993"/>
        <w:gridCol w:w="992"/>
        <w:gridCol w:w="992"/>
        <w:gridCol w:w="992"/>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418" w:type="dxa"/>
            <w:tcBorders>
              <w:tl2br w:val="single" w:color="auto" w:sz="4" w:space="0"/>
            </w:tcBorders>
          </w:tcPr>
          <w:p>
            <w:pPr>
              <w:widowControl w:val="0"/>
              <w:rPr>
                <w:rFonts w:ascii="Times New Roman" w:hAnsi="Times New Roman"/>
                <w:sz w:val="21"/>
                <w:szCs w:val="24"/>
              </w:rPr>
            </w:pPr>
            <w:r>
              <w:rPr>
                <w:rFonts w:hint="eastAsia" w:ascii="Times New Roman" w:hAnsi="Times New Roman"/>
                <w:sz w:val="21"/>
                <w:szCs w:val="24"/>
              </w:rPr>
              <w:t xml:space="preserve">     </w:t>
            </w:r>
            <w:r>
              <w:rPr>
                <w:rFonts w:hint="eastAsia" w:ascii="Times New Roman" w:hAnsi="Times New Roman"/>
                <w:i/>
                <w:iCs/>
                <w:sz w:val="21"/>
                <w:szCs w:val="24"/>
              </w:rPr>
              <w:t>D</w:t>
            </w:r>
            <w:r>
              <w:rPr>
                <w:rFonts w:hint="eastAsia" w:ascii="Times New Roman" w:hAnsi="Times New Roman"/>
                <w:sz w:val="21"/>
                <w:szCs w:val="24"/>
              </w:rPr>
              <w:t xml:space="preserve"> (mm)</w:t>
            </w:r>
          </w:p>
          <w:p>
            <w:pPr>
              <w:widowControl w:val="0"/>
              <w:rPr>
                <w:rFonts w:ascii="Times New Roman" w:hAnsi="Times New Roman"/>
                <w:sz w:val="21"/>
                <w:szCs w:val="24"/>
              </w:rPr>
            </w:pPr>
            <w:r>
              <w:rPr>
                <w:rFonts w:hint="eastAsia" w:ascii="Times New Roman" w:hAnsi="Times New Roman"/>
                <w:i/>
                <w:iCs/>
                <w:sz w:val="21"/>
                <w:szCs w:val="24"/>
              </w:rPr>
              <w:t>A</w:t>
            </w:r>
            <w:r>
              <w:rPr>
                <w:rFonts w:hint="eastAsia" w:ascii="Times New Roman" w:hAnsi="Times New Roman"/>
                <w:sz w:val="21"/>
                <w:szCs w:val="24"/>
                <w:vertAlign w:val="subscript"/>
              </w:rPr>
              <w:t xml:space="preserve">s </w:t>
            </w:r>
            <w:r>
              <w:rPr>
                <w:rFonts w:hint="eastAsia" w:ascii="Times New Roman" w:hAnsi="Times New Roman"/>
                <w:sz w:val="21"/>
                <w:szCs w:val="24"/>
              </w:rPr>
              <w:t>(cm</w:t>
            </w:r>
            <w:r>
              <w:rPr>
                <w:rFonts w:hint="eastAsia" w:ascii="Times New Roman" w:hAnsi="Times New Roman"/>
                <w:sz w:val="21"/>
                <w:szCs w:val="21"/>
                <w:vertAlign w:val="superscript"/>
              </w:rPr>
              <w:t>2</w:t>
            </w:r>
            <w:r>
              <w:rPr>
                <w:rFonts w:hint="eastAsia" w:ascii="Times New Roman" w:hAnsi="Times New Roman"/>
                <w:sz w:val="21"/>
                <w:szCs w:val="21"/>
              </w:rPr>
              <w:t>)</w:t>
            </w:r>
          </w:p>
        </w:tc>
        <w:tc>
          <w:tcPr>
            <w:tcW w:w="1134" w:type="dxa"/>
            <w:vAlign w:val="center"/>
          </w:tcPr>
          <w:p>
            <w:pPr>
              <w:widowControl w:val="0"/>
              <w:jc w:val="center"/>
              <w:rPr>
                <w:rFonts w:ascii="宋体" w:hAnsi="宋体" w:cs="宋体"/>
                <w:szCs w:val="24"/>
              </w:rPr>
            </w:pPr>
            <w:r>
              <w:rPr>
                <w:rFonts w:hint="eastAsia" w:ascii="Times New Roman" w:hAnsi="Times New Roman"/>
                <w:sz w:val="21"/>
                <w:szCs w:val="24"/>
              </w:rPr>
              <w:t>600</w:t>
            </w:r>
          </w:p>
        </w:tc>
        <w:tc>
          <w:tcPr>
            <w:tcW w:w="993" w:type="dxa"/>
            <w:vAlign w:val="center"/>
          </w:tcPr>
          <w:p>
            <w:pPr>
              <w:widowControl w:val="0"/>
              <w:jc w:val="center"/>
              <w:rPr>
                <w:rFonts w:ascii="Times New Roman" w:hAnsi="Times New Roman"/>
                <w:sz w:val="21"/>
                <w:szCs w:val="21"/>
              </w:rPr>
            </w:pPr>
            <w:r>
              <w:rPr>
                <w:rFonts w:ascii="Times New Roman" w:hAnsi="Times New Roman"/>
                <w:sz w:val="21"/>
                <w:szCs w:val="21"/>
              </w:rPr>
              <w:t>700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800</w:t>
            </w:r>
          </w:p>
        </w:tc>
        <w:tc>
          <w:tcPr>
            <w:tcW w:w="992" w:type="dxa"/>
            <w:vAlign w:val="center"/>
          </w:tcPr>
          <w:p>
            <w:pPr>
              <w:widowControl w:val="0"/>
              <w:jc w:val="center"/>
              <w:rPr>
                <w:rFonts w:ascii="Times New Roman" w:hAnsi="Times New Roman"/>
                <w:sz w:val="21"/>
                <w:szCs w:val="21"/>
              </w:rPr>
            </w:pPr>
            <w:r>
              <w:rPr>
                <w:rFonts w:ascii="Times New Roman" w:hAnsi="Times New Roman"/>
                <w:sz w:val="21"/>
                <w:szCs w:val="21"/>
              </w:rPr>
              <w:t>900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1000</w:t>
            </w:r>
          </w:p>
        </w:tc>
        <w:tc>
          <w:tcPr>
            <w:tcW w:w="993" w:type="dxa"/>
            <w:vAlign w:val="center"/>
          </w:tcPr>
          <w:p>
            <w:pPr>
              <w:widowControl w:val="0"/>
              <w:jc w:val="center"/>
              <w:rPr>
                <w:rFonts w:ascii="Times New Roman" w:hAnsi="Times New Roman"/>
                <w:sz w:val="21"/>
                <w:szCs w:val="21"/>
              </w:rPr>
            </w:pPr>
            <w:r>
              <w:rPr>
                <w:rFonts w:ascii="Times New Roman" w:hAnsi="Times New Roman"/>
                <w:sz w:val="21"/>
                <w:szCs w:val="21"/>
              </w:rPr>
              <w:t>1100</w:t>
            </w:r>
          </w:p>
        </w:tc>
        <w:tc>
          <w:tcPr>
            <w:tcW w:w="992" w:type="dxa"/>
            <w:vAlign w:val="center"/>
          </w:tcPr>
          <w:p>
            <w:pPr>
              <w:widowControl w:val="0"/>
              <w:jc w:val="center"/>
              <w:rPr>
                <w:rFonts w:ascii="宋体" w:hAnsi="宋体" w:cs="宋体"/>
                <w:szCs w:val="24"/>
              </w:rPr>
            </w:pPr>
            <w:r>
              <w:rPr>
                <w:rFonts w:hint="eastAsia" w:ascii="Times New Roman" w:hAnsi="Times New Roman"/>
                <w:sz w:val="21"/>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20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170.9 </w:t>
            </w: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30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246.6 </w:t>
            </w: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40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318.1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391.6 </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50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386.7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477.4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567.3 </w:t>
            </w: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60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454.3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561.9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669.6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777.7 </w:t>
            </w:r>
          </w:p>
        </w:tc>
        <w:tc>
          <w:tcPr>
            <w:tcW w:w="992"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70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519.8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643.6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768.1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893.8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1023.0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1150.5 </w:t>
            </w:r>
          </w:p>
        </w:tc>
        <w:tc>
          <w:tcPr>
            <w:tcW w:w="992" w:type="dxa"/>
            <w:vAlign w:val="center"/>
          </w:tcPr>
          <w:p>
            <w:pPr>
              <w:widowControl w:val="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80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582.6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724.5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865.7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1008.9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1156.5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1303.2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1437.3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90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646.4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804.0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961.5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1121.6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1287.0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1441.9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100</w:t>
            </w:r>
          </w:p>
        </w:tc>
        <w:tc>
          <w:tcPr>
            <w:tcW w:w="1134"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709.0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881.6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1054.7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1231.0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1413.3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1596.2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110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956.9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1149.7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1342.9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1543.0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1733.2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1933.8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120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1033.2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1241.3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1450.3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1666.8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1873.7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130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1328.9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1559.4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1783.8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2017.5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140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1422.9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1663.1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1912.1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2164.2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150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1768.1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2033.0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2301.4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2558.9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160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1874.2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2155.5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2428.3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2715.5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170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2269.6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2569.5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2874.7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180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2384.9 </w:t>
            </w: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2699.8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3020.3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widowControl w:val="0"/>
              <w:jc w:val="center"/>
              <w:rPr>
                <w:rFonts w:ascii="宋体" w:hAnsi="宋体" w:cs="宋体"/>
                <w:szCs w:val="24"/>
              </w:rPr>
            </w:pPr>
            <w:r>
              <w:rPr>
                <w:rFonts w:hint="eastAsia" w:ascii="Times New Roman" w:hAnsi="Times New Roman"/>
                <w:sz w:val="21"/>
                <w:szCs w:val="24"/>
              </w:rPr>
              <w:t>190</w:t>
            </w:r>
          </w:p>
        </w:tc>
        <w:tc>
          <w:tcPr>
            <w:tcW w:w="1134"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2" w:type="dxa"/>
            <w:vAlign w:val="center"/>
          </w:tcPr>
          <w:p>
            <w:pPr>
              <w:widowControl w:val="0"/>
              <w:rPr>
                <w:rFonts w:ascii="宋体" w:hAnsi="宋体" w:cs="宋体"/>
                <w:color w:val="000000"/>
                <w:szCs w:val="24"/>
              </w:rPr>
            </w:pPr>
          </w:p>
        </w:tc>
        <w:tc>
          <w:tcPr>
            <w:tcW w:w="993"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2844.4 </w:t>
            </w:r>
          </w:p>
        </w:tc>
        <w:tc>
          <w:tcPr>
            <w:tcW w:w="992" w:type="dxa"/>
            <w:vAlign w:val="center"/>
          </w:tcPr>
          <w:p>
            <w:pPr>
              <w:widowControl w:val="0"/>
              <w:rPr>
                <w:rFonts w:ascii="宋体" w:hAnsi="宋体" w:cs="宋体"/>
                <w:color w:val="000000"/>
                <w:szCs w:val="24"/>
              </w:rPr>
            </w:pPr>
            <w:r>
              <w:rPr>
                <w:rFonts w:hint="eastAsia" w:ascii="Times New Roman" w:hAnsi="Times New Roman"/>
                <w:color w:val="000000"/>
                <w:sz w:val="21"/>
                <w:szCs w:val="24"/>
              </w:rPr>
              <w:t xml:space="preserve">3167.7 </w:t>
            </w:r>
          </w:p>
        </w:tc>
      </w:tr>
    </w:tbl>
    <w:p>
      <w:pPr>
        <w:widowControl w:val="0"/>
        <w:ind w:firstLine="421" w:firstLineChars="200"/>
        <w:rPr>
          <w:rFonts w:ascii="Times New Roman" w:hAnsi="Times New Roman"/>
          <w:b/>
          <w:sz w:val="21"/>
          <w:szCs w:val="24"/>
        </w:rPr>
      </w:pPr>
    </w:p>
    <w:p>
      <w:pPr>
        <w:widowControl w:val="0"/>
        <w:spacing w:line="360" w:lineRule="auto"/>
        <w:ind w:firstLine="481" w:firstLineChars="200"/>
        <w:rPr>
          <w:rFonts w:ascii="Times New Roman" w:hAnsi="Times New Roman"/>
          <w:szCs w:val="24"/>
        </w:rPr>
      </w:pPr>
      <w:r>
        <w:rPr>
          <w:rFonts w:hint="eastAsia" w:ascii="Times New Roman" w:hAnsi="Times New Roman"/>
          <w:b/>
          <w:szCs w:val="24"/>
        </w:rPr>
        <w:t>E.0.</w:t>
      </w:r>
      <w:r>
        <w:rPr>
          <w:rFonts w:hint="eastAsia" w:ascii="Times New Roman" w:hAnsi="Times New Roman"/>
          <w:b/>
          <w:szCs w:val="24"/>
          <w:lang w:val="en-US" w:eastAsia="zh-CN"/>
        </w:rPr>
        <w:t>6</w:t>
      </w:r>
      <w:r>
        <w:rPr>
          <w:rFonts w:hint="eastAsia" w:ascii="Times New Roman" w:hAnsi="Times New Roman"/>
          <w:szCs w:val="24"/>
        </w:rPr>
        <w:t xml:space="preserve"> 不同钢筋直径对应的钢筋截面面积As可按表E.0.</w:t>
      </w:r>
      <w:r>
        <w:rPr>
          <w:rFonts w:hint="eastAsia" w:ascii="Times New Roman" w:hAnsi="Times New Roman"/>
          <w:szCs w:val="24"/>
          <w:lang w:val="en-US" w:eastAsia="zh-CN"/>
        </w:rPr>
        <w:t>6</w:t>
      </w:r>
      <w:r>
        <w:rPr>
          <w:rFonts w:hint="eastAsia" w:ascii="Times New Roman" w:hAnsi="Times New Roman"/>
          <w:szCs w:val="24"/>
        </w:rPr>
        <w:t>查取。</w:t>
      </w:r>
    </w:p>
    <w:p>
      <w:pPr>
        <w:widowControl w:val="0"/>
        <w:spacing w:line="360" w:lineRule="auto"/>
        <w:ind w:firstLine="421" w:firstLineChars="200"/>
        <w:jc w:val="center"/>
        <w:rPr>
          <w:rFonts w:ascii="Times New Roman" w:hAnsi="Times New Roman"/>
          <w:b/>
          <w:sz w:val="21"/>
          <w:szCs w:val="24"/>
        </w:rPr>
      </w:pPr>
      <w:r>
        <w:rPr>
          <w:rFonts w:hint="eastAsia" w:ascii="Times New Roman" w:hAnsi="Times New Roman"/>
          <w:b/>
          <w:sz w:val="21"/>
          <w:szCs w:val="24"/>
        </w:rPr>
        <w:t>表E.0.</w:t>
      </w:r>
      <w:r>
        <w:rPr>
          <w:rFonts w:hint="eastAsia" w:ascii="Times New Roman" w:hAnsi="Times New Roman"/>
          <w:b/>
          <w:sz w:val="21"/>
          <w:szCs w:val="24"/>
          <w:lang w:val="en-US" w:eastAsia="zh-CN"/>
        </w:rPr>
        <w:t>6</w:t>
      </w:r>
      <w:r>
        <w:rPr>
          <w:rFonts w:hint="eastAsia" w:ascii="Times New Roman" w:hAnsi="Times New Roman"/>
          <w:b/>
          <w:sz w:val="21"/>
          <w:szCs w:val="24"/>
        </w:rPr>
        <w:t xml:space="preserve"> 不同钢筋直径对应的钢筋截面面积</w:t>
      </w:r>
      <w:r>
        <w:rPr>
          <w:rFonts w:hint="eastAsia" w:ascii="Times New Roman" w:hAnsi="Times New Roman"/>
          <w:b/>
          <w:i/>
          <w:iCs/>
          <w:sz w:val="21"/>
          <w:szCs w:val="24"/>
        </w:rPr>
        <w:t>A</w:t>
      </w:r>
      <w:r>
        <w:rPr>
          <w:rFonts w:hint="eastAsia" w:ascii="Times New Roman" w:hAnsi="Times New Roman"/>
          <w:b/>
          <w:sz w:val="21"/>
          <w:szCs w:val="24"/>
          <w:vertAlign w:val="subscript"/>
        </w:rPr>
        <w: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908"/>
        <w:gridCol w:w="835"/>
        <w:gridCol w:w="835"/>
        <w:gridCol w:w="818"/>
        <w:gridCol w:w="835"/>
        <w:gridCol w:w="899"/>
        <w:gridCol w:w="83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28" w:type="dxa"/>
            <w:vAlign w:val="center"/>
          </w:tcPr>
          <w:p>
            <w:pPr>
              <w:widowControl w:val="0"/>
              <w:jc w:val="center"/>
              <w:rPr>
                <w:rFonts w:ascii="Times New Roman" w:hAnsi="Times New Roman"/>
                <w:sz w:val="21"/>
                <w:szCs w:val="24"/>
              </w:rPr>
            </w:pPr>
            <w:r>
              <w:rPr>
                <w:rFonts w:hint="eastAsia" w:ascii="Times New Roman" w:hAnsi="Times New Roman"/>
                <w:sz w:val="21"/>
                <w:szCs w:val="24"/>
              </w:rPr>
              <w:t>钢筋直径 (mm)</w:t>
            </w:r>
          </w:p>
        </w:tc>
        <w:tc>
          <w:tcPr>
            <w:tcW w:w="908" w:type="dxa"/>
            <w:vAlign w:val="center"/>
          </w:tcPr>
          <w:p>
            <w:pPr>
              <w:widowControl w:val="0"/>
              <w:jc w:val="center"/>
              <w:rPr>
                <w:rFonts w:ascii="Times New Roman" w:hAnsi="Times New Roman"/>
                <w:sz w:val="21"/>
                <w:szCs w:val="24"/>
              </w:rPr>
            </w:pPr>
            <w:r>
              <w:rPr>
                <w:rFonts w:hint="eastAsia" w:ascii="Times New Roman" w:hAnsi="Times New Roman"/>
                <w:sz w:val="21"/>
                <w:szCs w:val="24"/>
              </w:rPr>
              <w:t>14</w:t>
            </w:r>
          </w:p>
        </w:tc>
        <w:tc>
          <w:tcPr>
            <w:tcW w:w="835" w:type="dxa"/>
            <w:vAlign w:val="center"/>
          </w:tcPr>
          <w:p>
            <w:pPr>
              <w:widowControl w:val="0"/>
              <w:jc w:val="center"/>
              <w:rPr>
                <w:rFonts w:ascii="Times New Roman" w:hAnsi="Times New Roman"/>
                <w:sz w:val="21"/>
                <w:szCs w:val="24"/>
              </w:rPr>
            </w:pPr>
            <w:r>
              <w:rPr>
                <w:rFonts w:hint="eastAsia" w:ascii="Times New Roman" w:hAnsi="Times New Roman"/>
                <w:sz w:val="21"/>
                <w:szCs w:val="24"/>
              </w:rPr>
              <w:t>16</w:t>
            </w:r>
          </w:p>
        </w:tc>
        <w:tc>
          <w:tcPr>
            <w:tcW w:w="835" w:type="dxa"/>
            <w:vAlign w:val="center"/>
          </w:tcPr>
          <w:p>
            <w:pPr>
              <w:widowControl w:val="0"/>
              <w:jc w:val="center"/>
              <w:rPr>
                <w:rFonts w:ascii="Times New Roman" w:hAnsi="Times New Roman"/>
                <w:sz w:val="21"/>
                <w:szCs w:val="24"/>
              </w:rPr>
            </w:pPr>
            <w:r>
              <w:rPr>
                <w:rFonts w:hint="eastAsia" w:ascii="Times New Roman" w:hAnsi="Times New Roman"/>
                <w:sz w:val="21"/>
                <w:szCs w:val="24"/>
              </w:rPr>
              <w:t>18</w:t>
            </w:r>
          </w:p>
        </w:tc>
        <w:tc>
          <w:tcPr>
            <w:tcW w:w="818" w:type="dxa"/>
            <w:vAlign w:val="center"/>
          </w:tcPr>
          <w:p>
            <w:pPr>
              <w:widowControl w:val="0"/>
              <w:jc w:val="center"/>
              <w:rPr>
                <w:rFonts w:ascii="Times New Roman" w:hAnsi="Times New Roman"/>
                <w:sz w:val="21"/>
                <w:szCs w:val="24"/>
              </w:rPr>
            </w:pPr>
            <w:r>
              <w:rPr>
                <w:rFonts w:hint="eastAsia" w:ascii="Times New Roman" w:hAnsi="Times New Roman"/>
                <w:sz w:val="21"/>
                <w:szCs w:val="24"/>
              </w:rPr>
              <w:t>20</w:t>
            </w:r>
          </w:p>
        </w:tc>
        <w:tc>
          <w:tcPr>
            <w:tcW w:w="835" w:type="dxa"/>
            <w:vAlign w:val="center"/>
          </w:tcPr>
          <w:p>
            <w:pPr>
              <w:widowControl w:val="0"/>
              <w:jc w:val="center"/>
              <w:rPr>
                <w:rFonts w:ascii="Times New Roman" w:hAnsi="Times New Roman"/>
                <w:sz w:val="21"/>
                <w:szCs w:val="24"/>
              </w:rPr>
            </w:pPr>
            <w:r>
              <w:rPr>
                <w:rFonts w:hint="eastAsia" w:ascii="Times New Roman" w:hAnsi="Times New Roman"/>
                <w:sz w:val="21"/>
                <w:szCs w:val="24"/>
              </w:rPr>
              <w:t>22</w:t>
            </w:r>
          </w:p>
        </w:tc>
        <w:tc>
          <w:tcPr>
            <w:tcW w:w="899" w:type="dxa"/>
            <w:vAlign w:val="center"/>
          </w:tcPr>
          <w:p>
            <w:pPr>
              <w:widowControl w:val="0"/>
              <w:jc w:val="center"/>
              <w:rPr>
                <w:rFonts w:ascii="Times New Roman" w:hAnsi="Times New Roman"/>
                <w:sz w:val="21"/>
                <w:szCs w:val="24"/>
              </w:rPr>
            </w:pPr>
            <w:r>
              <w:rPr>
                <w:rFonts w:hint="eastAsia" w:ascii="Times New Roman" w:hAnsi="Times New Roman"/>
                <w:sz w:val="21"/>
                <w:szCs w:val="24"/>
              </w:rPr>
              <w:t>25</w:t>
            </w:r>
          </w:p>
        </w:tc>
        <w:tc>
          <w:tcPr>
            <w:tcW w:w="835" w:type="dxa"/>
            <w:vAlign w:val="center"/>
          </w:tcPr>
          <w:p>
            <w:pPr>
              <w:widowControl w:val="0"/>
              <w:jc w:val="center"/>
              <w:rPr>
                <w:rFonts w:ascii="Times New Roman" w:hAnsi="Times New Roman"/>
                <w:sz w:val="21"/>
                <w:szCs w:val="24"/>
              </w:rPr>
            </w:pPr>
            <w:r>
              <w:rPr>
                <w:rFonts w:hint="eastAsia" w:ascii="Times New Roman" w:hAnsi="Times New Roman"/>
                <w:sz w:val="21"/>
                <w:szCs w:val="24"/>
              </w:rPr>
              <w:t>28</w:t>
            </w:r>
          </w:p>
        </w:tc>
        <w:tc>
          <w:tcPr>
            <w:tcW w:w="835" w:type="dxa"/>
            <w:vAlign w:val="center"/>
          </w:tcPr>
          <w:p>
            <w:pPr>
              <w:widowControl w:val="0"/>
              <w:jc w:val="center"/>
              <w:rPr>
                <w:rFonts w:ascii="Times New Roman" w:hAnsi="Times New Roman"/>
                <w:sz w:val="21"/>
                <w:szCs w:val="24"/>
              </w:rPr>
            </w:pPr>
            <w:r>
              <w:rPr>
                <w:rFonts w:hint="eastAsia" w:ascii="Times New Roman" w:hAnsi="Times New Roman"/>
                <w:sz w:val="21"/>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widowControl w:val="0"/>
              <w:jc w:val="center"/>
              <w:rPr>
                <w:rFonts w:ascii="Times New Roman" w:hAnsi="Times New Roman"/>
                <w:sz w:val="21"/>
                <w:szCs w:val="24"/>
              </w:rPr>
            </w:pPr>
            <w:r>
              <w:rPr>
                <w:rFonts w:hint="eastAsia" w:ascii="Times New Roman" w:hAnsi="Times New Roman"/>
                <w:i/>
                <w:iCs/>
                <w:sz w:val="21"/>
                <w:szCs w:val="24"/>
              </w:rPr>
              <w:t>A</w:t>
            </w:r>
            <w:r>
              <w:rPr>
                <w:rFonts w:hint="eastAsia" w:ascii="Times New Roman" w:hAnsi="Times New Roman"/>
                <w:sz w:val="21"/>
                <w:szCs w:val="24"/>
                <w:vertAlign w:val="subscript"/>
              </w:rPr>
              <w:t>s</w:t>
            </w:r>
            <w:r>
              <w:rPr>
                <w:rFonts w:hint="eastAsia" w:ascii="Times New Roman" w:hAnsi="Times New Roman"/>
                <w:sz w:val="21"/>
                <w:szCs w:val="24"/>
              </w:rPr>
              <w:t xml:space="preserve"> (mm</w:t>
            </w:r>
            <w:r>
              <w:rPr>
                <w:rFonts w:hint="eastAsia" w:ascii="Times New Roman" w:hAnsi="Times New Roman"/>
                <w:sz w:val="21"/>
                <w:szCs w:val="21"/>
                <w:vertAlign w:val="superscript"/>
              </w:rPr>
              <w:t>2</w:t>
            </w:r>
            <w:r>
              <w:rPr>
                <w:rFonts w:hint="eastAsia" w:ascii="Times New Roman" w:hAnsi="Times New Roman"/>
                <w:sz w:val="21"/>
                <w:szCs w:val="21"/>
              </w:rPr>
              <w:t>)</w:t>
            </w:r>
          </w:p>
        </w:tc>
        <w:tc>
          <w:tcPr>
            <w:tcW w:w="908"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153.9</w:t>
            </w:r>
          </w:p>
        </w:tc>
        <w:tc>
          <w:tcPr>
            <w:tcW w:w="835"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201.1</w:t>
            </w:r>
          </w:p>
        </w:tc>
        <w:tc>
          <w:tcPr>
            <w:tcW w:w="835"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254.5</w:t>
            </w:r>
          </w:p>
        </w:tc>
        <w:tc>
          <w:tcPr>
            <w:tcW w:w="818"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314.2</w:t>
            </w:r>
          </w:p>
        </w:tc>
        <w:tc>
          <w:tcPr>
            <w:tcW w:w="835"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380.1</w:t>
            </w:r>
          </w:p>
        </w:tc>
        <w:tc>
          <w:tcPr>
            <w:tcW w:w="899"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490.9</w:t>
            </w:r>
          </w:p>
        </w:tc>
        <w:tc>
          <w:tcPr>
            <w:tcW w:w="835"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615.8</w:t>
            </w:r>
          </w:p>
        </w:tc>
        <w:tc>
          <w:tcPr>
            <w:tcW w:w="835" w:type="dxa"/>
            <w:vAlign w:val="center"/>
          </w:tcPr>
          <w:p>
            <w:pPr>
              <w:widowControl w:val="0"/>
              <w:jc w:val="center"/>
              <w:rPr>
                <w:rFonts w:ascii="宋体" w:hAnsi="宋体" w:cs="宋体"/>
                <w:color w:val="000000"/>
                <w:szCs w:val="24"/>
              </w:rPr>
            </w:pPr>
            <w:r>
              <w:rPr>
                <w:rFonts w:hint="eastAsia" w:ascii="Times New Roman" w:hAnsi="Times New Roman"/>
                <w:color w:val="000000"/>
                <w:sz w:val="21"/>
                <w:szCs w:val="24"/>
              </w:rPr>
              <w:t>804.2</w:t>
            </w:r>
          </w:p>
        </w:tc>
      </w:tr>
    </w:tbl>
    <w:p>
      <w:pPr>
        <w:sectPr>
          <w:footerReference r:id="rId3" w:type="default"/>
          <w:pgSz w:w="12240" w:h="15840"/>
          <w:pgMar w:top="1440" w:right="1800" w:bottom="1440" w:left="1800" w:header="720" w:footer="720" w:gutter="0"/>
          <w:pgNumType w:fmt="decimal" w:start="1"/>
          <w:cols w:space="425" w:num="1"/>
          <w:docGrid w:type="lines" w:linePitch="312" w:charSpace="0"/>
        </w:sectPr>
      </w:pPr>
    </w:p>
    <w:p>
      <w:pPr>
        <w:pStyle w:val="2"/>
        <w:bidi w:val="0"/>
        <w:rPr>
          <w:color w:val="FF0000"/>
          <w:sz w:val="36"/>
          <w:szCs w:val="36"/>
        </w:rPr>
      </w:pPr>
      <w:bookmarkStart w:id="1017" w:name="_Toc13694"/>
      <w:bookmarkStart w:id="1018" w:name="_Toc17076"/>
      <w:bookmarkStart w:id="1019" w:name="_Toc31336"/>
      <w:r>
        <w:rPr>
          <w:rFonts w:hint="eastAsia"/>
          <w:color w:val="auto"/>
          <w:sz w:val="36"/>
          <w:szCs w:val="36"/>
        </w:rPr>
        <w:t>附录F</w:t>
      </w:r>
      <w:r>
        <w:rPr>
          <w:color w:val="auto"/>
          <w:sz w:val="36"/>
          <w:szCs w:val="36"/>
        </w:rPr>
        <w:t xml:space="preserve">  </w:t>
      </w:r>
      <w:r>
        <w:rPr>
          <w:rFonts w:hint="eastAsia"/>
          <w:color w:val="auto"/>
          <w:sz w:val="36"/>
          <w:szCs w:val="36"/>
        </w:rPr>
        <w:t>基坑涌水量估算</w:t>
      </w:r>
      <w:bookmarkEnd w:id="1017"/>
      <w:bookmarkEnd w:id="1018"/>
      <w:bookmarkEnd w:id="1019"/>
    </w:p>
    <w:p>
      <w:pPr>
        <w:spacing w:line="480" w:lineRule="exact"/>
        <w:rPr>
          <w:rFonts w:ascii="Times New Roman" w:hAnsi="Times New Roman" w:cs="宋体"/>
          <w:lang w:bidi="ar"/>
        </w:rPr>
      </w:pPr>
      <w:r>
        <w:rPr>
          <w:rFonts w:hint="eastAsia" w:ascii="Times New Roman" w:hAnsi="Times New Roman" w:cs="宋体"/>
          <w:b/>
          <w:bCs/>
          <w:szCs w:val="24"/>
          <w:lang w:bidi="ar"/>
        </w:rPr>
        <w:t>F.0.1</w:t>
      </w:r>
      <w:r>
        <w:rPr>
          <w:rFonts w:ascii="Times New Roman" w:hAnsi="Times New Roman" w:cs="宋体"/>
          <w:szCs w:val="24"/>
          <w:lang w:bidi="ar"/>
        </w:rPr>
        <w:t xml:space="preserve">  </w:t>
      </w:r>
      <w:r>
        <w:rPr>
          <w:rFonts w:hint="eastAsia" w:ascii="Times New Roman" w:hAnsi="Times New Roman" w:cs="宋体"/>
          <w:szCs w:val="24"/>
          <w:lang w:bidi="ar"/>
        </w:rPr>
        <w:t>均质、无限边界含水层中块状基坑涌水量估算时可简化为圆形，采用“大井法”按下列公式选用。</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1  </w:t>
      </w:r>
      <w:r>
        <w:rPr>
          <w:rFonts w:hint="eastAsia" w:ascii="Times New Roman" w:hAnsi="Times New Roman" w:cs="宋体"/>
          <w:szCs w:val="24"/>
          <w:lang w:bidi="ar"/>
        </w:rPr>
        <w:t>当基坑为不规则形状长宽比小于等于</w:t>
      </w:r>
      <w:r>
        <w:rPr>
          <w:rFonts w:ascii="Times New Roman" w:hAnsi="Times New Roman" w:cs="宋体"/>
          <w:szCs w:val="24"/>
          <w:lang w:bidi="ar"/>
        </w:rPr>
        <w:t>2.5</w:t>
      </w:r>
      <w:r>
        <w:rPr>
          <w:rFonts w:hint="eastAsia" w:ascii="Times New Roman" w:hAnsi="Times New Roman" w:cs="宋体"/>
          <w:szCs w:val="24"/>
          <w:lang w:bidi="ar"/>
        </w:rPr>
        <w:t>时，基坑等效半径可采用下列公式计算：</w:t>
      </w:r>
    </w:p>
    <w:p>
      <w:pPr>
        <w:jc w:val="right"/>
        <w:rPr>
          <w:rFonts w:ascii="Times New Roman" w:hAnsi="Times New Roman" w:cs="宋体"/>
          <w:lang w:bidi="ar"/>
        </w:rPr>
      </w:pPr>
      <w:r>
        <w:rPr>
          <w:rFonts w:ascii="Times New Roman" w:hAnsi="Times New Roman" w:cs="宋体"/>
          <w:szCs w:val="24"/>
          <w:lang w:bidi="ar"/>
        </w:rPr>
        <w:pict>
          <v:shape id="_x0000_i1299" o:spt="75" type="#_x0000_t75" style="height:35.6pt;width:42.75pt;" filled="f" coordsize="21600,21600">
            <v:path/>
            <v:fill on="f" focussize="0,0"/>
            <v:stroke/>
            <v:imagedata r:id="rId761" o:title=""/>
            <o:lock v:ext="edit" aspectratio="t"/>
            <w10:wrap type="none"/>
            <w10:anchorlock/>
          </v:shape>
        </w:pict>
      </w:r>
      <w:r>
        <w:rPr>
          <w:rFonts w:ascii="Times New Roman" w:hAnsi="Times New Roman" w:cs="宋体"/>
          <w:szCs w:val="24"/>
          <w:lang w:bidi="ar"/>
        </w:rPr>
        <w:t xml:space="preserve">                               </w:t>
      </w:r>
      <w:r>
        <w:rPr>
          <w:rFonts w:hint="eastAsia" w:ascii="Times New Roman" w:hAnsi="Times New Roman" w:cs="宋体"/>
          <w:szCs w:val="24"/>
          <w:lang w:bidi="ar"/>
        </w:rPr>
        <w:t>（F.0.1</w:t>
      </w:r>
      <w:r>
        <w:rPr>
          <w:rFonts w:ascii="Times New Roman" w:hAnsi="Times New Roman" w:cs="宋体"/>
          <w:szCs w:val="24"/>
          <w:lang w:bidi="ar"/>
        </w:rPr>
        <w:t>-1</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2  </w:t>
      </w:r>
      <w:r>
        <w:rPr>
          <w:rFonts w:hint="eastAsia" w:ascii="Times New Roman" w:hAnsi="Times New Roman" w:cs="宋体"/>
          <w:szCs w:val="24"/>
          <w:lang w:bidi="ar"/>
        </w:rPr>
        <w:t>潜水完整井的基坑涌水量可按下列公式估算：</w:t>
      </w:r>
    </w:p>
    <w:p>
      <w:pPr>
        <w:jc w:val="right"/>
        <w:rPr>
          <w:rFonts w:ascii="Times New Roman" w:hAnsi="Times New Roman" w:cs="宋体"/>
          <w:lang w:bidi="ar"/>
        </w:rPr>
      </w:pPr>
      <w:r>
        <w:rPr>
          <w:rFonts w:ascii="Times New Roman" w:hAnsi="Times New Roman" w:cs="宋体"/>
          <w:szCs w:val="24"/>
          <w:lang w:bidi="ar"/>
        </w:rPr>
        <w:object>
          <v:shape id="_x0000_i1300" o:spt="75" type="#_x0000_t75" style="height:33.25pt;width:134.5pt;" o:ole="t" filled="f" coordsize="21600,21600">
            <v:path/>
            <v:fill on="f" focussize="0,0"/>
            <v:stroke/>
            <v:imagedata r:id="rId763" o:title=""/>
            <o:lock v:ext="edit" aspectratio="t"/>
            <w10:wrap type="none"/>
            <w10:anchorlock/>
          </v:shape>
          <o:OLEObject Type="Embed" ProgID="Equation.3" ShapeID="_x0000_i1300" DrawAspect="Content" ObjectID="_1468075980" r:id="rId762">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（F.0.1</w:t>
      </w:r>
      <w:r>
        <w:rPr>
          <w:rFonts w:ascii="Times New Roman" w:hAnsi="Times New Roman" w:cs="宋体"/>
          <w:szCs w:val="24"/>
          <w:lang w:bidi="ar"/>
        </w:rPr>
        <w:t>-2</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01" o:spt="75" type="#_x0000_t75" style="height:12.65pt;width:11.85pt;" o:ole="t" filled="f" coordsize="21600,21600">
            <v:path/>
            <v:fill on="f" focussize="0,0"/>
            <v:stroke/>
            <v:imagedata r:id="rId765" o:title=""/>
            <o:lock v:ext="edit" aspectratio="t"/>
            <w10:wrap type="none"/>
            <w10:anchorlock/>
          </v:shape>
          <o:OLEObject Type="Embed" ProgID="Equation.3" ShapeID="_x0000_i1301" DrawAspect="Content" ObjectID="_1468075981" r:id="rId764">
            <o:LockedField>false</o:LockedField>
          </o:OLEObject>
        </w:object>
      </w:r>
      <w:r>
        <w:rPr>
          <w:rFonts w:hint="eastAsia" w:ascii="Times New Roman" w:hAnsi="Times New Roman" w:cs="宋体"/>
          <w:szCs w:val="24"/>
          <w:lang w:bidi="ar"/>
        </w:rPr>
        <w:t>——降水井围成的面积（</w:t>
      </w:r>
      <w:r>
        <w:rPr>
          <w:rFonts w:ascii="Times New Roman" w:hAnsi="Times New Roman" w:cs="宋体"/>
          <w:szCs w:val="24"/>
          <w:lang w:bidi="ar"/>
        </w:rPr>
        <w:t>m</w:t>
      </w:r>
      <w:r>
        <w:rPr>
          <w:rFonts w:ascii="Times New Roman" w:hAnsi="Times New Roman" w:cs="宋体"/>
          <w:szCs w:val="24"/>
          <w:vertAlign w:val="superscript"/>
          <w:lang w:bidi="ar"/>
        </w:rPr>
        <w:t>2</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02" o:spt="75" type="#_x0000_t75" style="height:15.8pt;width:11.85pt;" o:ole="t" filled="f" coordsize="21600,21600">
            <v:path/>
            <v:fill on="f" focussize="0,0"/>
            <v:stroke/>
            <v:imagedata r:id="rId767" o:title=""/>
            <o:lock v:ext="edit" aspectratio="t"/>
            <w10:wrap type="none"/>
            <w10:anchorlock/>
          </v:shape>
          <o:OLEObject Type="Embed" ProgID="Equation.KSEE3" ShapeID="_x0000_i1302" DrawAspect="Content" ObjectID="_1468075982" r:id="rId766">
            <o:LockedField>false</o:LockedField>
          </o:OLEObject>
        </w:object>
      </w:r>
      <w:r>
        <w:rPr>
          <w:rFonts w:hint="eastAsia" w:ascii="Times New Roman" w:hAnsi="Times New Roman" w:cs="宋体"/>
          <w:szCs w:val="24"/>
          <w:lang w:bidi="ar"/>
        </w:rPr>
        <w:t>——基坑涌水量（</w:t>
      </w:r>
      <w:r>
        <w:rPr>
          <w:rFonts w:ascii="Times New Roman" w:hAnsi="Times New Roman" w:cs="宋体"/>
          <w:szCs w:val="24"/>
          <w:lang w:bidi="ar"/>
        </w:rPr>
        <w:t>m</w:t>
      </w:r>
      <w:r>
        <w:rPr>
          <w:rFonts w:ascii="Times New Roman" w:hAnsi="Times New Roman" w:cs="宋体"/>
          <w:szCs w:val="24"/>
          <w:vertAlign w:val="superscript"/>
          <w:lang w:bidi="ar"/>
        </w:rPr>
        <w:t>3</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03" o:spt="75" type="#_x0000_t75" style="height:12.65pt;width:9.5pt;" o:ole="t" filled="f" coordsize="21600,21600">
            <v:path/>
            <v:fill on="f" focussize="0,0"/>
            <v:stroke/>
            <v:imagedata r:id="rId769" o:title=""/>
            <o:lock v:ext="edit" aspectratio="t"/>
            <w10:wrap type="none"/>
            <w10:anchorlock/>
          </v:shape>
          <o:OLEObject Type="Embed" ProgID="Equation.3" ShapeID="_x0000_i1303" DrawAspect="Content" ObjectID="_1468075983" r:id="rId768">
            <o:LockedField>false</o:LockedField>
          </o:OLEObject>
        </w:object>
      </w:r>
      <w:r>
        <w:rPr>
          <w:rFonts w:hint="eastAsia" w:ascii="Times New Roman" w:hAnsi="Times New Roman" w:cs="宋体"/>
          <w:szCs w:val="24"/>
          <w:lang w:bidi="ar"/>
        </w:rPr>
        <w:t>——渗透系数（</w:t>
      </w:r>
      <w:r>
        <w:rPr>
          <w:rFonts w:ascii="Times New Roman" w:hAnsi="Times New Roman" w:cs="宋体"/>
          <w:szCs w:val="24"/>
          <w:lang w:bidi="ar"/>
        </w:rPr>
        <w:t>m/d</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04" o:spt="75" type="#_x0000_t75" style="height:12.65pt;width:14.25pt;" o:ole="t" filled="f" coordsize="21600,21600">
            <v:path/>
            <v:fill on="f" focussize="0,0"/>
            <v:stroke/>
            <v:imagedata r:id="rId771" o:title=""/>
            <o:lock v:ext="edit" aspectratio="t"/>
            <w10:wrap type="none"/>
            <w10:anchorlock/>
          </v:shape>
          <o:OLEObject Type="Embed" ProgID="Equation.KSEE3" ShapeID="_x0000_i1304" DrawAspect="Content" ObjectID="_1468075984" r:id="rId770">
            <o:LockedField>false</o:LockedField>
          </o:OLEObject>
        </w:object>
      </w:r>
      <w:r>
        <w:rPr>
          <w:rFonts w:hint="eastAsia" w:ascii="Times New Roman" w:hAnsi="Times New Roman" w:cs="宋体"/>
          <w:szCs w:val="24"/>
          <w:lang w:bidi="ar"/>
        </w:rPr>
        <w:t>——潜水含水层初始厚度（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05" o:spt="75" type="#_x0000_t75" style="height:11.1pt;width:8.7pt;" o:ole="t" filled="f" coordsize="21600,21600">
            <v:path/>
            <v:fill on="f" focussize="0,0"/>
            <v:stroke/>
            <v:imagedata r:id="rId773" o:title=""/>
            <o:lock v:ext="edit" aspectratio="t"/>
            <w10:wrap type="none"/>
            <w10:anchorlock/>
          </v:shape>
          <o:OLEObject Type="Embed" ProgID="Equation.3" ShapeID="_x0000_i1305" DrawAspect="Content" ObjectID="_1468075985" r:id="rId772">
            <o:LockedField>false</o:LockedField>
          </o:OLEObject>
        </w:object>
      </w:r>
      <w:r>
        <w:rPr>
          <w:rFonts w:hint="eastAsia" w:ascii="Times New Roman" w:hAnsi="Times New Roman" w:cs="宋体"/>
          <w:szCs w:val="24"/>
          <w:lang w:bidi="ar"/>
        </w:rPr>
        <w:t>——水位降深（</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06" o:spt="75" type="#_x0000_t75" style="height:12.65pt;width:11.85pt;" o:ole="t" filled="f" coordsize="21600,21600">
            <v:path/>
            <v:fill on="f" focussize="0,0"/>
            <v:stroke/>
            <v:imagedata r:id="rId775" o:title=""/>
            <o:lock v:ext="edit" aspectratio="t"/>
            <w10:wrap type="none"/>
            <w10:anchorlock/>
          </v:shape>
          <o:OLEObject Type="Embed" ProgID="Equation.KSEE3" ShapeID="_x0000_i1306" DrawAspect="Content" ObjectID="_1468075986" r:id="rId774">
            <o:LockedField>false</o:LockedField>
          </o:OLEObject>
        </w:object>
      </w:r>
      <w:r>
        <w:rPr>
          <w:rFonts w:hint="eastAsia" w:ascii="Times New Roman" w:hAnsi="Times New Roman" w:cs="宋体"/>
          <w:szCs w:val="24"/>
          <w:lang w:bidi="ar"/>
        </w:rPr>
        <w:t>——降水影响半径（</w:t>
      </w:r>
      <w:r>
        <w:rPr>
          <w:rFonts w:ascii="Times New Roman" w:hAnsi="Times New Roman" w:cs="宋体"/>
          <w:szCs w:val="24"/>
          <w:lang w:bidi="ar"/>
        </w:rPr>
        <w:t>m</w:t>
      </w:r>
      <w:r>
        <w:rPr>
          <w:rFonts w:hint="eastAsia" w:ascii="Times New Roman" w:hAnsi="Times New Roman" w:cs="宋体"/>
          <w:szCs w:val="24"/>
          <w:lang w:bidi="ar"/>
        </w:rPr>
        <w:t>）；</w:t>
      </w:r>
      <w:r>
        <w:rPr>
          <w:rFonts w:ascii="Times New Roman" w:hAnsi="Times New Roman" w:cs="宋体"/>
          <w:szCs w:val="24"/>
          <w:lang w:bidi="ar"/>
        </w:rPr>
        <w:t xml:space="preserve">   </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07" o:spt="75" type="#_x0000_t75" style="height:18.2pt;width:11.1pt;" o:ole="t" filled="f" coordsize="21600,21600">
            <v:path/>
            <v:fill on="f" focussize="0,0"/>
            <v:stroke/>
            <v:imagedata r:id="rId777" o:title=""/>
            <o:lock v:ext="edit" aspectratio="t"/>
            <w10:wrap type="none"/>
            <w10:anchorlock/>
          </v:shape>
          <o:OLEObject Type="Embed" ProgID="Equation.3" ShapeID="_x0000_i1307" DrawAspect="Content" ObjectID="_1468075987" r:id="rId776">
            <o:LockedField>false</o:LockedField>
          </o:OLEObject>
        </w:object>
      </w:r>
      <w:r>
        <w:rPr>
          <w:rFonts w:hint="eastAsia" w:ascii="Times New Roman" w:hAnsi="Times New Roman" w:cs="宋体"/>
          <w:szCs w:val="24"/>
          <w:lang w:bidi="ar"/>
        </w:rPr>
        <w:t>——基坑等效半径</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3 </w:t>
      </w:r>
      <w:r>
        <w:rPr>
          <w:rFonts w:hint="eastAsia" w:ascii="Times New Roman" w:hAnsi="Times New Roman" w:cs="宋体"/>
          <w:szCs w:val="24"/>
          <w:lang w:bidi="ar"/>
        </w:rPr>
        <w:t xml:space="preserve"> 承压水完整井的基坑涌水量可按下列公式估算：</w:t>
      </w:r>
    </w:p>
    <w:p>
      <w:pPr>
        <w:jc w:val="right"/>
        <w:rPr>
          <w:rFonts w:ascii="Times New Roman" w:hAnsi="Times New Roman" w:cs="宋体"/>
          <w:lang w:bidi="ar"/>
        </w:rPr>
      </w:pPr>
      <w:r>
        <w:rPr>
          <w:rFonts w:ascii="Times New Roman" w:hAnsi="Times New Roman" w:cs="宋体"/>
          <w:szCs w:val="24"/>
          <w:lang w:bidi="ar"/>
        </w:rPr>
        <w:object>
          <v:shape id="_x0000_i1308" o:spt="75" type="#_x0000_t75" style="height:33.25pt;width:99.7pt;" o:ole="t" filled="f" coordsize="21600,21600">
            <v:path/>
            <v:fill on="f" focussize="0,0"/>
            <v:stroke/>
            <v:imagedata r:id="rId779" o:title=""/>
            <o:lock v:ext="edit" aspectratio="t"/>
            <w10:wrap type="none"/>
            <w10:anchorlock/>
          </v:shape>
          <o:OLEObject Type="Embed" ProgID="Equation.3" ShapeID="_x0000_i1308" DrawAspect="Content" ObjectID="_1468075988" r:id="rId778">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（F.0.1</w:t>
      </w:r>
      <w:r>
        <w:rPr>
          <w:rFonts w:ascii="Times New Roman" w:hAnsi="Times New Roman" w:cs="宋体"/>
          <w:szCs w:val="24"/>
          <w:lang w:bidi="ar"/>
        </w:rPr>
        <w:t>-3</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09" o:spt="75" type="#_x0000_t75" style="height:12.65pt;width:15.8pt;" o:ole="t" filled="f" coordsize="21600,21600">
            <v:path/>
            <v:fill on="f" focussize="0,0"/>
            <v:stroke/>
            <v:imagedata r:id="rId781" o:title=""/>
            <o:lock v:ext="edit" aspectratio="t"/>
            <w10:wrap type="none"/>
            <w10:anchorlock/>
          </v:shape>
          <o:OLEObject Type="Embed" ProgID="Equation.3" ShapeID="_x0000_i1309" DrawAspect="Content" ObjectID="_1468075989" r:id="rId780">
            <o:LockedField>false</o:LockedField>
          </o:OLEObject>
        </w:object>
      </w:r>
      <w:r>
        <w:rPr>
          <w:rFonts w:hint="eastAsia" w:ascii="Times New Roman" w:hAnsi="Times New Roman" w:cs="宋体"/>
          <w:szCs w:val="24"/>
          <w:lang w:bidi="ar"/>
        </w:rPr>
        <w:t>——承压水层厚度（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4 </w:t>
      </w:r>
      <w:r>
        <w:rPr>
          <w:rFonts w:hint="eastAsia" w:ascii="Times New Roman" w:hAnsi="Times New Roman" w:cs="宋体"/>
          <w:szCs w:val="24"/>
          <w:lang w:bidi="ar"/>
        </w:rPr>
        <w:t xml:space="preserve"> 承压</w:t>
      </w:r>
      <w:r>
        <w:rPr>
          <w:rFonts w:ascii="Times New Roman" w:hAnsi="Times New Roman" w:cs="宋体"/>
          <w:szCs w:val="24"/>
          <w:lang w:bidi="ar"/>
        </w:rPr>
        <w:t>-</w:t>
      </w:r>
      <w:r>
        <w:rPr>
          <w:rFonts w:hint="eastAsia" w:ascii="Times New Roman" w:hAnsi="Times New Roman" w:cs="宋体"/>
          <w:szCs w:val="24"/>
          <w:lang w:bidi="ar"/>
        </w:rPr>
        <w:t>潜水完整井的基坑涌水量可按下列公式计算：</w:t>
      </w:r>
    </w:p>
    <w:p>
      <w:pPr>
        <w:jc w:val="right"/>
        <w:rPr>
          <w:rFonts w:ascii="Times New Roman" w:hAnsi="Times New Roman" w:cs="宋体"/>
          <w:lang w:bidi="ar"/>
        </w:rPr>
      </w:pPr>
      <w:r>
        <w:rPr>
          <w:rFonts w:ascii="Times New Roman" w:hAnsi="Times New Roman" w:cs="宋体"/>
          <w:szCs w:val="24"/>
          <w:lang w:bidi="ar"/>
        </w:rPr>
        <w:object>
          <v:shape id="_x0000_i1310" o:spt="75" type="#_x0000_t75" style="height:30.85pt;width:125pt;" o:ole="t" filled="f" coordsize="21600,21600">
            <v:path/>
            <v:fill on="f" focussize="0,0"/>
            <v:stroke/>
            <v:imagedata r:id="rId783" o:title=""/>
            <o:lock v:ext="edit" aspectratio="t"/>
            <w10:wrap type="none"/>
            <w10:anchorlock/>
          </v:shape>
          <o:OLEObject Type="Embed" ProgID="Equation.3" ShapeID="_x0000_i1310" DrawAspect="Content" ObjectID="_1468075990" r:id="rId782">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（F.0.1</w:t>
      </w:r>
      <w:r>
        <w:rPr>
          <w:rFonts w:ascii="Times New Roman" w:hAnsi="Times New Roman" w:cs="宋体"/>
          <w:szCs w:val="24"/>
          <w:lang w:bidi="ar"/>
        </w:rPr>
        <w:t>-4</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11" o:spt="75" type="#_x0000_t75" style="height:12.65pt;width:9.5pt;" o:ole="t" filled="f" coordsize="21600,21600">
            <v:path/>
            <v:fill on="f" focussize="0,0"/>
            <v:stroke/>
            <v:imagedata r:id="rId785" o:title=""/>
            <o:lock v:ext="edit" aspectratio="t"/>
            <w10:wrap type="none"/>
            <w10:anchorlock/>
          </v:shape>
          <o:OLEObject Type="Embed" ProgID="Equation.3" ShapeID="_x0000_i1311" DrawAspect="Content" ObjectID="_1468075991" r:id="rId784">
            <o:LockedField>false</o:LockedField>
          </o:OLEObject>
        </w:object>
      </w:r>
      <w:r>
        <w:rPr>
          <w:rFonts w:hint="eastAsia" w:ascii="Times New Roman" w:hAnsi="Times New Roman" w:cs="宋体"/>
          <w:szCs w:val="24"/>
          <w:lang w:bidi="ar"/>
        </w:rPr>
        <w:t>——基坑动水位至含水层底板的距离（</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5 </w:t>
      </w:r>
      <w:r>
        <w:rPr>
          <w:rFonts w:hint="eastAsia" w:ascii="Times New Roman" w:hAnsi="Times New Roman" w:cs="宋体"/>
          <w:szCs w:val="24"/>
          <w:lang w:bidi="ar"/>
        </w:rPr>
        <w:t xml:space="preserve"> 潜水非完整井的基坑涌水量可按下列公式估算：</w:t>
      </w:r>
    </w:p>
    <w:p>
      <w:pPr>
        <w:spacing w:line="480" w:lineRule="exact"/>
        <w:rPr>
          <w:rFonts w:ascii="Times New Roman" w:hAnsi="Times New Roman" w:cs="宋体"/>
          <w:lang w:bidi="ar"/>
        </w:rPr>
      </w:pPr>
      <w:r>
        <w:rPr>
          <w:rFonts w:ascii="Times New Roman" w:hAnsi="Times New Roman" w:cs="宋体"/>
          <w:szCs w:val="24"/>
          <w:lang w:bidi="ar"/>
        </w:rPr>
        <w:t xml:space="preserve">      </w:t>
      </w:r>
    </w:p>
    <w:p>
      <w:pPr>
        <w:jc w:val="right"/>
        <w:rPr>
          <w:rFonts w:ascii="Times New Roman" w:hAnsi="Times New Roman" w:cs="宋体"/>
          <w:lang w:bidi="ar"/>
        </w:rPr>
      </w:pPr>
      <w:r>
        <w:rPr>
          <w:rFonts w:ascii="Times New Roman" w:hAnsi="Times New Roman" w:cs="宋体"/>
          <w:szCs w:val="24"/>
          <w:lang w:bidi="ar"/>
        </w:rPr>
        <w:object>
          <v:shape id="_x0000_i1312" o:spt="75" type="#_x0000_t75" style="height:53.8pt;width:159.05pt;" o:ole="t" filled="f" coordsize="21600,21600">
            <v:path/>
            <v:fill on="f" focussize="0,0"/>
            <v:stroke/>
            <v:imagedata r:id="rId787" o:title=""/>
            <o:lock v:ext="edit" aspectratio="t"/>
            <w10:wrap type="none"/>
            <w10:anchorlock/>
          </v:shape>
          <o:OLEObject Type="Embed" ProgID="Equation.3" ShapeID="_x0000_i1312" DrawAspect="Content" ObjectID="_1468075992" r:id="rId786">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（F.0.1</w:t>
      </w:r>
      <w:r>
        <w:rPr>
          <w:rFonts w:ascii="Times New Roman" w:hAnsi="Times New Roman" w:cs="宋体"/>
          <w:szCs w:val="24"/>
          <w:lang w:bidi="ar"/>
        </w:rPr>
        <w:t>-5</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13" o:spt="75" type="#_x0000_t75" style="height:12.65pt;width:6.35pt;" o:ole="t" filled="f" coordsize="21600,21600">
            <v:path/>
            <v:fill on="f" focussize="0,0"/>
            <v:stroke/>
            <v:imagedata r:id="rId789" o:title=""/>
            <o:lock v:ext="edit" aspectratio="t"/>
            <w10:wrap type="none"/>
            <w10:anchorlock/>
          </v:shape>
          <o:OLEObject Type="Embed" ProgID="Equation.3" ShapeID="_x0000_i1313" DrawAspect="Content" ObjectID="_1468075993" r:id="rId788">
            <o:LockedField>false</o:LockedField>
          </o:OLEObject>
        </w:object>
      </w:r>
      <w:r>
        <w:rPr>
          <w:rFonts w:hint="eastAsia" w:ascii="Times New Roman" w:hAnsi="Times New Roman" w:cs="宋体"/>
          <w:szCs w:val="24"/>
          <w:lang w:bidi="ar"/>
        </w:rPr>
        <w:t>——滤管有效工作部分长度（</w:t>
      </w:r>
      <w:r>
        <w:rPr>
          <w:rFonts w:ascii="Times New Roman" w:hAnsi="Times New Roman" w:cs="宋体"/>
          <w:szCs w:val="24"/>
          <w:lang w:bidi="ar"/>
        </w:rPr>
        <w:t>m</w:t>
      </w:r>
      <w:r>
        <w:rPr>
          <w:rFonts w:hint="eastAsia" w:ascii="Times New Roman" w:hAnsi="Times New Roman" w:cs="宋体"/>
          <w:szCs w:val="24"/>
          <w:lang w:bidi="ar"/>
        </w:rPr>
        <w:t>）；</w:t>
      </w:r>
    </w:p>
    <w:p>
      <w:pPr>
        <w:ind w:firstLine="720" w:firstLineChars="300"/>
        <w:rPr>
          <w:rFonts w:ascii="Times New Roman" w:hAnsi="Times New Roman" w:cs="宋体"/>
          <w:lang w:bidi="ar"/>
        </w:rPr>
      </w:pPr>
      <w:r>
        <w:rPr>
          <w:rFonts w:ascii="Times New Roman" w:hAnsi="Times New Roman" w:cs="宋体"/>
          <w:szCs w:val="24"/>
          <w:lang w:bidi="ar"/>
        </w:rPr>
        <w:object>
          <v:shape id="_x0000_i1314" o:spt="75" type="#_x0000_t75" style="height:17.4pt;width:9.5pt;" o:ole="t" filled="f" coordsize="21600,21600">
            <v:path/>
            <v:fill on="f" focussize="0,0"/>
            <v:stroke/>
            <v:imagedata r:id="rId791" o:title=""/>
            <o:lock v:ext="edit" aspectratio="t"/>
            <w10:wrap type="none"/>
            <w10:anchorlock/>
          </v:shape>
          <o:OLEObject Type="Embed" ProgID="Equation.3" ShapeID="_x0000_i1314" DrawAspect="Content" ObjectID="_1468075994" r:id="rId790">
            <o:LockedField>false</o:LockedField>
          </o:OLEObject>
        </w:object>
      </w:r>
      <w:r>
        <w:rPr>
          <w:rFonts w:hint="eastAsia" w:ascii="Times New Roman" w:hAnsi="Times New Roman" w:cs="宋体"/>
          <w:szCs w:val="24"/>
          <w:lang w:bidi="ar"/>
        </w:rPr>
        <w:t>——平均动水位（</w:t>
      </w:r>
      <w:r>
        <w:rPr>
          <w:rFonts w:ascii="Times New Roman" w:hAnsi="Times New Roman" w:cs="宋体"/>
          <w:szCs w:val="24"/>
          <w:lang w:bidi="ar"/>
        </w:rPr>
        <w:t>m</w:t>
      </w:r>
      <w:r>
        <w:rPr>
          <w:rFonts w:hint="eastAsia" w:ascii="Times New Roman" w:hAnsi="Times New Roman" w:cs="宋体"/>
          <w:szCs w:val="24"/>
          <w:lang w:bidi="ar"/>
        </w:rPr>
        <w:t>），</w:t>
      </w:r>
      <w:r>
        <w:rPr>
          <w:rFonts w:ascii="Times New Roman" w:hAnsi="Times New Roman" w:cs="宋体"/>
          <w:szCs w:val="24"/>
          <w:lang w:bidi="ar"/>
        </w:rPr>
        <w:object>
          <v:shape id="_x0000_i1315" o:spt="75" type="#_x0000_t75" style="height:30.85pt;width:50.65pt;" o:ole="t" filled="f" coordsize="21600,21600">
            <v:path/>
            <v:fill on="f" focussize="0,0"/>
            <v:stroke/>
            <v:imagedata r:id="rId793" o:title=""/>
            <o:lock v:ext="edit" aspectratio="t"/>
            <w10:wrap type="none"/>
            <w10:anchorlock/>
          </v:shape>
          <o:OLEObject Type="Embed" ProgID="Equation.3" ShapeID="_x0000_i1315" DrawAspect="Content" ObjectID="_1468075995" r:id="rId792">
            <o:LockedField>false</o:LockedField>
          </o:OLEObject>
        </w:objec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6 </w:t>
      </w:r>
      <w:r>
        <w:rPr>
          <w:rFonts w:hint="eastAsia" w:ascii="Times New Roman" w:hAnsi="Times New Roman" w:cs="宋体"/>
          <w:szCs w:val="24"/>
          <w:lang w:bidi="ar"/>
        </w:rPr>
        <w:t xml:space="preserve"> 承压水非完整井的基坑涌水量可按下列公式估算：</w:t>
      </w:r>
    </w:p>
    <w:p>
      <w:pPr>
        <w:jc w:val="right"/>
        <w:rPr>
          <w:rFonts w:ascii="Times New Roman" w:hAnsi="Times New Roman" w:cs="宋体"/>
          <w:lang w:bidi="ar"/>
        </w:rPr>
      </w:pPr>
      <w:r>
        <w:rPr>
          <w:rFonts w:ascii="Times New Roman" w:hAnsi="Times New Roman" w:cs="宋体"/>
          <w:szCs w:val="24"/>
          <w:lang w:bidi="ar"/>
        </w:rPr>
        <w:object>
          <v:shape id="_x0000_i1316" o:spt="75" type="#_x0000_t75" style="height:53.8pt;width:173.25pt;" o:ole="t" filled="f" coordsize="21600,21600">
            <v:path/>
            <v:fill on="f" focussize="0,0"/>
            <v:stroke/>
            <v:imagedata r:id="rId795" o:title=""/>
            <o:lock v:ext="edit" aspectratio="t"/>
            <w10:wrap type="none"/>
            <w10:anchorlock/>
          </v:shape>
          <o:OLEObject Type="Embed" ProgID="Equation.3" ShapeID="_x0000_i1316" DrawAspect="Content" ObjectID="_1468075996" r:id="rId794">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（F.0.1</w:t>
      </w:r>
      <w:r>
        <w:rPr>
          <w:rFonts w:ascii="Times New Roman" w:hAnsi="Times New Roman" w:cs="宋体"/>
          <w:szCs w:val="24"/>
          <w:lang w:bidi="ar"/>
        </w:rPr>
        <w:t>-6</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b/>
          <w:bCs/>
          <w:szCs w:val="24"/>
          <w:lang w:bidi="ar"/>
        </w:rPr>
        <w:t xml:space="preserve">F.0.2 </w:t>
      </w:r>
      <w:r>
        <w:rPr>
          <w:rFonts w:hint="eastAsia" w:ascii="Times New Roman" w:hAnsi="Times New Roman" w:cs="宋体"/>
          <w:szCs w:val="24"/>
          <w:lang w:bidi="ar"/>
        </w:rPr>
        <w:t xml:space="preserve"> 均质、无限边界含水层中条形基坑涌水量可按下列公式计算：</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1</w:t>
      </w:r>
      <w:r>
        <w:rPr>
          <w:rFonts w:hint="eastAsia" w:ascii="Times New Roman" w:hAnsi="Times New Roman" w:cs="宋体"/>
          <w:szCs w:val="24"/>
          <w:lang w:bidi="ar"/>
        </w:rPr>
        <w:t>潜水完整井：</w:t>
      </w:r>
    </w:p>
    <w:p>
      <w:pPr>
        <w:jc w:val="right"/>
        <w:rPr>
          <w:rFonts w:ascii="Times New Roman" w:hAnsi="Times New Roman" w:cs="宋体"/>
          <w:lang w:bidi="ar"/>
        </w:rPr>
      </w:pPr>
      <w:r>
        <w:rPr>
          <w:rFonts w:ascii="Times New Roman" w:hAnsi="Times New Roman" w:cs="宋体"/>
          <w:szCs w:val="24"/>
          <w:lang w:bidi="ar"/>
        </w:rPr>
        <w:object>
          <v:shape id="_x0000_i1317" o:spt="75" type="#_x0000_t75" style="height:41.15pt;width:150.35pt;" o:ole="t" filled="f" coordsize="21600,21600">
            <v:path/>
            <v:fill on="f" focussize="0,0"/>
            <v:stroke/>
            <v:imagedata r:id="rId797" o:title=""/>
            <o:lock v:ext="edit" aspectratio="t"/>
            <w10:wrap type="none"/>
            <w10:anchorlock/>
          </v:shape>
          <o:OLEObject Type="Embed" ProgID="Equation.3" ShapeID="_x0000_i1317" DrawAspect="Content" ObjectID="_1468075997" r:id="rId796">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（F.0.2</w:t>
      </w:r>
      <w:r>
        <w:rPr>
          <w:rFonts w:ascii="Times New Roman" w:hAnsi="Times New Roman" w:cs="宋体"/>
          <w:szCs w:val="24"/>
          <w:lang w:bidi="ar"/>
        </w:rPr>
        <w:t>-1</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2 </w:t>
      </w:r>
      <w:r>
        <w:rPr>
          <w:rFonts w:hint="eastAsia" w:ascii="Times New Roman" w:hAnsi="Times New Roman" w:cs="宋体"/>
          <w:szCs w:val="24"/>
          <w:lang w:bidi="ar"/>
        </w:rPr>
        <w:t>承压水完整井：</w:t>
      </w:r>
    </w:p>
    <w:p>
      <w:pPr>
        <w:jc w:val="right"/>
        <w:rPr>
          <w:rFonts w:ascii="Times New Roman" w:hAnsi="Times New Roman" w:cs="宋体"/>
          <w:lang w:bidi="ar"/>
        </w:rPr>
      </w:pPr>
      <w:r>
        <w:rPr>
          <w:rFonts w:ascii="Times New Roman" w:hAnsi="Times New Roman" w:cs="宋体"/>
          <w:szCs w:val="24"/>
          <w:lang w:bidi="ar"/>
        </w:rPr>
        <w:object>
          <v:shape id="_x0000_i1318" o:spt="75" type="#_x0000_t75" style="height:39.55pt;width:106pt;" o:ole="t" filled="f" coordsize="21600,21600">
            <v:path/>
            <v:fill on="f" focussize="0,0"/>
            <v:stroke/>
            <v:imagedata r:id="rId799" o:title=""/>
            <o:lock v:ext="edit" aspectratio="t"/>
            <w10:wrap type="none"/>
            <w10:anchorlock/>
          </v:shape>
          <o:OLEObject Type="Embed" ProgID="Equation.3" ShapeID="_x0000_i1318" DrawAspect="Content" ObjectID="_1468075998" r:id="rId798">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（F.0.2</w:t>
      </w:r>
      <w:r>
        <w:rPr>
          <w:rFonts w:ascii="Times New Roman" w:hAnsi="Times New Roman" w:cs="宋体"/>
          <w:szCs w:val="24"/>
          <w:lang w:bidi="ar"/>
        </w:rPr>
        <w:t>-2</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19" o:spt="75" type="#_x0000_t75" style="height:12.65pt;width:11.85pt;" o:ole="t" filled="f" coordsize="21600,21600">
            <v:path/>
            <v:fill on="f" focussize="0,0"/>
            <v:stroke/>
            <v:imagedata r:id="rId801" o:title=""/>
            <o:lock v:ext="edit" aspectratio="t"/>
            <w10:wrap type="none"/>
            <w10:anchorlock/>
          </v:shape>
          <o:OLEObject Type="Embed" ProgID="Equation.3" ShapeID="_x0000_i1319" DrawAspect="Content" ObjectID="_1468075999" r:id="rId800">
            <o:LockedField>false</o:LockedField>
          </o:OLEObject>
        </w:object>
      </w:r>
      <w:r>
        <w:rPr>
          <w:rFonts w:hint="eastAsia" w:ascii="Times New Roman" w:hAnsi="Times New Roman" w:cs="宋体"/>
          <w:szCs w:val="24"/>
          <w:lang w:bidi="ar"/>
        </w:rPr>
        <w:t>——降水宽度（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20" o:spt="75" type="#_x0000_t75" style="height:12.65pt;width:11.1pt;" o:ole="t" filled="f" coordsize="21600,21600">
            <v:path/>
            <v:fill on="f" focussize="0,0"/>
            <v:stroke/>
            <v:imagedata r:id="rId803" o:title=""/>
            <o:lock v:ext="edit" aspectratio="t"/>
            <w10:wrap type="none"/>
            <w10:anchorlock/>
          </v:shape>
          <o:OLEObject Type="Embed" ProgID="Equation.3" ShapeID="_x0000_i1320" DrawAspect="Content" ObjectID="_1468076000" r:id="rId802">
            <o:LockedField>false</o:LockedField>
          </o:OLEObject>
        </w:object>
      </w:r>
      <w:r>
        <w:rPr>
          <w:rFonts w:hint="eastAsia" w:ascii="Times New Roman" w:hAnsi="Times New Roman" w:cs="宋体"/>
          <w:szCs w:val="24"/>
          <w:lang w:bidi="ar"/>
        </w:rPr>
        <w:t>——降水长度（</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b/>
          <w:bCs/>
          <w:szCs w:val="24"/>
          <w:lang w:bidi="ar"/>
        </w:rPr>
        <w:t>F.0.3</w:t>
      </w:r>
      <w:r>
        <w:rPr>
          <w:rFonts w:ascii="Times New Roman" w:hAnsi="Times New Roman" w:cs="宋体"/>
          <w:szCs w:val="24"/>
          <w:lang w:bidi="ar"/>
        </w:rPr>
        <w:t xml:space="preserve">  </w:t>
      </w:r>
      <w:r>
        <w:rPr>
          <w:rFonts w:hint="eastAsia" w:ascii="Times New Roman" w:hAnsi="Times New Roman" w:cs="宋体"/>
          <w:szCs w:val="24"/>
          <w:lang w:bidi="ar"/>
        </w:rPr>
        <w:t>当基坑采用落底式截水帷幕时，坑内排水为疏干式排水，基坑总排水量可按式F.0.3</w:t>
      </w:r>
      <w:r>
        <w:rPr>
          <w:rFonts w:ascii="Times New Roman" w:hAnsi="Times New Roman" w:cs="宋体"/>
          <w:szCs w:val="24"/>
          <w:lang w:bidi="ar"/>
        </w:rPr>
        <w:t>-1</w:t>
      </w:r>
      <w:r>
        <w:rPr>
          <w:rFonts w:hint="eastAsia" w:ascii="Times New Roman" w:hAnsi="Times New Roman" w:cs="宋体"/>
          <w:szCs w:val="24"/>
          <w:lang w:bidi="ar"/>
        </w:rPr>
        <w:t>进行估算。当基坑下部承压含水层存在向上的越流补给时其稳定排水量可按式F.0.3</w:t>
      </w:r>
      <w:r>
        <w:rPr>
          <w:rFonts w:ascii="Times New Roman" w:hAnsi="Times New Roman" w:cs="宋体"/>
          <w:szCs w:val="24"/>
          <w:lang w:bidi="ar"/>
        </w:rPr>
        <w:t>-2</w:t>
      </w:r>
      <w:r>
        <w:rPr>
          <w:rFonts w:hint="eastAsia" w:ascii="Times New Roman" w:hAnsi="Times New Roman" w:cs="宋体"/>
          <w:szCs w:val="24"/>
          <w:lang w:bidi="ar"/>
        </w:rPr>
        <w:t>进行估算。</w:t>
      </w:r>
    </w:p>
    <w:p>
      <w:pPr>
        <w:spacing w:line="480" w:lineRule="exact"/>
        <w:ind w:firstLine="480" w:firstLineChars="200"/>
        <w:rPr>
          <w:rFonts w:ascii="Times New Roman" w:hAnsi="Times New Roman" w:cs="宋体"/>
          <w:szCs w:val="24"/>
          <w:lang w:bidi="ar"/>
        </w:rPr>
      </w:pPr>
      <w:bookmarkStart w:id="1020" w:name="_Toc12855"/>
      <w:bookmarkStart w:id="1021" w:name="_Toc22171"/>
      <w:r>
        <w:rPr>
          <w:rFonts w:ascii="Times New Roman" w:hAnsi="Times New Roman" w:cs="宋体"/>
          <w:szCs w:val="24"/>
          <w:lang w:bidi="ar"/>
        </w:rPr>
        <w:t>1</w:t>
      </w:r>
      <w:r>
        <w:rPr>
          <w:rFonts w:hint="eastAsia" w:ascii="Times New Roman" w:hAnsi="Times New Roman" w:cs="宋体"/>
          <w:szCs w:val="24"/>
          <w:lang w:bidi="ar"/>
        </w:rPr>
        <w:t xml:space="preserve"> 基坑疏干排水时总排水量可用下式估算：</w:t>
      </w:r>
      <w:bookmarkEnd w:id="1020"/>
      <w:bookmarkEnd w:id="1021"/>
    </w:p>
    <w:p>
      <w:pPr>
        <w:jc w:val="right"/>
        <w:rPr>
          <w:rFonts w:ascii="Times New Roman" w:hAnsi="Times New Roman" w:cs="宋体"/>
          <w:lang w:bidi="ar"/>
        </w:rPr>
      </w:pPr>
      <w:r>
        <w:rPr>
          <w:rFonts w:ascii="Times New Roman" w:hAnsi="Times New Roman" w:cs="宋体"/>
          <w:szCs w:val="24"/>
          <w:lang w:bidi="ar"/>
        </w:rPr>
        <w:object>
          <v:shape id="_x0000_i1321" o:spt="75" type="#_x0000_t75" style="height:33.25pt;width:68.85pt;" o:ole="t" filled="f" coordsize="21600,21600">
            <v:path/>
            <v:fill on="f" focussize="0,0"/>
            <v:stroke/>
            <v:imagedata r:id="rId805" o:title=""/>
            <o:lock v:ext="edit" aspectratio="t"/>
            <w10:wrap type="none"/>
            <w10:anchorlock/>
          </v:shape>
          <o:OLEObject Type="Embed" ProgID="Equation.3" ShapeID="_x0000_i1321" DrawAspect="Content" ObjectID="_1468076001" r:id="rId804">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（F.0.3</w:t>
      </w:r>
      <w:r>
        <w:rPr>
          <w:rFonts w:ascii="Times New Roman" w:hAnsi="Times New Roman" w:cs="宋体"/>
          <w:szCs w:val="24"/>
          <w:lang w:bidi="ar"/>
        </w:rPr>
        <w:t>-1</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22" o:spt="75" type="#_x0000_t75" style="height:19pt;width:18.2pt;" o:ole="t" filled="f" coordsize="21600,21600">
            <v:path/>
            <v:fill on="f" focussize="0,0"/>
            <v:stroke/>
            <v:imagedata r:id="rId807" o:title=""/>
            <o:lock v:ext="edit" aspectratio="t"/>
            <w10:wrap type="none"/>
            <w10:anchorlock/>
          </v:shape>
          <o:OLEObject Type="Embed" ProgID="Equation.3" ShapeID="_x0000_i1322" DrawAspect="Content" ObjectID="_1468076002" r:id="rId806">
            <o:LockedField>false</o:LockedField>
          </o:OLEObject>
        </w:object>
      </w:r>
      <w:r>
        <w:rPr>
          <w:rFonts w:hint="eastAsia" w:ascii="Times New Roman" w:hAnsi="Times New Roman" w:cs="宋体"/>
          <w:szCs w:val="24"/>
          <w:lang w:bidi="ar"/>
        </w:rPr>
        <w:t>——基坑内总排水量（</w:t>
      </w:r>
      <w:r>
        <w:rPr>
          <w:rFonts w:ascii="Times New Roman" w:hAnsi="Times New Roman" w:cs="宋体"/>
          <w:szCs w:val="24"/>
          <w:lang w:bidi="ar"/>
        </w:rPr>
        <w:t>m</w:t>
      </w:r>
      <w:r>
        <w:rPr>
          <w:rFonts w:ascii="Times New Roman" w:hAnsi="Times New Roman" w:cs="宋体"/>
          <w:szCs w:val="24"/>
          <w:vertAlign w:val="superscript"/>
          <w:lang w:bidi="ar"/>
        </w:rPr>
        <w:t>3</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23" o:spt="75" type="#_x0000_t75" style="height:12.65pt;width:11.85pt;" o:ole="t" filled="f" coordsize="21600,21600">
            <v:path/>
            <v:fill on="f" focussize="0,0"/>
            <v:stroke/>
            <v:imagedata r:id="rId809" o:title=""/>
            <o:lock v:ext="edit" aspectratio="t"/>
            <w10:wrap type="none"/>
            <w10:anchorlock/>
          </v:shape>
          <o:OLEObject Type="Embed" ProgID="Equation.KSEE3" ShapeID="_x0000_i1323" DrawAspect="Content" ObjectID="_1468076003" r:id="rId808">
            <o:LockedField>false</o:LockedField>
          </o:OLEObject>
        </w:object>
      </w:r>
      <w:r>
        <w:rPr>
          <w:rFonts w:hint="eastAsia" w:ascii="Times New Roman" w:hAnsi="Times New Roman" w:cs="宋体"/>
          <w:szCs w:val="24"/>
          <w:lang w:bidi="ar"/>
        </w:rPr>
        <w:t>——第</w:t>
      </w:r>
      <w:r>
        <w:rPr>
          <w:rFonts w:ascii="Times New Roman" w:hAnsi="Times New Roman" w:cs="宋体"/>
          <w:szCs w:val="24"/>
          <w:lang w:bidi="ar"/>
        </w:rPr>
        <w:t>i</w:t>
      </w:r>
      <w:r>
        <w:rPr>
          <w:rFonts w:hint="eastAsia" w:ascii="Times New Roman" w:hAnsi="Times New Roman" w:cs="宋体"/>
          <w:szCs w:val="24"/>
          <w:lang w:bidi="ar"/>
        </w:rPr>
        <w:t>层含水层给水度，宜通过试验确定，无试验资料时，可取经验值；</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24" o:spt="75" type="#_x0000_t75" style="height:12.65pt;width:11.85pt;" o:ole="t" filled="f" coordsize="21600,21600">
            <v:path/>
            <v:fill on="f" focussize="0,0"/>
            <v:stroke/>
            <v:imagedata r:id="rId811" o:title=""/>
            <o:lock v:ext="edit" aspectratio="t"/>
            <w10:wrap type="none"/>
            <w10:anchorlock/>
          </v:shape>
          <o:OLEObject Type="Embed" ProgID="Equation.3" ShapeID="_x0000_i1324" DrawAspect="Content" ObjectID="_1468076004" r:id="rId810">
            <o:LockedField>false</o:LockedField>
          </o:OLEObject>
        </w:object>
      </w:r>
      <w:r>
        <w:rPr>
          <w:rFonts w:hint="eastAsia" w:ascii="Times New Roman" w:hAnsi="Times New Roman" w:cs="宋体"/>
          <w:szCs w:val="24"/>
          <w:lang w:bidi="ar"/>
        </w:rPr>
        <w:t>——基坑面积（</w:t>
      </w:r>
      <w:r>
        <w:rPr>
          <w:rFonts w:ascii="Times New Roman" w:hAnsi="Times New Roman" w:cs="宋体"/>
          <w:szCs w:val="24"/>
          <w:lang w:bidi="ar"/>
        </w:rPr>
        <w:t>m</w:t>
      </w:r>
      <w:r>
        <w:rPr>
          <w:rFonts w:ascii="Times New Roman" w:hAnsi="Times New Roman" w:cs="宋体"/>
          <w:szCs w:val="24"/>
          <w:vertAlign w:val="superscript"/>
          <w:lang w:bidi="ar"/>
        </w:rPr>
        <w:t>2</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25" o:spt="75" type="#_x0000_t75" style="height:17.4pt;width:11.1pt;" o:ole="t" filled="f" coordsize="21600,21600">
            <v:path/>
            <v:fill on="f" focussize="0,0"/>
            <v:stroke/>
            <v:imagedata r:id="rId813" o:title=""/>
            <o:lock v:ext="edit" aspectratio="t"/>
            <w10:wrap type="none"/>
            <w10:anchorlock/>
          </v:shape>
          <o:OLEObject Type="Embed" ProgID="Equation.3" ShapeID="_x0000_i1325" DrawAspect="Content" ObjectID="_1468076005" r:id="rId812">
            <o:LockedField>false</o:LockedField>
          </o:OLEObject>
        </w:object>
      </w:r>
      <w:r>
        <w:rPr>
          <w:rFonts w:hint="eastAsia" w:ascii="Times New Roman" w:hAnsi="Times New Roman" w:cs="宋体"/>
          <w:szCs w:val="24"/>
          <w:lang w:bidi="ar"/>
        </w:rPr>
        <w:t>——第</w:t>
      </w:r>
      <w:r>
        <w:rPr>
          <w:rFonts w:ascii="Times New Roman" w:hAnsi="Times New Roman" w:cs="宋体"/>
          <w:szCs w:val="24"/>
          <w:lang w:bidi="ar"/>
        </w:rPr>
        <w:t>i</w:t>
      </w:r>
      <w:r>
        <w:rPr>
          <w:rFonts w:hint="eastAsia" w:ascii="Times New Roman" w:hAnsi="Times New Roman" w:cs="宋体"/>
          <w:szCs w:val="24"/>
          <w:lang w:bidi="ar"/>
        </w:rPr>
        <w:t>层含水层水位降深（</w:t>
      </w:r>
      <w:r>
        <w:rPr>
          <w:rFonts w:ascii="Times New Roman" w:hAnsi="Times New Roman" w:cs="宋体"/>
          <w:szCs w:val="24"/>
          <w:lang w:bidi="ar"/>
        </w:rPr>
        <w:t>m</w:t>
      </w:r>
      <w:r>
        <w:rPr>
          <w:rFonts w:hint="eastAsia" w:ascii="Times New Roman" w:hAnsi="Times New Roman" w:cs="宋体"/>
          <w:szCs w:val="24"/>
          <w:lang w:bidi="ar"/>
        </w:rPr>
        <w:t>）。</w:t>
      </w:r>
    </w:p>
    <w:p>
      <w:pPr>
        <w:spacing w:line="480" w:lineRule="exact"/>
        <w:ind w:firstLine="480" w:firstLineChars="200"/>
        <w:rPr>
          <w:rFonts w:ascii="Times New Roman" w:hAnsi="Times New Roman" w:cs="宋体"/>
          <w:lang w:bidi="ar"/>
        </w:rPr>
      </w:pPr>
      <w:r>
        <w:rPr>
          <w:rFonts w:ascii="Times New Roman" w:hAnsi="Times New Roman" w:cs="宋体"/>
          <w:szCs w:val="24"/>
          <w:lang w:bidi="ar"/>
        </w:rPr>
        <w:t xml:space="preserve">2 </w:t>
      </w:r>
      <w:r>
        <w:rPr>
          <w:rFonts w:hint="eastAsia" w:ascii="Times New Roman" w:hAnsi="Times New Roman" w:cs="宋体"/>
          <w:szCs w:val="24"/>
          <w:lang w:bidi="ar"/>
        </w:rPr>
        <w:t>基坑下部存在承压含水层越流补给时其稳定排水量可按下式估算：</w:t>
      </w:r>
    </w:p>
    <w:p>
      <w:pPr>
        <w:spacing w:line="480" w:lineRule="exact"/>
        <w:jc w:val="right"/>
        <w:rPr>
          <w:rFonts w:ascii="Times New Roman" w:hAnsi="Times New Roman" w:cs="宋体"/>
          <w:lang w:bidi="ar"/>
        </w:rPr>
      </w:pPr>
      <w:r>
        <w:rPr>
          <w:rFonts w:ascii="Times New Roman" w:hAnsi="Times New Roman" w:cs="宋体"/>
          <w:szCs w:val="24"/>
          <w:lang w:bidi="ar"/>
        </w:rPr>
        <w:object>
          <v:shape id="_x0000_i1326" o:spt="75" type="#_x0000_t75" style="height:15.8pt;width:55.4pt;" o:ole="t" filled="f" coordsize="21600,21600">
            <v:path/>
            <v:fill on="f" focussize="0,0"/>
            <v:stroke/>
            <v:imagedata r:id="rId815" o:title=""/>
            <o:lock v:ext="edit" aspectratio="t"/>
            <w10:wrap type="none"/>
            <w10:anchorlock/>
          </v:shape>
          <o:OLEObject Type="Embed" ProgID="Equation.3" ShapeID="_x0000_i1326" DrawAspect="Content" ObjectID="_1468076006" r:id="rId814">
            <o:LockedField>false</o:LockedField>
          </o:OLEObject>
        </w:object>
      </w:r>
      <w:r>
        <w:rPr>
          <w:rFonts w:ascii="Times New Roman" w:hAnsi="Times New Roman" w:cs="宋体"/>
          <w:szCs w:val="24"/>
          <w:lang w:bidi="ar"/>
        </w:rPr>
        <w:t xml:space="preserve">          </w:t>
      </w:r>
      <w:r>
        <w:rPr>
          <w:rFonts w:hint="eastAsia" w:ascii="Times New Roman" w:hAnsi="Times New Roman" w:cs="宋体"/>
          <w:szCs w:val="24"/>
          <w:lang w:bidi="ar"/>
        </w:rPr>
        <w:t xml:space="preserve">     </w:t>
      </w:r>
      <w:r>
        <w:rPr>
          <w:rFonts w:ascii="Times New Roman" w:hAnsi="Times New Roman" w:cs="宋体"/>
          <w:szCs w:val="24"/>
          <w:lang w:bidi="ar"/>
        </w:rPr>
        <w:t xml:space="preserve">       </w:t>
      </w:r>
      <w:r>
        <w:rPr>
          <w:rFonts w:hint="eastAsia" w:ascii="Times New Roman" w:hAnsi="Times New Roman" w:cs="宋体"/>
          <w:szCs w:val="24"/>
          <w:lang w:bidi="ar"/>
        </w:rPr>
        <w:t>（F.0.3-</w:t>
      </w:r>
      <w:r>
        <w:rPr>
          <w:rFonts w:ascii="Times New Roman" w:hAnsi="Times New Roman" w:cs="宋体"/>
          <w:szCs w:val="24"/>
          <w:lang w:bidi="ar"/>
        </w:rPr>
        <w:t>2</w:t>
      </w:r>
      <w:r>
        <w:rPr>
          <w:rFonts w:hint="eastAsia" w:ascii="Times New Roman" w:hAnsi="Times New Roman" w:cs="宋体"/>
          <w:szCs w:val="24"/>
          <w:lang w:bidi="ar"/>
        </w:rPr>
        <w:t>）</w:t>
      </w:r>
    </w:p>
    <w:p>
      <w:pPr>
        <w:spacing w:line="480" w:lineRule="exact"/>
        <w:rPr>
          <w:rFonts w:ascii="Times New Roman" w:hAnsi="Times New Roman" w:cs="宋体"/>
          <w:lang w:bidi="ar"/>
        </w:rPr>
      </w:pPr>
      <w:r>
        <w:rPr>
          <w:rFonts w:hint="eastAsia" w:ascii="Times New Roman" w:hAnsi="Times New Roman" w:cs="宋体"/>
          <w:szCs w:val="24"/>
          <w:lang w:bidi="ar"/>
        </w:rPr>
        <w:t>式中：</w:t>
      </w:r>
      <w:r>
        <w:rPr>
          <w:rFonts w:ascii="Times New Roman" w:hAnsi="Times New Roman" w:cs="宋体"/>
          <w:szCs w:val="24"/>
          <w:lang w:bidi="ar"/>
        </w:rPr>
        <w:object>
          <v:shape id="_x0000_i1327" o:spt="75" type="#_x0000_t75" style="height:15.8pt;width:14.25pt;" o:ole="t" filled="f" coordsize="21600,21600">
            <v:path/>
            <v:fill on="f" focussize="0,0"/>
            <v:stroke/>
            <v:imagedata r:id="rId817" o:title=""/>
            <o:lock v:ext="edit" aspectratio="t"/>
            <w10:wrap type="none"/>
            <w10:anchorlock/>
          </v:shape>
          <o:OLEObject Type="Embed" ProgID="Equation.3" ShapeID="_x0000_i1327" DrawAspect="Content" ObjectID="_1468076007" r:id="rId816">
            <o:LockedField>false</o:LockedField>
          </o:OLEObject>
        </w:object>
      </w:r>
      <w:r>
        <w:rPr>
          <w:rFonts w:hint="eastAsia" w:ascii="Times New Roman" w:hAnsi="Times New Roman" w:cs="宋体"/>
          <w:szCs w:val="24"/>
          <w:lang w:bidi="ar"/>
        </w:rPr>
        <w:t>——向上的稳定越流排水量（</w:t>
      </w:r>
      <w:r>
        <w:rPr>
          <w:rFonts w:ascii="Times New Roman" w:hAnsi="Times New Roman" w:cs="宋体"/>
          <w:szCs w:val="24"/>
          <w:lang w:bidi="ar"/>
        </w:rPr>
        <w:t>m</w:t>
      </w:r>
      <w:r>
        <w:rPr>
          <w:rFonts w:ascii="Times New Roman" w:hAnsi="Times New Roman" w:cs="宋体"/>
          <w:szCs w:val="24"/>
          <w:vertAlign w:val="superscript"/>
          <w:lang w:bidi="ar"/>
        </w:rPr>
        <w:t>3</w:t>
      </w:r>
      <w:r>
        <w:rPr>
          <w:rFonts w:ascii="Times New Roman" w:hAnsi="Times New Roman" w:cs="宋体"/>
          <w:szCs w:val="24"/>
          <w:lang w:bidi="ar"/>
        </w:rPr>
        <w:t>/d</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28" o:spt="75" type="#_x0000_t75" style="height:12.65pt;width:9.5pt;" o:ole="t" filled="f" coordsize="21600,21600">
            <v:path/>
            <v:fill on="f" focussize="0,0"/>
            <v:stroke/>
            <v:imagedata r:id="rId819" o:title=""/>
            <o:lock v:ext="edit" aspectratio="t"/>
            <w10:wrap type="none"/>
            <w10:anchorlock/>
          </v:shape>
          <o:OLEObject Type="Embed" ProgID="Equation.3" ShapeID="_x0000_i1328" DrawAspect="Content" ObjectID="_1468076008" r:id="rId818">
            <o:LockedField>false</o:LockedField>
          </o:OLEObject>
        </w:object>
      </w:r>
      <w:r>
        <w:rPr>
          <w:rFonts w:hint="eastAsia" w:ascii="Times New Roman" w:hAnsi="Times New Roman" w:cs="宋体"/>
          <w:szCs w:val="24"/>
          <w:lang w:bidi="ar"/>
        </w:rPr>
        <w:t>——弱透水层垂向渗透系数（</w:t>
      </w:r>
      <w:r>
        <w:rPr>
          <w:rFonts w:ascii="Times New Roman" w:hAnsi="Times New Roman" w:cs="宋体"/>
          <w:szCs w:val="24"/>
          <w:lang w:bidi="ar"/>
        </w:rPr>
        <w:t>m/d</w:t>
      </w:r>
      <w:r>
        <w:rPr>
          <w:rFonts w:hint="eastAsia" w:ascii="Times New Roman" w:hAnsi="Times New Roman" w:cs="宋体"/>
          <w:szCs w:val="24"/>
          <w:lang w:bidi="ar"/>
        </w:rPr>
        <w:t>）；</w:t>
      </w:r>
    </w:p>
    <w:p>
      <w:pPr>
        <w:spacing w:line="480" w:lineRule="exact"/>
        <w:ind w:firstLine="720" w:firstLineChars="300"/>
        <w:rPr>
          <w:rFonts w:ascii="Times New Roman" w:hAnsi="Times New Roman" w:cs="宋体"/>
          <w:lang w:bidi="ar"/>
        </w:rPr>
      </w:pPr>
      <w:r>
        <w:rPr>
          <w:rFonts w:ascii="Times New Roman" w:hAnsi="Times New Roman" w:cs="宋体"/>
          <w:szCs w:val="24"/>
          <w:lang w:bidi="ar"/>
        </w:rPr>
        <w:object>
          <v:shape id="_x0000_i1329" o:spt="75" type="#_x0000_t75" style="height:12.65pt;width:6.35pt;" o:ole="t" filled="f" coordsize="21600,21600">
            <v:path/>
            <v:fill on="f" focussize="0,0"/>
            <v:stroke/>
            <v:imagedata r:id="rId821" o:title=""/>
            <o:lock v:ext="edit" aspectratio="t"/>
            <w10:wrap type="none"/>
            <w10:anchorlock/>
          </v:shape>
          <o:OLEObject Type="Embed" ProgID="Equation.3" ShapeID="_x0000_i1329" DrawAspect="Content" ObjectID="_1468076009" r:id="rId820">
            <o:LockedField>false</o:LockedField>
          </o:OLEObject>
        </w:object>
      </w:r>
      <w:r>
        <w:rPr>
          <w:rFonts w:hint="eastAsia" w:ascii="Times New Roman" w:hAnsi="Times New Roman" w:cs="宋体"/>
          <w:szCs w:val="24"/>
          <w:lang w:bidi="ar"/>
        </w:rPr>
        <w:t>——透过弱透水层的水力坡度。</w:t>
      </w:r>
    </w:p>
    <w:p>
      <w:pPr>
        <w:spacing w:line="480" w:lineRule="exact"/>
        <w:rPr>
          <w:rFonts w:ascii="Times New Roman" w:hAnsi="Times New Roman" w:cs="宋体"/>
          <w:lang w:bidi="ar"/>
        </w:rPr>
      </w:pPr>
      <w:r>
        <w:rPr>
          <w:rFonts w:hint="eastAsia" w:ascii="Times New Roman" w:hAnsi="Times New Roman" w:cs="宋体"/>
          <w:b/>
          <w:bCs/>
          <w:szCs w:val="24"/>
          <w:lang w:bidi="ar"/>
        </w:rPr>
        <w:t>F.0.4</w:t>
      </w:r>
      <w:r>
        <w:rPr>
          <w:rFonts w:ascii="Times New Roman" w:hAnsi="Times New Roman" w:cs="宋体"/>
          <w:szCs w:val="24"/>
          <w:lang w:bidi="ar"/>
        </w:rPr>
        <w:t xml:space="preserve">  </w:t>
      </w:r>
      <w:r>
        <w:rPr>
          <w:rFonts w:hint="eastAsia" w:ascii="Times New Roman" w:hAnsi="Times New Roman" w:cs="宋体"/>
          <w:szCs w:val="24"/>
          <w:lang w:bidi="ar"/>
        </w:rPr>
        <w:t>当基坑采用悬挂式竖向截水帷幕时，应充分考虑截水帷幕插入含水层的深度对地下水渗流规律的影响，初步设计或条件简单时基坑涌水量可按非完整井“大井法”估算，条件复杂时宜采用数值模拟计算。</w:t>
      </w:r>
    </w:p>
    <w:p>
      <w:pPr>
        <w:jc w:val="left"/>
        <w:rPr>
          <w:rFonts w:ascii="Times New Roman" w:hAnsi="Times New Roman" w:cs="宋体"/>
          <w:lang w:bidi="ar"/>
        </w:rPr>
      </w:pPr>
      <w:r>
        <w:rPr>
          <w:rFonts w:ascii="Times New Roman" w:hAnsi="Times New Roman" w:cs="宋体"/>
          <w:lang w:bidi="ar"/>
        </w:rPr>
        <w:br w:type="page"/>
      </w:r>
    </w:p>
    <w:p>
      <w:pPr>
        <w:pStyle w:val="2"/>
        <w:rPr>
          <w:sz w:val="36"/>
          <w:szCs w:val="36"/>
        </w:rPr>
      </w:pPr>
      <w:bookmarkStart w:id="1022" w:name="_Toc27883"/>
      <w:bookmarkStart w:id="1023" w:name="_Toc21718"/>
      <w:bookmarkStart w:id="1024" w:name="_Toc10929"/>
      <w:bookmarkStart w:id="1025" w:name="_Toc26340"/>
      <w:bookmarkStart w:id="1026" w:name="_Toc19177"/>
      <w:r>
        <w:rPr>
          <w:rFonts w:hint="eastAsia"/>
          <w:sz w:val="36"/>
          <w:szCs w:val="36"/>
        </w:rPr>
        <w:t>附录G 钢板桩截面类型</w:t>
      </w:r>
      <w:bookmarkEnd w:id="1022"/>
      <w:bookmarkEnd w:id="1023"/>
    </w:p>
    <w:p>
      <w:pPr>
        <w:adjustRightInd w:val="0"/>
        <w:snapToGrid w:val="0"/>
        <w:spacing w:after="200"/>
        <w:jc w:val="left"/>
        <w:rPr>
          <w:rFonts w:ascii="宋体" w:hAnsi="宋体"/>
          <w:kern w:val="0"/>
          <w:sz w:val="22"/>
        </w:rPr>
      </w:pPr>
      <w:r>
        <w:rPr>
          <w:rFonts w:hint="eastAsia" w:ascii="Times New Roman" w:hAnsi="Times New Roman" w:cs="宋体"/>
          <w:b/>
          <w:bCs/>
          <w:szCs w:val="24"/>
          <w:lang w:bidi="ar"/>
        </w:rPr>
        <w:t xml:space="preserve">G.0.1 </w:t>
      </w:r>
      <w:r>
        <w:rPr>
          <w:rFonts w:hint="eastAsia" w:ascii="宋体" w:hAnsi="宋体"/>
          <w:kern w:val="0"/>
          <w:szCs w:val="24"/>
        </w:rPr>
        <w:t>冷弯U型钢板桩外形见图G.0.1。</w:t>
      </w:r>
    </w:p>
    <w:p>
      <w:pPr>
        <w:adjustRightInd w:val="0"/>
        <w:snapToGrid w:val="0"/>
        <w:spacing w:after="200" w:line="300" w:lineRule="auto"/>
        <w:jc w:val="center"/>
        <w:rPr>
          <w:rFonts w:ascii="Tahoma" w:hAnsi="Tahoma" w:eastAsia="微软雅黑"/>
          <w:kern w:val="0"/>
          <w:sz w:val="22"/>
        </w:rPr>
      </w:pPr>
      <w:r>
        <w:rPr>
          <w:rFonts w:ascii="Tahoma" w:hAnsi="Tahoma" w:eastAsia="微软雅黑"/>
          <w:kern w:val="0"/>
          <w:sz w:val="22"/>
        </w:rPr>
        <w:drawing>
          <wp:inline distT="0" distB="0" distL="0" distR="0">
            <wp:extent cx="3687445" cy="1185545"/>
            <wp:effectExtent l="0" t="0" r="635" b="3175"/>
            <wp:docPr id="203" name="图片 203" descr="说明: C:\Users\ADMINI~1\AppData\Local\Temp\ksohtml19072\wps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3" name="图片 203" descr="说明: C:\Users\ADMINI~1\AppData\Local\Temp\ksohtml19072\wps1.jpg"/>
                    <pic:cNvPicPr>
                      <a:picLocks noChangeAspect="true" noChangeArrowheads="true"/>
                    </pic:cNvPicPr>
                  </pic:nvPicPr>
                  <pic:blipFill>
                    <a:blip r:embed="rId822">
                      <a:extLst>
                        <a:ext uri="{28A0092B-C50C-407E-A947-70E740481C1C}">
                          <a14:useLocalDpi xmlns:a14="http://schemas.microsoft.com/office/drawing/2010/main" val="false"/>
                        </a:ext>
                      </a:extLst>
                    </a:blip>
                    <a:srcRect/>
                    <a:stretch>
                      <a:fillRect/>
                    </a:stretch>
                  </pic:blipFill>
                  <pic:spPr>
                    <a:xfrm>
                      <a:off x="0" y="0"/>
                      <a:ext cx="3687445" cy="1185545"/>
                    </a:xfrm>
                    <a:prstGeom prst="rect">
                      <a:avLst/>
                    </a:prstGeom>
                    <a:noFill/>
                    <a:ln>
                      <a:noFill/>
                    </a:ln>
                  </pic:spPr>
                </pic:pic>
              </a:graphicData>
            </a:graphic>
          </wp:inline>
        </w:drawing>
      </w:r>
    </w:p>
    <w:p>
      <w:pPr>
        <w:adjustRightInd w:val="0"/>
        <w:snapToGrid w:val="0"/>
        <w:spacing w:after="200" w:line="300" w:lineRule="auto"/>
        <w:jc w:val="center"/>
        <w:rPr>
          <w:rFonts w:ascii="宋体" w:hAnsi="宋体"/>
          <w:kern w:val="0"/>
          <w:szCs w:val="24"/>
        </w:rPr>
      </w:pPr>
      <w:r>
        <w:rPr>
          <w:rFonts w:hint="eastAsia" w:ascii="Tahoma" w:hAnsi="Tahoma" w:eastAsia="微软雅黑"/>
          <w:kern w:val="0"/>
          <w:sz w:val="22"/>
        </w:rPr>
        <w:t xml:space="preserve">图G.0.1  </w:t>
      </w:r>
      <w:r>
        <w:rPr>
          <w:rFonts w:hint="eastAsia" w:ascii="宋体" w:hAnsi="宋体"/>
          <w:kern w:val="0"/>
          <w:szCs w:val="24"/>
        </w:rPr>
        <w:t>冷弯U型钢板桩外形</w:t>
      </w:r>
    </w:p>
    <w:p>
      <w:pPr>
        <w:adjustRightInd w:val="0"/>
        <w:snapToGrid w:val="0"/>
        <w:spacing w:after="200" w:line="300" w:lineRule="auto"/>
        <w:rPr>
          <w:rFonts w:ascii="宋体" w:hAnsi="宋体"/>
          <w:kern w:val="0"/>
          <w:szCs w:val="24"/>
        </w:rPr>
      </w:pPr>
      <w:r>
        <w:rPr>
          <w:rFonts w:hint="eastAsia" w:ascii="Times New Roman" w:hAnsi="Times New Roman" w:cs="宋体"/>
          <w:b/>
          <w:bCs/>
          <w:szCs w:val="24"/>
          <w:lang w:bidi="ar"/>
        </w:rPr>
        <w:t>G.0.2</w:t>
      </w:r>
      <w:r>
        <w:rPr>
          <w:rFonts w:hint="eastAsia" w:ascii="宋体" w:hAnsi="宋体"/>
          <w:kern w:val="0"/>
          <w:szCs w:val="24"/>
        </w:rPr>
        <w:t xml:space="preserve"> 冷弯U型钢板桩参数见表G.0.2。</w:t>
      </w:r>
    </w:p>
    <w:p>
      <w:pPr>
        <w:adjustRightInd w:val="0"/>
        <w:snapToGrid w:val="0"/>
        <w:spacing w:after="200" w:line="300" w:lineRule="auto"/>
        <w:jc w:val="center"/>
        <w:rPr>
          <w:rFonts w:ascii="宋体" w:hAnsi="宋体"/>
          <w:kern w:val="0"/>
          <w:szCs w:val="24"/>
        </w:rPr>
      </w:pPr>
      <w:r>
        <w:rPr>
          <w:rFonts w:hint="eastAsia" w:ascii="宋体" w:hAnsi="宋体"/>
          <w:kern w:val="0"/>
          <w:szCs w:val="24"/>
        </w:rPr>
        <w:t>表G.0.2  冷弯U型钢板桩参数</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6"/>
        <w:gridCol w:w="1112"/>
        <w:gridCol w:w="685"/>
        <w:gridCol w:w="720"/>
        <w:gridCol w:w="1050"/>
        <w:gridCol w:w="846"/>
        <w:gridCol w:w="846"/>
        <w:gridCol w:w="884"/>
        <w:gridCol w:w="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16" w:type="dxa"/>
            <w:vMerge w:val="restart"/>
            <w:tcBorders>
              <w:top w:val="single" w:color="auto" w:sz="12"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宋体" w:hAnsi="宋体" w:eastAsia="微软雅黑"/>
                <w:kern w:val="0"/>
                <w:sz w:val="18"/>
                <w:szCs w:val="18"/>
              </w:rPr>
              <w:t>型号</w:t>
            </w:r>
          </w:p>
        </w:tc>
        <w:tc>
          <w:tcPr>
            <w:tcW w:w="1112"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公称宽度</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B</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685"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高度</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H</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720"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厚度</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t</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1050"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截面面积</w:t>
            </w:r>
          </w:p>
          <w:p>
            <w:pPr>
              <w:adjustRightInd w:val="0"/>
              <w:snapToGrid w:val="0"/>
              <w:jc w:val="center"/>
              <w:rPr>
                <w:rFonts w:ascii="Tahoma" w:hAnsi="Tahoma" w:eastAsia="微软雅黑"/>
                <w:kern w:val="0"/>
                <w:sz w:val="18"/>
                <w:szCs w:val="18"/>
              </w:rPr>
            </w:pPr>
            <w:r>
              <w:rPr>
                <w:rFonts w:ascii="Tahoma" w:hAnsi="Tahoma" w:eastAsia="微软雅黑"/>
                <w:i/>
                <w:kern w:val="0"/>
                <w:sz w:val="18"/>
                <w:szCs w:val="18"/>
              </w:rPr>
              <w:t>S</w:t>
            </w:r>
            <w:r>
              <w:rPr>
                <w:rFonts w:ascii="Tahoma" w:hAnsi="Tahoma" w:eastAsia="微软雅黑"/>
                <w:kern w:val="0"/>
                <w:sz w:val="18"/>
                <w:szCs w:val="18"/>
                <w:vertAlign w:val="subscript"/>
              </w:rPr>
              <w:t>a</w:t>
            </w:r>
          </w:p>
          <w:p>
            <w:pPr>
              <w:adjustRightInd w:val="0"/>
              <w:snapToGrid w:val="0"/>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2</w:t>
            </w:r>
            <w:r>
              <w:rPr>
                <w:rFonts w:ascii="Tahoma" w:hAnsi="Tahoma" w:eastAsia="微软雅黑"/>
                <w:kern w:val="0"/>
                <w:sz w:val="18"/>
                <w:szCs w:val="18"/>
              </w:rPr>
              <w:t>/m</w:t>
            </w:r>
          </w:p>
        </w:tc>
        <w:tc>
          <w:tcPr>
            <w:tcW w:w="1638"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spacing w:line="240" w:lineRule="exact"/>
              <w:jc w:val="center"/>
              <w:rPr>
                <w:rFonts w:ascii="Tahoma" w:hAnsi="Tahoma" w:eastAsia="微软雅黑"/>
                <w:kern w:val="0"/>
                <w:sz w:val="18"/>
                <w:szCs w:val="18"/>
              </w:rPr>
            </w:pPr>
            <w:r>
              <w:rPr>
                <w:rFonts w:ascii="宋体" w:hAnsi="宋体" w:eastAsia="微软雅黑"/>
                <w:kern w:val="0"/>
                <w:sz w:val="18"/>
                <w:szCs w:val="18"/>
              </w:rPr>
              <w:t>重量</w:t>
            </w:r>
            <w:r>
              <w:rPr>
                <w:rFonts w:ascii="Tahoma" w:hAnsi="Tahoma" w:eastAsia="微软雅黑"/>
                <w:bCs/>
                <w:i/>
                <w:kern w:val="0"/>
                <w:sz w:val="18"/>
                <w:szCs w:val="18"/>
              </w:rPr>
              <w:t>W</w:t>
            </w:r>
          </w:p>
          <w:p>
            <w:pPr>
              <w:adjustRightInd w:val="0"/>
              <w:snapToGrid w:val="0"/>
              <w:spacing w:line="240" w:lineRule="exact"/>
              <w:jc w:val="center"/>
              <w:rPr>
                <w:rFonts w:ascii="Tahoma" w:hAnsi="Tahoma"/>
                <w:sz w:val="18"/>
                <w:szCs w:val="18"/>
              </w:rPr>
            </w:pPr>
            <w:r>
              <w:rPr>
                <w:rFonts w:ascii="Tahoma" w:hAnsi="Tahoma" w:eastAsia="微软雅黑"/>
                <w:kern w:val="0"/>
                <w:sz w:val="18"/>
                <w:szCs w:val="18"/>
              </w:rPr>
              <w:t>kg</w:t>
            </w:r>
          </w:p>
        </w:tc>
        <w:tc>
          <w:tcPr>
            <w:tcW w:w="884" w:type="dxa"/>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spacing w:line="240" w:lineRule="exact"/>
              <w:jc w:val="center"/>
              <w:rPr>
                <w:rFonts w:ascii="Tahoma" w:hAnsi="Tahoma" w:eastAsia="微软雅黑"/>
                <w:sz w:val="18"/>
                <w:szCs w:val="18"/>
              </w:rPr>
            </w:pPr>
          </w:p>
          <w:p>
            <w:pPr>
              <w:adjustRightInd w:val="0"/>
              <w:snapToGrid w:val="0"/>
              <w:spacing w:line="240" w:lineRule="exact"/>
              <w:jc w:val="center"/>
              <w:rPr>
                <w:rFonts w:ascii="Tahoma" w:hAnsi="Tahoma" w:eastAsia="微软雅黑"/>
                <w:kern w:val="0"/>
                <w:sz w:val="18"/>
                <w:szCs w:val="18"/>
              </w:rPr>
            </w:pPr>
            <w:r>
              <w:rPr>
                <w:rFonts w:ascii="Tahoma" w:hAnsi="Tahoma" w:eastAsia="微软雅黑"/>
                <w:kern w:val="0"/>
                <w:sz w:val="18"/>
                <w:szCs w:val="18"/>
              </w:rPr>
              <w:drawing>
                <wp:inline distT="0" distB="0" distL="0" distR="0">
                  <wp:extent cx="20320" cy="10160"/>
                  <wp:effectExtent l="0" t="0" r="0" b="0"/>
                  <wp:docPr id="202" name="图片 202" descr="说明: C:\Users\ADMINI~1\AppData\Local\Temp\ksohtml19072\wps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2" name="图片 202" descr="说明: C:\Users\ADMINI~1\AppData\Local\Temp\ksohtml19072\wps2.png"/>
                          <pic:cNvPicPr>
                            <a:picLocks noChangeAspect="true" noChangeArrowheads="true"/>
                          </pic:cNvPicPr>
                        </pic:nvPicPr>
                        <pic:blipFill>
                          <a:blip r:embed="rId823">
                            <a:extLst>
                              <a:ext uri="{28A0092B-C50C-407E-A947-70E740481C1C}">
                                <a14:useLocalDpi xmlns:a14="http://schemas.microsoft.com/office/drawing/2010/main" val="false"/>
                              </a:ext>
                            </a:extLst>
                          </a:blip>
                          <a:srcRect/>
                          <a:stretch>
                            <a:fillRect/>
                          </a:stretch>
                        </pic:blipFill>
                        <pic:spPr>
                          <a:xfrm>
                            <a:off x="0" y="0"/>
                            <a:ext cx="20320" cy="10160"/>
                          </a:xfrm>
                          <a:prstGeom prst="rect">
                            <a:avLst/>
                          </a:prstGeom>
                          <a:noFill/>
                          <a:ln>
                            <a:noFill/>
                          </a:ln>
                        </pic:spPr>
                      </pic:pic>
                    </a:graphicData>
                  </a:graphic>
                </wp:inline>
              </w:drawing>
            </w:r>
            <w:r>
              <w:rPr>
                <w:rFonts w:ascii="宋体" w:hAnsi="宋体" w:eastAsia="微软雅黑"/>
                <w:kern w:val="0"/>
                <w:sz w:val="18"/>
                <w:szCs w:val="18"/>
              </w:rPr>
              <w:t>惯性矩</w:t>
            </w:r>
          </w:p>
          <w:p>
            <w:pPr>
              <w:adjustRightInd w:val="0"/>
              <w:snapToGrid w:val="0"/>
              <w:spacing w:line="240" w:lineRule="exact"/>
              <w:jc w:val="center"/>
              <w:rPr>
                <w:rFonts w:ascii="Tahoma" w:hAnsi="Tahoma" w:eastAsia="微软雅黑"/>
                <w:kern w:val="0"/>
                <w:sz w:val="18"/>
                <w:szCs w:val="18"/>
                <w:vertAlign w:val="subscript"/>
              </w:rPr>
            </w:pPr>
            <w:r>
              <w:rPr>
                <w:rFonts w:ascii="Tahoma" w:hAnsi="Tahoma" w:eastAsia="微软雅黑"/>
                <w:i/>
                <w:kern w:val="0"/>
                <w:sz w:val="18"/>
                <w:szCs w:val="18"/>
              </w:rPr>
              <w:t>I</w:t>
            </w:r>
            <w:r>
              <w:rPr>
                <w:rFonts w:ascii="Tahoma" w:hAnsi="Tahoma" w:eastAsia="微软雅黑"/>
                <w:kern w:val="0"/>
                <w:sz w:val="18"/>
                <w:szCs w:val="18"/>
                <w:vertAlign w:val="subscript"/>
              </w:rPr>
              <w:t>x</w:t>
            </w:r>
          </w:p>
          <w:p>
            <w:pPr>
              <w:adjustRightInd w:val="0"/>
              <w:snapToGrid w:val="0"/>
              <w:spacing w:line="240" w:lineRule="exact"/>
              <w:jc w:val="center"/>
              <w:rPr>
                <w:rFonts w:ascii="Tahoma" w:hAnsi="Tahoma"/>
                <w:bCs/>
                <w:sz w:val="18"/>
                <w:szCs w:val="18"/>
              </w:rPr>
            </w:pPr>
            <w:r>
              <w:rPr>
                <w:rFonts w:ascii="Tahoma" w:hAnsi="Tahoma" w:eastAsia="微软雅黑"/>
                <w:bCs/>
                <w:kern w:val="0"/>
                <w:sz w:val="18"/>
                <w:szCs w:val="18"/>
              </w:rPr>
              <w:t>cm</w:t>
            </w:r>
            <w:r>
              <w:rPr>
                <w:rFonts w:ascii="Tahoma" w:hAnsi="Tahoma" w:eastAsia="微软雅黑"/>
                <w:bCs/>
                <w:kern w:val="0"/>
                <w:sz w:val="18"/>
                <w:szCs w:val="18"/>
                <w:vertAlign w:val="superscript"/>
              </w:rPr>
              <w:t>4</w:t>
            </w:r>
            <w:r>
              <w:rPr>
                <w:rFonts w:ascii="Tahoma" w:hAnsi="Tahoma" w:eastAsia="微软雅黑"/>
                <w:bCs/>
                <w:kern w:val="0"/>
                <w:sz w:val="18"/>
                <w:szCs w:val="18"/>
              </w:rPr>
              <w:t>/m</w:t>
            </w:r>
          </w:p>
        </w:tc>
        <w:tc>
          <w:tcPr>
            <w:tcW w:w="977" w:type="dxa"/>
            <w:vMerge w:val="restart"/>
            <w:tcBorders>
              <w:top w:val="single" w:color="auto" w:sz="12" w:space="0"/>
              <w:left w:val="single" w:color="auto" w:sz="6" w:space="0"/>
              <w:bottom w:val="single" w:color="auto" w:sz="6" w:space="0"/>
              <w:right w:val="single" w:color="auto" w:sz="12" w:space="0"/>
            </w:tcBorders>
            <w:vAlign w:val="center"/>
          </w:tcPr>
          <w:p>
            <w:pPr>
              <w:adjustRightInd w:val="0"/>
              <w:snapToGrid w:val="0"/>
              <w:spacing w:line="240" w:lineRule="exact"/>
              <w:jc w:val="center"/>
              <w:rPr>
                <w:rFonts w:ascii="Tahoma" w:hAnsi="Tahoma" w:eastAsia="微软雅黑"/>
                <w:sz w:val="18"/>
                <w:szCs w:val="18"/>
              </w:rPr>
            </w:pPr>
            <w:r>
              <w:rPr>
                <w:rFonts w:ascii="宋体" w:hAnsi="宋体" w:eastAsia="微软雅黑"/>
                <w:kern w:val="0"/>
                <w:sz w:val="18"/>
                <w:szCs w:val="18"/>
              </w:rPr>
              <w:t>截面</w:t>
            </w:r>
          </w:p>
          <w:p>
            <w:pPr>
              <w:adjustRightInd w:val="0"/>
              <w:snapToGrid w:val="0"/>
              <w:spacing w:line="240" w:lineRule="exact"/>
              <w:jc w:val="center"/>
              <w:rPr>
                <w:rFonts w:ascii="Tahoma" w:hAnsi="Tahoma" w:eastAsia="微软雅黑"/>
                <w:kern w:val="0"/>
                <w:sz w:val="18"/>
                <w:szCs w:val="18"/>
              </w:rPr>
            </w:pPr>
            <w:r>
              <w:rPr>
                <w:rFonts w:ascii="宋体" w:hAnsi="宋体" w:eastAsia="微软雅黑"/>
                <w:kern w:val="0"/>
                <w:sz w:val="18"/>
                <w:szCs w:val="18"/>
              </w:rPr>
              <w:t>模量</w:t>
            </w:r>
          </w:p>
          <w:p>
            <w:pPr>
              <w:adjustRightInd w:val="0"/>
              <w:snapToGrid w:val="0"/>
              <w:spacing w:line="240" w:lineRule="exact"/>
              <w:jc w:val="center"/>
              <w:rPr>
                <w:rFonts w:ascii="Tahoma" w:hAnsi="Tahoma" w:eastAsia="微软雅黑"/>
                <w:i/>
                <w:kern w:val="0"/>
                <w:sz w:val="18"/>
                <w:szCs w:val="18"/>
              </w:rPr>
            </w:pPr>
            <w:r>
              <w:rPr>
                <w:rFonts w:ascii="Tahoma" w:hAnsi="Tahoma" w:eastAsia="微软雅黑"/>
                <w:i/>
                <w:kern w:val="0"/>
                <w:sz w:val="18"/>
                <w:szCs w:val="18"/>
              </w:rPr>
              <w:t>W</w:t>
            </w:r>
            <w:r>
              <w:rPr>
                <w:rFonts w:ascii="Tahoma" w:hAnsi="Tahoma" w:eastAsia="微软雅黑"/>
                <w:kern w:val="0"/>
                <w:sz w:val="18"/>
                <w:szCs w:val="18"/>
                <w:vertAlign w:val="subscript"/>
              </w:rPr>
              <w:t>x</w:t>
            </w:r>
          </w:p>
          <w:p>
            <w:pPr>
              <w:adjustRightInd w:val="0"/>
              <w:snapToGrid w:val="0"/>
              <w:spacing w:line="24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3</w:t>
            </w:r>
            <w:r>
              <w:rPr>
                <w:rFonts w:ascii="Tahoma" w:hAnsi="Tahoma" w:eastAsia="微软雅黑"/>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Merge w:val="continue"/>
            <w:tcBorders>
              <w:top w:val="single" w:color="auto" w:sz="12" w:space="0"/>
              <w:left w:val="single" w:color="auto" w:sz="12"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82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exact"/>
              <w:jc w:val="center"/>
              <w:rPr>
                <w:rFonts w:ascii="Tahoma" w:hAnsi="Tahoma" w:eastAsia="微软雅黑"/>
                <w:sz w:val="18"/>
                <w:szCs w:val="18"/>
              </w:rPr>
            </w:pPr>
            <w:r>
              <w:rPr>
                <w:rFonts w:ascii="宋体" w:hAnsi="宋体" w:eastAsia="微软雅黑"/>
                <w:kern w:val="0"/>
                <w:sz w:val="18"/>
                <w:szCs w:val="18"/>
              </w:rPr>
              <w:t>单根</w:t>
            </w:r>
          </w:p>
          <w:p>
            <w:pPr>
              <w:adjustRightInd w:val="0"/>
              <w:snapToGrid w:val="0"/>
              <w:spacing w:line="240" w:lineRule="exact"/>
              <w:jc w:val="center"/>
              <w:rPr>
                <w:rFonts w:ascii="Tahoma" w:hAnsi="Tahoma"/>
                <w:sz w:val="18"/>
                <w:szCs w:val="18"/>
              </w:rPr>
            </w:pPr>
            <w:r>
              <w:rPr>
                <w:rFonts w:ascii="Tahoma" w:hAnsi="Tahoma" w:eastAsia="微软雅黑"/>
                <w:kern w:val="0"/>
                <w:sz w:val="18"/>
                <w:szCs w:val="18"/>
              </w:rPr>
              <w:t>kg/m</w:t>
            </w:r>
          </w:p>
        </w:tc>
        <w:tc>
          <w:tcPr>
            <w:tcW w:w="81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宋体" w:hAnsi="宋体" w:eastAsia="微软雅黑"/>
                <w:kern w:val="0"/>
                <w:sz w:val="18"/>
                <w:szCs w:val="18"/>
              </w:rPr>
              <w:t>每延米</w:t>
            </w:r>
            <w:r>
              <w:rPr>
                <w:rFonts w:ascii="Tahoma" w:hAnsi="Tahoma" w:eastAsia="微软雅黑"/>
                <w:kern w:val="0"/>
                <w:sz w:val="18"/>
                <w:szCs w:val="18"/>
              </w:rPr>
              <w:t>kg/m</w:t>
            </w:r>
            <w:r>
              <w:rPr>
                <w:rFonts w:ascii="Tahoma" w:hAnsi="Tahoma" w:eastAsia="微软雅黑"/>
                <w:kern w:val="0"/>
                <w:sz w:val="18"/>
                <w:szCs w:val="18"/>
                <w:vertAlign w:val="superscript"/>
              </w:rPr>
              <w:t>2</w:t>
            </w: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bCs/>
                <w:sz w:val="18"/>
                <w:szCs w:val="18"/>
              </w:rPr>
            </w:pPr>
          </w:p>
        </w:tc>
        <w:tc>
          <w:tcPr>
            <w:tcW w:w="0" w:type="auto"/>
            <w:vMerge w:val="continue"/>
            <w:tcBorders>
              <w:top w:val="single" w:color="auto" w:sz="12" w:space="0"/>
              <w:left w:val="single" w:color="auto" w:sz="6" w:space="0"/>
              <w:bottom w:val="single" w:color="auto" w:sz="6" w:space="0"/>
              <w:right w:val="single" w:color="auto" w:sz="12" w:space="0"/>
            </w:tcBorders>
            <w:vAlign w:val="center"/>
          </w:tcPr>
          <w:p>
            <w:pPr>
              <w:adjustRightInd w:val="0"/>
              <w:snapToGrid w:val="0"/>
              <w:spacing w:after="200"/>
              <w:jc w:val="left"/>
              <w:rPr>
                <w:rFonts w:ascii="Tahoma" w:hAnsi="Tahom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CRSP-U-736</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415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126.95</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51.59</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161.72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10482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736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CRSP-U-900</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415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203.56</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65.2</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159.8</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12831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900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CRSP-U-1068</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415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241.72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77.31</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189.75</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15224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1068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CRSP-U-937</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415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173.84</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54.96</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136.47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16626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937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CRSP-U-1148</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415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218.01</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69.41</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171.14</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20382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1148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CRSP-U-1367</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415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258.21</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82.35</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202.7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24263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1367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CRSP-U-1045</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hint="eastAsia" w:ascii="Tahoma" w:hAnsi="Tahoma"/>
                <w:sz w:val="18"/>
                <w:szCs w:val="18"/>
              </w:rPr>
              <w:t>173.83</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57.64</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136.46</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18815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1045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CRSP-U-1165</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196.06</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65.17</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153.91</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20973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1165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CRSP-U-1283</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450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219.52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72.76</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172.32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23092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1283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CRSP-U-919</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138.68</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56.93</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108.86</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13091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919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CRSP-U-1126</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174.15</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71.87</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136.71</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16046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1126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CRSP-U-1335</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207.23</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85.32</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162.68</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19028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1335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CRSP-U-1167</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148.19</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60.3</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116.33</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20721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1167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CRSP-U-1433</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184.33</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76.09</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144.7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25442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CRSP-U-1705</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219.77</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180.72</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172.52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30265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1705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CRSP-U-1252</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525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143.11</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62.35</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112.34</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22533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1252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CRSP-U-1538</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525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179.54</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78.65</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140.94</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27687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1538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CRSP-U-1832</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525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211.67</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93.15</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166.16</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32980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1832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CRSP-U-2118</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525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245.42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107.77</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192.66</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38118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2118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CRSP-U-1026</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127.91</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60.06</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100.41</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14626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1026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CRSP-U-1259</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160.99</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75.8</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126.38</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17938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1259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CRSP-U-1492</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191.75</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90.03</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150.52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21266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1492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CRSP-U-1299</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135.12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63.92</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106.07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23052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1299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CRSP-U-1597</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170.24</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80.61</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133.64</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28339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1597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CRSP-U-1900</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550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202.32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95.5</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158.82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33733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1900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CRSP-U-1390</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135.25</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65.49</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106.17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25011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1390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CRSP-U-1470</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8.5</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144.01</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69.68</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113.05</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26464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1470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CRSP-U-1550</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152.76</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74</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119.91</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27905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1550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CRSP-U-1630</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9.5</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161.6</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78.28</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126.86</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29334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1630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CRSP-U-1708</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170.18</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82.58</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133.6</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30751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1708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CRSP-U-1864</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188.16</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91.23</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147.7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33551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1864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CRSP-U-2034</w:t>
            </w:r>
            <w:r>
              <w:rPr>
                <w:rFonts w:hint="eastAsia" w:ascii="Tahoma" w:hAnsi="Tahoma"/>
                <w:sz w:val="18"/>
                <w:szCs w:val="18"/>
              </w:rPr>
              <w:t>*</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201.64</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97.86</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158.29</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36615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2034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CRSP-U-2351</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575</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233.52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113.18</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183.31</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42323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2351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CRSP-U-2067</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201.27</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99.78</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158</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36178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2067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CRSP-U-1458</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135.47</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67.06</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106.35</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26251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1458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CRSP-U-1543</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8.5</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144.16</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71.4</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113.17</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27777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1543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CRSP-U-1627</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152.92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75.76</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120.04</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29291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1627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CRSP-U-1711</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9.5</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161.8</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80.14</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127.02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30793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1711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CRSP-U-1793</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600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360</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170.29</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84.54</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133.68</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32282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1793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CRSP-U-1418</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610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161.3</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80.5</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126.62</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20207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1418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CRSP-U-1681</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610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285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191.32</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95.7</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150.19</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23952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1681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CRSP-U-1802</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610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170.24</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85.3</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133.64</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31990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1802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16" w:type="dxa"/>
            <w:tcBorders>
              <w:top w:val="single" w:color="auto" w:sz="6" w:space="0"/>
              <w:left w:val="single" w:color="auto" w:sz="12"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CRSP-U-2143</w:t>
            </w:r>
          </w:p>
        </w:tc>
        <w:tc>
          <w:tcPr>
            <w:tcW w:w="111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610</w:t>
            </w:r>
          </w:p>
        </w:tc>
        <w:tc>
          <w:tcPr>
            <w:tcW w:w="685"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355</w:t>
            </w:r>
          </w:p>
        </w:tc>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12</w:t>
            </w:r>
          </w:p>
        </w:tc>
        <w:tc>
          <w:tcPr>
            <w:tcW w:w="1050"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202.01</w:t>
            </w:r>
          </w:p>
        </w:tc>
        <w:tc>
          <w:tcPr>
            <w:tcW w:w="822"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101.2</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158.58</w:t>
            </w:r>
          </w:p>
        </w:tc>
        <w:tc>
          <w:tcPr>
            <w:tcW w:w="884" w:type="dxa"/>
            <w:tcBorders>
              <w:top w:val="single" w:color="auto" w:sz="6" w:space="0"/>
              <w:left w:val="single" w:color="auto" w:sz="6" w:space="0"/>
              <w:bottom w:val="single" w:color="auto" w:sz="6" w:space="0"/>
              <w:right w:val="single" w:color="auto" w:sz="6"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38034 </w:t>
            </w:r>
          </w:p>
        </w:tc>
        <w:tc>
          <w:tcPr>
            <w:tcW w:w="977" w:type="dxa"/>
            <w:tcBorders>
              <w:top w:val="single" w:color="auto" w:sz="6" w:space="0"/>
              <w:left w:val="single" w:color="auto" w:sz="6" w:space="0"/>
              <w:bottom w:val="single" w:color="auto" w:sz="6" w:space="0"/>
              <w:right w:val="single" w:color="auto" w:sz="12" w:space="0"/>
            </w:tcBorders>
            <w:shd w:val="clear" w:color="auto" w:fill="auto"/>
            <w:vAlign w:val="center"/>
          </w:tcPr>
          <w:p>
            <w:pPr>
              <w:adjustRightInd w:val="0"/>
              <w:snapToGrid w:val="0"/>
              <w:spacing w:after="200"/>
              <w:jc w:val="center"/>
              <w:rPr>
                <w:rFonts w:ascii="Tahoma" w:hAnsi="Tahoma"/>
                <w:sz w:val="18"/>
                <w:szCs w:val="18"/>
              </w:rPr>
            </w:pPr>
            <w:r>
              <w:rPr>
                <w:rFonts w:ascii="Tahoma" w:hAnsi="Tahoma"/>
                <w:sz w:val="18"/>
                <w:szCs w:val="18"/>
              </w:rPr>
              <w:t xml:space="preserve">2143 </w:t>
            </w:r>
          </w:p>
        </w:tc>
      </w:tr>
    </w:tbl>
    <w:p>
      <w:pPr>
        <w:adjustRightInd w:val="0"/>
        <w:snapToGrid w:val="0"/>
        <w:spacing w:after="200" w:line="300" w:lineRule="auto"/>
        <w:jc w:val="left"/>
        <w:rPr>
          <w:rFonts w:ascii="宋体" w:hAnsi="宋体" w:eastAsia="微软雅黑"/>
          <w:kern w:val="0"/>
          <w:sz w:val="22"/>
        </w:rPr>
      </w:pPr>
      <w:r>
        <w:rPr>
          <w:rFonts w:hint="eastAsia" w:ascii="宋体" w:hAnsi="宋体" w:eastAsia="微软雅黑"/>
          <w:kern w:val="0"/>
          <w:sz w:val="22"/>
        </w:rPr>
        <w:t>注：型号带“*”号为推荐常用规格。</w:t>
      </w:r>
    </w:p>
    <w:p>
      <w:pPr>
        <w:keepNext/>
        <w:keepLines/>
        <w:spacing w:before="340" w:after="330" w:line="300" w:lineRule="auto"/>
        <w:jc w:val="center"/>
        <w:rPr>
          <w:rFonts w:ascii="宋体" w:hAnsi="宋体"/>
          <w:b/>
          <w:bCs/>
          <w:kern w:val="44"/>
          <w:szCs w:val="24"/>
        </w:rPr>
      </w:pPr>
    </w:p>
    <w:p>
      <w:pPr>
        <w:adjustRightInd w:val="0"/>
        <w:snapToGrid w:val="0"/>
        <w:spacing w:after="200"/>
        <w:jc w:val="left"/>
        <w:rPr>
          <w:rFonts w:ascii="Tahoma" w:hAnsi="Tahoma" w:eastAsia="微软雅黑"/>
          <w:kern w:val="0"/>
          <w:sz w:val="22"/>
        </w:rPr>
      </w:pPr>
      <w:r>
        <w:rPr>
          <w:rFonts w:hint="eastAsia" w:ascii="Times New Roman" w:hAnsi="Times New Roman" w:cs="宋体"/>
          <w:b/>
          <w:bCs/>
          <w:szCs w:val="24"/>
          <w:lang w:bidi="ar"/>
        </w:rPr>
        <w:t>G.0.3</w:t>
      </w:r>
      <w:r>
        <w:rPr>
          <w:rFonts w:hint="eastAsia" w:ascii="Tahoma" w:hAnsi="Tahoma" w:eastAsia="微软雅黑"/>
          <w:kern w:val="0"/>
          <w:sz w:val="22"/>
        </w:rPr>
        <w:t xml:space="preserve"> </w:t>
      </w:r>
      <w:r>
        <w:rPr>
          <w:rFonts w:hint="eastAsia" w:ascii="宋体" w:hAnsi="宋体"/>
          <w:kern w:val="0"/>
          <w:szCs w:val="24"/>
        </w:rPr>
        <w:t>热轧</w:t>
      </w:r>
      <w:r>
        <w:rPr>
          <w:rFonts w:hint="eastAsia" w:ascii="Tahoma" w:hAnsi="Tahoma" w:eastAsia="微软雅黑"/>
          <w:kern w:val="0"/>
          <w:sz w:val="22"/>
        </w:rPr>
        <w:t>U型钢板桩外形见图G.0.3。</w:t>
      </w:r>
    </w:p>
    <w:p>
      <w:pPr>
        <w:adjustRightInd w:val="0"/>
        <w:snapToGrid w:val="0"/>
        <w:spacing w:after="200" w:line="300" w:lineRule="auto"/>
        <w:jc w:val="left"/>
        <w:rPr>
          <w:rFonts w:ascii="Tahoma" w:hAnsi="Tahoma" w:eastAsia="微软雅黑"/>
          <w:kern w:val="0"/>
          <w:sz w:val="22"/>
        </w:rPr>
      </w:pPr>
      <w:r>
        <w:rPr>
          <w:rFonts w:hint="eastAsia" w:ascii="宋体" w:hAnsi="宋体" w:eastAsia="微软雅黑"/>
          <w:kern w:val="0"/>
          <w:sz w:val="22"/>
        </w:rPr>
        <w:t xml:space="preserve"> </w:t>
      </w:r>
    </w:p>
    <w:p>
      <w:pPr>
        <w:adjustRightInd w:val="0"/>
        <w:snapToGrid w:val="0"/>
        <w:spacing w:after="200" w:line="300" w:lineRule="auto"/>
        <w:jc w:val="center"/>
        <w:rPr>
          <w:rFonts w:ascii="Tahoma" w:hAnsi="Tahoma" w:eastAsia="微软雅黑"/>
          <w:kern w:val="0"/>
          <w:sz w:val="22"/>
        </w:rPr>
      </w:pPr>
      <w:r>
        <w:rPr>
          <w:rFonts w:ascii="Tahoma" w:hAnsi="Tahoma" w:eastAsia="微软雅黑"/>
          <w:kern w:val="0"/>
          <w:sz w:val="22"/>
        </w:rPr>
        <w:drawing>
          <wp:inline distT="0" distB="0" distL="0" distR="0">
            <wp:extent cx="3466465" cy="1376680"/>
            <wp:effectExtent l="0" t="0" r="8255" b="10160"/>
            <wp:docPr id="201" name="图片 201" descr="说明: C:\Users\ADMINI~1\AppData\Local\Temp\ksohtml20044\wps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1" name="图片 201" descr="说明: C:\Users\ADMINI~1\AppData\Local\Temp\ksohtml20044\wps1.png"/>
                    <pic:cNvPicPr>
                      <a:picLocks noChangeAspect="true" noChangeArrowheads="true"/>
                    </pic:cNvPicPr>
                  </pic:nvPicPr>
                  <pic:blipFill>
                    <a:blip r:embed="rId824">
                      <a:extLst>
                        <a:ext uri="{28A0092B-C50C-407E-A947-70E740481C1C}">
                          <a14:useLocalDpi xmlns:a14="http://schemas.microsoft.com/office/drawing/2010/main" val="false"/>
                        </a:ext>
                      </a:extLst>
                    </a:blip>
                    <a:srcRect/>
                    <a:stretch>
                      <a:fillRect/>
                    </a:stretch>
                  </pic:blipFill>
                  <pic:spPr>
                    <a:xfrm>
                      <a:off x="0" y="0"/>
                      <a:ext cx="3466465" cy="1376680"/>
                    </a:xfrm>
                    <a:prstGeom prst="rect">
                      <a:avLst/>
                    </a:prstGeom>
                    <a:noFill/>
                    <a:ln>
                      <a:noFill/>
                    </a:ln>
                  </pic:spPr>
                </pic:pic>
              </a:graphicData>
            </a:graphic>
          </wp:inline>
        </w:drawing>
      </w:r>
      <w:r>
        <w:rPr>
          <w:rFonts w:ascii="Tahoma" w:hAnsi="Tahoma" w:eastAsia="微软雅黑"/>
          <w:kern w:val="0"/>
          <w:sz w:val="22"/>
        </w:rPr>
        <w:t xml:space="preserve"> </w:t>
      </w:r>
    </w:p>
    <w:p>
      <w:pPr>
        <w:adjustRightInd w:val="0"/>
        <w:snapToGrid w:val="0"/>
        <w:spacing w:after="200" w:line="300" w:lineRule="auto"/>
        <w:jc w:val="center"/>
        <w:rPr>
          <w:rFonts w:ascii="Tahoma" w:hAnsi="Tahoma" w:eastAsia="微软雅黑"/>
          <w:kern w:val="0"/>
          <w:sz w:val="22"/>
        </w:rPr>
      </w:pPr>
      <w:r>
        <w:rPr>
          <w:rFonts w:hint="eastAsia" w:ascii="Tahoma" w:hAnsi="Tahoma" w:eastAsia="微软雅黑"/>
          <w:kern w:val="0"/>
          <w:sz w:val="22"/>
        </w:rPr>
        <w:t xml:space="preserve">图G.0.3  </w:t>
      </w:r>
      <w:r>
        <w:rPr>
          <w:rFonts w:hint="eastAsia" w:ascii="宋体" w:hAnsi="宋体"/>
          <w:kern w:val="0"/>
          <w:szCs w:val="24"/>
        </w:rPr>
        <w:t>热轧</w:t>
      </w:r>
      <w:r>
        <w:rPr>
          <w:rFonts w:hint="eastAsia" w:ascii="Tahoma" w:hAnsi="Tahoma" w:eastAsia="微软雅黑"/>
          <w:kern w:val="0"/>
          <w:sz w:val="22"/>
        </w:rPr>
        <w:t>U型钢板桩外形</w:t>
      </w:r>
    </w:p>
    <w:p>
      <w:pPr>
        <w:adjustRightInd w:val="0"/>
        <w:snapToGrid w:val="0"/>
        <w:spacing w:after="200" w:line="300" w:lineRule="auto"/>
        <w:rPr>
          <w:rFonts w:ascii="Tahoma" w:hAnsi="Tahoma" w:eastAsia="微软雅黑"/>
          <w:kern w:val="0"/>
          <w:sz w:val="22"/>
        </w:rPr>
      </w:pPr>
      <w:r>
        <w:rPr>
          <w:rFonts w:hint="eastAsia" w:ascii="Times New Roman" w:hAnsi="Times New Roman" w:cs="宋体"/>
          <w:b/>
          <w:bCs/>
          <w:szCs w:val="24"/>
          <w:lang w:bidi="ar"/>
        </w:rPr>
        <w:t xml:space="preserve">G.0.4 </w:t>
      </w:r>
      <w:r>
        <w:rPr>
          <w:rFonts w:hint="eastAsia" w:ascii="Tahoma" w:hAnsi="Tahoma" w:eastAsia="微软雅黑"/>
          <w:kern w:val="0"/>
          <w:sz w:val="22"/>
        </w:rPr>
        <w:t>热轧U型钢板桩参数见表G.0.4。</w:t>
      </w:r>
    </w:p>
    <w:p>
      <w:pPr>
        <w:adjustRightInd w:val="0"/>
        <w:snapToGrid w:val="0"/>
        <w:spacing w:after="200" w:line="300" w:lineRule="auto"/>
        <w:jc w:val="center"/>
        <w:rPr>
          <w:rFonts w:ascii="Tahoma" w:hAnsi="Tahoma" w:eastAsia="微软雅黑"/>
          <w:kern w:val="0"/>
          <w:sz w:val="22"/>
        </w:rPr>
      </w:pPr>
      <w:r>
        <w:rPr>
          <w:rFonts w:hint="eastAsia" w:ascii="Tahoma" w:hAnsi="Tahoma" w:eastAsia="微软雅黑"/>
          <w:kern w:val="0"/>
          <w:sz w:val="22"/>
        </w:rPr>
        <w:t>表G.0.4  热轧U型钢板桩参数</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9"/>
        <w:gridCol w:w="576"/>
        <w:gridCol w:w="576"/>
        <w:gridCol w:w="617"/>
        <w:gridCol w:w="576"/>
        <w:gridCol w:w="936"/>
        <w:gridCol w:w="732"/>
        <w:gridCol w:w="756"/>
        <w:gridCol w:w="806"/>
        <w:gridCol w:w="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Merge w:val="restart"/>
            <w:tcBorders>
              <w:top w:val="single" w:color="auto" w:sz="12"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highlight w:val="red"/>
              </w:rPr>
            </w:pPr>
            <w:r>
              <w:rPr>
                <w:rFonts w:ascii="宋体" w:hAnsi="宋体" w:eastAsia="微软雅黑"/>
                <w:kern w:val="0"/>
                <w:sz w:val="18"/>
                <w:szCs w:val="18"/>
              </w:rPr>
              <w:t>型号</w:t>
            </w:r>
          </w:p>
        </w:tc>
        <w:tc>
          <w:tcPr>
            <w:tcW w:w="0" w:type="auto"/>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公称</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宽度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B</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公称</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高度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H</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sz w:val="18"/>
                <w:szCs w:val="18"/>
              </w:rPr>
            </w:pPr>
            <w:r>
              <w:rPr>
                <w:rFonts w:ascii="宋体" w:hAnsi="宋体" w:eastAsia="微软雅黑"/>
                <w:kern w:val="0"/>
                <w:sz w:val="18"/>
                <w:szCs w:val="18"/>
              </w:rPr>
              <w:t>厚度</w:t>
            </w:r>
          </w:p>
        </w:tc>
        <w:tc>
          <w:tcPr>
            <w:tcW w:w="0" w:type="auto"/>
            <w:vMerge w:val="restart"/>
            <w:tcBorders>
              <w:top w:val="single" w:color="auto" w:sz="12" w:space="0"/>
              <w:left w:val="single" w:color="auto" w:sz="6" w:space="0"/>
              <w:bottom w:val="single" w:color="auto" w:sz="6" w:space="0"/>
              <w:right w:val="single" w:color="auto" w:sz="4"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截面面积</w:t>
            </w:r>
          </w:p>
          <w:p>
            <w:pPr>
              <w:adjustRightInd w:val="0"/>
              <w:snapToGrid w:val="0"/>
              <w:spacing w:line="280" w:lineRule="exact"/>
              <w:jc w:val="center"/>
              <w:rPr>
                <w:rFonts w:ascii="Tahoma" w:hAnsi="Tahoma" w:eastAsia="微软雅黑"/>
                <w:kern w:val="0"/>
                <w:sz w:val="18"/>
                <w:szCs w:val="18"/>
              </w:rPr>
            </w:pPr>
            <w:r>
              <w:rPr>
                <w:rFonts w:ascii="Tahoma" w:hAnsi="Tahoma" w:eastAsia="微软雅黑"/>
                <w:i/>
                <w:kern w:val="0"/>
                <w:sz w:val="18"/>
                <w:szCs w:val="18"/>
              </w:rPr>
              <w:t>S</w:t>
            </w:r>
            <w:r>
              <w:rPr>
                <w:rFonts w:ascii="Tahoma" w:hAnsi="Tahoma" w:eastAsia="微软雅黑"/>
                <w:kern w:val="0"/>
                <w:sz w:val="18"/>
                <w:szCs w:val="18"/>
                <w:vertAlign w:val="subscript"/>
              </w:rPr>
              <w:t>a</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2</w:t>
            </w:r>
            <w:r>
              <w:rPr>
                <w:rFonts w:ascii="Tahoma" w:hAnsi="Tahoma" w:eastAsia="微软雅黑"/>
                <w:kern w:val="0"/>
                <w:sz w:val="18"/>
                <w:szCs w:val="18"/>
              </w:rPr>
              <w:t>/m</w:t>
            </w:r>
          </w:p>
        </w:tc>
        <w:tc>
          <w:tcPr>
            <w:tcW w:w="0" w:type="auto"/>
            <w:gridSpan w:val="2"/>
            <w:tcBorders>
              <w:top w:val="single" w:color="auto" w:sz="12" w:space="0"/>
              <w:left w:val="nil"/>
              <w:bottom w:val="nil"/>
              <w:right w:val="single" w:color="auto" w:sz="4" w:space="0"/>
            </w:tcBorders>
            <w:vAlign w:val="center"/>
          </w:tcPr>
          <w:p>
            <w:pPr>
              <w:adjustRightInd w:val="0"/>
              <w:snapToGrid w:val="0"/>
              <w:spacing w:line="280" w:lineRule="exact"/>
              <w:jc w:val="center"/>
              <w:rPr>
                <w:rFonts w:ascii="Tahoma" w:hAnsi="Tahoma" w:eastAsia="微软雅黑"/>
                <w:i/>
                <w:kern w:val="0"/>
                <w:sz w:val="18"/>
                <w:szCs w:val="18"/>
              </w:rPr>
            </w:pPr>
            <w:r>
              <w:rPr>
                <w:rFonts w:ascii="宋体" w:hAnsi="宋体" w:eastAsia="微软雅黑"/>
                <w:kern w:val="0"/>
                <w:sz w:val="18"/>
                <w:szCs w:val="18"/>
              </w:rPr>
              <w:t>重量</w:t>
            </w:r>
            <w:r>
              <w:rPr>
                <w:rFonts w:ascii="Tahoma" w:hAnsi="Tahoma" w:eastAsia="微软雅黑"/>
                <w:i/>
                <w:kern w:val="0"/>
                <w:sz w:val="18"/>
                <w:szCs w:val="18"/>
              </w:rPr>
              <w:t>W</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kg</w:t>
            </w:r>
          </w:p>
        </w:tc>
        <w:tc>
          <w:tcPr>
            <w:tcW w:w="0" w:type="auto"/>
            <w:vMerge w:val="restart"/>
            <w:tcBorders>
              <w:top w:val="single" w:color="auto" w:sz="12" w:space="0"/>
              <w:left w:val="nil"/>
              <w:bottom w:val="single" w:color="auto" w:sz="6" w:space="0"/>
              <w:right w:val="single" w:color="auto" w:sz="4"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惯性矩</w:t>
            </w:r>
          </w:p>
          <w:p>
            <w:pPr>
              <w:adjustRightInd w:val="0"/>
              <w:snapToGrid w:val="0"/>
              <w:spacing w:line="280" w:lineRule="exact"/>
              <w:jc w:val="center"/>
              <w:rPr>
                <w:rFonts w:ascii="Tahoma" w:hAnsi="Tahoma" w:eastAsia="微软雅黑"/>
                <w:kern w:val="0"/>
                <w:sz w:val="18"/>
                <w:szCs w:val="18"/>
              </w:rPr>
            </w:pPr>
            <w:r>
              <w:rPr>
                <w:rFonts w:ascii="Tahoma" w:hAnsi="Tahoma" w:eastAsia="微软雅黑"/>
                <w:i/>
                <w:kern w:val="0"/>
                <w:sz w:val="18"/>
                <w:szCs w:val="18"/>
              </w:rPr>
              <w:t>I</w:t>
            </w:r>
            <w:r>
              <w:rPr>
                <w:rFonts w:ascii="Tahoma" w:hAnsi="Tahoma" w:eastAsia="微软雅黑"/>
                <w:kern w:val="0"/>
                <w:sz w:val="18"/>
                <w:szCs w:val="18"/>
              </w:rPr>
              <w:t>x</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4</w:t>
            </w:r>
            <w:r>
              <w:rPr>
                <w:rFonts w:ascii="Tahoma" w:hAnsi="Tahoma" w:eastAsia="微软雅黑"/>
                <w:kern w:val="0"/>
                <w:sz w:val="18"/>
                <w:szCs w:val="18"/>
              </w:rPr>
              <w:t>/m</w:t>
            </w:r>
          </w:p>
        </w:tc>
        <w:tc>
          <w:tcPr>
            <w:tcW w:w="0" w:type="auto"/>
            <w:vMerge w:val="restart"/>
            <w:tcBorders>
              <w:top w:val="single" w:color="auto" w:sz="12" w:space="0"/>
              <w:left w:val="nil"/>
              <w:bottom w:val="single" w:color="auto" w:sz="6" w:space="0"/>
              <w:right w:val="single" w:color="auto" w:sz="12"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截面</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模量</w:t>
            </w:r>
          </w:p>
          <w:p>
            <w:pPr>
              <w:adjustRightInd w:val="0"/>
              <w:snapToGrid w:val="0"/>
              <w:spacing w:line="280" w:lineRule="exact"/>
              <w:jc w:val="center"/>
              <w:rPr>
                <w:rFonts w:ascii="Tahoma" w:hAnsi="Tahoma" w:eastAsia="微软雅黑"/>
                <w:kern w:val="0"/>
                <w:sz w:val="18"/>
                <w:szCs w:val="18"/>
              </w:rPr>
            </w:pPr>
            <w:r>
              <w:rPr>
                <w:rFonts w:ascii="Tahoma" w:hAnsi="Tahoma" w:eastAsia="微软雅黑"/>
                <w:i/>
                <w:kern w:val="0"/>
                <w:sz w:val="18"/>
                <w:szCs w:val="18"/>
              </w:rPr>
              <w:t>W</w:t>
            </w:r>
            <w:r>
              <w:rPr>
                <w:rFonts w:ascii="Tahoma" w:hAnsi="Tahoma" w:eastAsia="微软雅黑"/>
                <w:kern w:val="0"/>
                <w:sz w:val="18"/>
                <w:szCs w:val="18"/>
              </w:rPr>
              <w:t>x</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3</w:t>
            </w:r>
            <w:r>
              <w:rPr>
                <w:rFonts w:ascii="Tahoma" w:hAnsi="Tahoma" w:eastAsia="微软雅黑"/>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Merge w:val="continue"/>
            <w:tcBorders>
              <w:top w:val="single" w:color="auto" w:sz="12" w:space="0"/>
              <w:left w:val="single" w:color="auto" w:sz="12" w:space="0"/>
              <w:bottom w:val="single" w:color="auto" w:sz="6" w:space="0"/>
              <w:right w:val="single" w:color="auto" w:sz="6" w:space="0"/>
            </w:tcBorders>
            <w:vAlign w:val="center"/>
          </w:tcPr>
          <w:p>
            <w:pPr>
              <w:adjustRightInd w:val="0"/>
              <w:snapToGrid w:val="0"/>
              <w:spacing w:after="200"/>
              <w:jc w:val="left"/>
              <w:rPr>
                <w:rFonts w:ascii="Tahoma" w:hAnsi="Tahoma"/>
                <w:sz w:val="18"/>
                <w:szCs w:val="18"/>
                <w:highlight w:val="red"/>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tcBorders>
              <w:top w:val="single" w:color="auto" w:sz="6" w:space="0"/>
              <w:left w:val="single" w:color="auto" w:sz="6" w:space="0"/>
              <w:bottom w:val="single" w:color="auto" w:sz="6" w:space="0"/>
              <w:right w:val="single" w:color="auto" w:sz="6" w:space="0"/>
            </w:tcBorders>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腹板</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厚度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t</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翼缘</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厚度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s</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vMerge w:val="continue"/>
            <w:tcBorders>
              <w:top w:val="single" w:color="auto" w:sz="12" w:space="0"/>
              <w:left w:val="single" w:color="auto" w:sz="6" w:space="0"/>
              <w:bottom w:val="single" w:color="auto" w:sz="6" w:space="0"/>
              <w:right w:val="single" w:color="auto" w:sz="4" w:space="0"/>
            </w:tcBorders>
            <w:vAlign w:val="center"/>
          </w:tcPr>
          <w:p>
            <w:pPr>
              <w:adjustRightInd w:val="0"/>
              <w:snapToGrid w:val="0"/>
              <w:spacing w:line="280" w:lineRule="exact"/>
              <w:jc w:val="left"/>
              <w:rPr>
                <w:rFonts w:ascii="Tahoma" w:hAnsi="Tahoma"/>
                <w:sz w:val="18"/>
                <w:szCs w:val="18"/>
              </w:rPr>
            </w:pPr>
          </w:p>
        </w:tc>
        <w:tc>
          <w:tcPr>
            <w:tcW w:w="0" w:type="auto"/>
            <w:tcBorders>
              <w:top w:val="single" w:color="auto" w:sz="6" w:space="0"/>
              <w:left w:val="nil"/>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单根</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kg/m</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每延米</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kg/m</w:t>
            </w:r>
            <w:r>
              <w:rPr>
                <w:rFonts w:ascii="Tahoma" w:hAnsi="Tahoma" w:eastAsia="微软雅黑"/>
                <w:kern w:val="0"/>
                <w:sz w:val="18"/>
                <w:szCs w:val="18"/>
                <w:vertAlign w:val="superscript"/>
              </w:rPr>
              <w:t>2</w:t>
            </w:r>
          </w:p>
        </w:tc>
        <w:tc>
          <w:tcPr>
            <w:tcW w:w="0" w:type="auto"/>
            <w:vMerge w:val="continue"/>
            <w:tcBorders>
              <w:top w:val="single" w:color="auto" w:sz="12" w:space="0"/>
              <w:left w:val="nil"/>
              <w:bottom w:val="single" w:color="auto" w:sz="6" w:space="0"/>
              <w:right w:val="single" w:color="auto" w:sz="4"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nil"/>
              <w:bottom w:val="single" w:color="auto" w:sz="6" w:space="0"/>
              <w:right w:val="single" w:color="auto" w:sz="12" w:space="0"/>
            </w:tcBorders>
            <w:vAlign w:val="center"/>
          </w:tcPr>
          <w:p>
            <w:pPr>
              <w:adjustRightInd w:val="0"/>
              <w:snapToGrid w:val="0"/>
              <w:spacing w:after="200"/>
              <w:jc w:val="left"/>
              <w:rPr>
                <w:rFonts w:ascii="Tahoma" w:hAnsi="Tahom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HRSP-U-870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10.5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153.0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120.1</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8740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870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HRSP-U-1340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125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13.0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191.0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149.9</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16800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1340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HRSP-U-1560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145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12.7</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9.4</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197.3</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62.0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22580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HRSP-U-1785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146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9.7</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220.8</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69.3</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173.3</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26090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1785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HRSP-U-1520</w:t>
            </w:r>
            <w:r>
              <w:rPr>
                <w:rFonts w:hint="eastAsia" w:ascii="Tahoma" w:hAnsi="Tahoma" w:eastAsia="微软雅黑"/>
                <w:color w:val="000000"/>
                <w:kern w:val="0"/>
                <w:sz w:val="18"/>
                <w:szCs w:val="18"/>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13.1</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186.0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58.4</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146.0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22510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HRSP-U-2270</w:t>
            </w:r>
            <w:r>
              <w:rPr>
                <w:rFonts w:hint="eastAsia" w:ascii="Tahoma" w:hAnsi="Tahoma" w:eastAsia="微软雅黑"/>
                <w:color w:val="000000"/>
                <w:kern w:val="0"/>
                <w:sz w:val="18"/>
                <w:szCs w:val="18"/>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170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242.5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76.1</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190.4</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38600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HRSP-U-3150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24.3</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267.6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105.0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210.1</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63000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3150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HRSP-U-2000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11.5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197.4</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77.5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42000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HRSP-U-2500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15.6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222.0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87.5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175.0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52500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HRSP-U-3040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262.0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103.0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206.0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63840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3040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HRSP-U-3820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500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225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27.6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kern w:val="0"/>
                <w:sz w:val="16"/>
                <w:szCs w:val="16"/>
              </w:rPr>
            </w:pPr>
            <w:r>
              <w:rPr>
                <w:rFonts w:ascii="Tahoma" w:hAnsi="Tahoma" w:eastAsia="微软雅黑"/>
                <w:color w:val="000000"/>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306.0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120.1</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240.2</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86000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color w:val="000000"/>
                <w:sz w:val="18"/>
                <w:szCs w:val="18"/>
              </w:rPr>
            </w:pPr>
            <w:r>
              <w:rPr>
                <w:rFonts w:ascii="Tahoma" w:hAnsi="Tahoma" w:eastAsia="微软雅黑"/>
                <w:color w:val="000000"/>
                <w:kern w:val="0"/>
                <w:sz w:val="18"/>
                <w:szCs w:val="18"/>
              </w:rPr>
              <w:t>3820</w:t>
            </w:r>
          </w:p>
        </w:tc>
      </w:tr>
    </w:tbl>
    <w:p>
      <w:pPr>
        <w:adjustRightInd w:val="0"/>
        <w:snapToGrid w:val="0"/>
        <w:spacing w:after="200" w:line="300" w:lineRule="auto"/>
        <w:jc w:val="center"/>
        <w:rPr>
          <w:rFonts w:ascii="宋体" w:hAnsi="宋体"/>
          <w:b/>
          <w:color w:val="FF0000"/>
          <w:kern w:val="0"/>
          <w:szCs w:val="24"/>
        </w:rPr>
      </w:pPr>
      <w:r>
        <w:rPr>
          <w:rFonts w:hint="eastAsia" w:ascii="宋体" w:hAnsi="宋体"/>
          <w:b/>
          <w:color w:val="FF0000"/>
          <w:kern w:val="0"/>
          <w:szCs w:val="24"/>
        </w:rPr>
        <w:t>续</w:t>
      </w:r>
      <w:r>
        <w:rPr>
          <w:rFonts w:ascii="宋体" w:hAnsi="宋体"/>
          <w:b/>
          <w:color w:val="FF0000"/>
          <w:kern w:val="0"/>
          <w:szCs w:val="24"/>
        </w:rPr>
        <w:t>表</w:t>
      </w:r>
      <w:r>
        <w:rPr>
          <w:rFonts w:hint="eastAsia" w:ascii="宋体" w:hAnsi="宋体"/>
          <w:b/>
          <w:color w:val="FF0000"/>
          <w:kern w:val="0"/>
          <w:szCs w:val="24"/>
        </w:rPr>
        <w:t>G.0</w:t>
      </w:r>
      <w:r>
        <w:rPr>
          <w:rFonts w:ascii="宋体" w:hAnsi="宋体"/>
          <w:b/>
          <w:color w:val="FF0000"/>
          <w:kern w:val="0"/>
          <w:szCs w:val="24"/>
        </w:rPr>
        <w:t>.</w:t>
      </w:r>
      <w:r>
        <w:rPr>
          <w:rFonts w:hint="eastAsia" w:ascii="宋体" w:hAnsi="宋体"/>
          <w:b/>
          <w:color w:val="FF0000"/>
          <w:kern w:val="0"/>
          <w:szCs w:val="24"/>
        </w:rPr>
        <w:t>4</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9"/>
        <w:gridCol w:w="576"/>
        <w:gridCol w:w="576"/>
        <w:gridCol w:w="617"/>
        <w:gridCol w:w="617"/>
        <w:gridCol w:w="936"/>
        <w:gridCol w:w="732"/>
        <w:gridCol w:w="756"/>
        <w:gridCol w:w="806"/>
        <w:gridCol w:w="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Merge w:val="restart"/>
            <w:tcBorders>
              <w:top w:val="single" w:color="auto" w:sz="12"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highlight w:val="red"/>
              </w:rPr>
            </w:pPr>
            <w:r>
              <w:rPr>
                <w:rFonts w:ascii="宋体" w:hAnsi="宋体" w:eastAsia="微软雅黑"/>
                <w:kern w:val="0"/>
                <w:sz w:val="18"/>
                <w:szCs w:val="18"/>
              </w:rPr>
              <w:t>型号</w:t>
            </w:r>
          </w:p>
        </w:tc>
        <w:tc>
          <w:tcPr>
            <w:tcW w:w="0" w:type="auto"/>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公称</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宽度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B</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vMerge w:val="restart"/>
            <w:tcBorders>
              <w:top w:val="single" w:color="auto" w:sz="12"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公称</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高度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H</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sz w:val="18"/>
                <w:szCs w:val="18"/>
              </w:rPr>
            </w:pPr>
            <w:r>
              <w:rPr>
                <w:rFonts w:ascii="宋体" w:hAnsi="宋体" w:eastAsia="微软雅黑"/>
                <w:kern w:val="0"/>
                <w:sz w:val="18"/>
                <w:szCs w:val="18"/>
              </w:rPr>
              <w:t>厚度</w:t>
            </w:r>
          </w:p>
        </w:tc>
        <w:tc>
          <w:tcPr>
            <w:tcW w:w="0" w:type="auto"/>
            <w:vMerge w:val="restart"/>
            <w:tcBorders>
              <w:top w:val="single" w:color="auto" w:sz="12" w:space="0"/>
              <w:left w:val="single" w:color="auto" w:sz="6" w:space="0"/>
              <w:bottom w:val="single" w:color="auto" w:sz="6" w:space="0"/>
              <w:right w:val="single" w:color="auto" w:sz="4"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截面面积</w:t>
            </w:r>
          </w:p>
          <w:p>
            <w:pPr>
              <w:adjustRightInd w:val="0"/>
              <w:snapToGrid w:val="0"/>
              <w:spacing w:line="280" w:lineRule="exact"/>
              <w:jc w:val="center"/>
              <w:rPr>
                <w:rFonts w:ascii="Tahoma" w:hAnsi="Tahoma" w:eastAsia="微软雅黑"/>
                <w:kern w:val="0"/>
                <w:sz w:val="18"/>
                <w:szCs w:val="18"/>
              </w:rPr>
            </w:pPr>
            <w:r>
              <w:rPr>
                <w:rFonts w:ascii="Tahoma" w:hAnsi="Tahoma" w:eastAsia="微软雅黑"/>
                <w:i/>
                <w:kern w:val="0"/>
                <w:sz w:val="18"/>
                <w:szCs w:val="18"/>
              </w:rPr>
              <w:t>S</w:t>
            </w:r>
            <w:r>
              <w:rPr>
                <w:rFonts w:ascii="Tahoma" w:hAnsi="Tahoma" w:eastAsia="微软雅黑"/>
                <w:kern w:val="0"/>
                <w:sz w:val="18"/>
                <w:szCs w:val="18"/>
                <w:vertAlign w:val="subscript"/>
              </w:rPr>
              <w:t>a</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2</w:t>
            </w:r>
            <w:r>
              <w:rPr>
                <w:rFonts w:ascii="Tahoma" w:hAnsi="Tahoma" w:eastAsia="微软雅黑"/>
                <w:kern w:val="0"/>
                <w:sz w:val="18"/>
                <w:szCs w:val="18"/>
              </w:rPr>
              <w:t>/m</w:t>
            </w:r>
          </w:p>
        </w:tc>
        <w:tc>
          <w:tcPr>
            <w:tcW w:w="0" w:type="auto"/>
            <w:gridSpan w:val="2"/>
            <w:tcBorders>
              <w:top w:val="single" w:color="auto" w:sz="12" w:space="0"/>
              <w:left w:val="nil"/>
              <w:bottom w:val="nil"/>
              <w:right w:val="single" w:color="auto" w:sz="4" w:space="0"/>
            </w:tcBorders>
            <w:vAlign w:val="center"/>
          </w:tcPr>
          <w:p>
            <w:pPr>
              <w:adjustRightInd w:val="0"/>
              <w:snapToGrid w:val="0"/>
              <w:spacing w:line="280" w:lineRule="exact"/>
              <w:jc w:val="center"/>
              <w:rPr>
                <w:rFonts w:ascii="Tahoma" w:hAnsi="Tahoma" w:eastAsia="微软雅黑"/>
                <w:i/>
                <w:kern w:val="0"/>
                <w:sz w:val="18"/>
                <w:szCs w:val="18"/>
              </w:rPr>
            </w:pPr>
            <w:r>
              <w:rPr>
                <w:rFonts w:ascii="宋体" w:hAnsi="宋体" w:eastAsia="微软雅黑"/>
                <w:kern w:val="0"/>
                <w:sz w:val="18"/>
                <w:szCs w:val="18"/>
              </w:rPr>
              <w:t>重量</w:t>
            </w:r>
            <w:r>
              <w:rPr>
                <w:rFonts w:ascii="Tahoma" w:hAnsi="Tahoma" w:eastAsia="微软雅黑"/>
                <w:i/>
                <w:kern w:val="0"/>
                <w:sz w:val="18"/>
                <w:szCs w:val="18"/>
              </w:rPr>
              <w:t>W</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kg</w:t>
            </w:r>
          </w:p>
        </w:tc>
        <w:tc>
          <w:tcPr>
            <w:tcW w:w="0" w:type="auto"/>
            <w:vMerge w:val="restart"/>
            <w:tcBorders>
              <w:top w:val="single" w:color="auto" w:sz="12" w:space="0"/>
              <w:left w:val="nil"/>
              <w:bottom w:val="single" w:color="auto" w:sz="6" w:space="0"/>
              <w:right w:val="single" w:color="auto" w:sz="4"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惯性矩</w:t>
            </w:r>
          </w:p>
          <w:p>
            <w:pPr>
              <w:adjustRightInd w:val="0"/>
              <w:snapToGrid w:val="0"/>
              <w:spacing w:line="280" w:lineRule="exact"/>
              <w:jc w:val="center"/>
              <w:rPr>
                <w:rFonts w:ascii="Tahoma" w:hAnsi="Tahoma" w:eastAsia="微软雅黑"/>
                <w:kern w:val="0"/>
                <w:sz w:val="18"/>
                <w:szCs w:val="18"/>
              </w:rPr>
            </w:pPr>
            <w:r>
              <w:rPr>
                <w:rFonts w:ascii="Tahoma" w:hAnsi="Tahoma" w:eastAsia="微软雅黑"/>
                <w:i/>
                <w:kern w:val="0"/>
                <w:sz w:val="18"/>
                <w:szCs w:val="18"/>
              </w:rPr>
              <w:t>I</w:t>
            </w:r>
            <w:r>
              <w:rPr>
                <w:rFonts w:ascii="Tahoma" w:hAnsi="Tahoma" w:eastAsia="微软雅黑"/>
                <w:kern w:val="0"/>
                <w:sz w:val="18"/>
                <w:szCs w:val="18"/>
              </w:rPr>
              <w:t>x</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4</w:t>
            </w:r>
            <w:r>
              <w:rPr>
                <w:rFonts w:ascii="Tahoma" w:hAnsi="Tahoma" w:eastAsia="微软雅黑"/>
                <w:kern w:val="0"/>
                <w:sz w:val="18"/>
                <w:szCs w:val="18"/>
              </w:rPr>
              <w:t>/m</w:t>
            </w:r>
          </w:p>
        </w:tc>
        <w:tc>
          <w:tcPr>
            <w:tcW w:w="0" w:type="auto"/>
            <w:vMerge w:val="restart"/>
            <w:tcBorders>
              <w:top w:val="single" w:color="auto" w:sz="12" w:space="0"/>
              <w:left w:val="nil"/>
              <w:bottom w:val="single" w:color="auto" w:sz="6" w:space="0"/>
              <w:right w:val="single" w:color="auto" w:sz="12"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截面</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模量</w:t>
            </w:r>
          </w:p>
          <w:p>
            <w:pPr>
              <w:adjustRightInd w:val="0"/>
              <w:snapToGrid w:val="0"/>
              <w:spacing w:line="280" w:lineRule="exact"/>
              <w:jc w:val="center"/>
              <w:rPr>
                <w:rFonts w:ascii="Tahoma" w:hAnsi="Tahoma" w:eastAsia="微软雅黑"/>
                <w:kern w:val="0"/>
                <w:sz w:val="18"/>
                <w:szCs w:val="18"/>
              </w:rPr>
            </w:pPr>
            <w:r>
              <w:rPr>
                <w:rFonts w:ascii="Tahoma" w:hAnsi="Tahoma" w:eastAsia="微软雅黑"/>
                <w:i/>
                <w:kern w:val="0"/>
                <w:sz w:val="18"/>
                <w:szCs w:val="18"/>
              </w:rPr>
              <w:t>W</w:t>
            </w:r>
            <w:r>
              <w:rPr>
                <w:rFonts w:ascii="Tahoma" w:hAnsi="Tahoma" w:eastAsia="微软雅黑"/>
                <w:kern w:val="0"/>
                <w:sz w:val="18"/>
                <w:szCs w:val="18"/>
              </w:rPr>
              <w:t>x</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3</w:t>
            </w:r>
            <w:r>
              <w:rPr>
                <w:rFonts w:ascii="Tahoma" w:hAnsi="Tahoma" w:eastAsia="微软雅黑"/>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Merge w:val="continue"/>
            <w:tcBorders>
              <w:top w:val="single" w:color="auto" w:sz="12" w:space="0"/>
              <w:left w:val="single" w:color="auto" w:sz="12" w:space="0"/>
              <w:bottom w:val="single" w:color="auto" w:sz="6" w:space="0"/>
              <w:right w:val="single" w:color="auto" w:sz="6" w:space="0"/>
            </w:tcBorders>
            <w:vAlign w:val="center"/>
          </w:tcPr>
          <w:p>
            <w:pPr>
              <w:adjustRightInd w:val="0"/>
              <w:snapToGrid w:val="0"/>
              <w:spacing w:after="200"/>
              <w:jc w:val="left"/>
              <w:rPr>
                <w:rFonts w:ascii="Tahoma" w:hAnsi="Tahoma"/>
                <w:sz w:val="18"/>
                <w:szCs w:val="18"/>
                <w:highlight w:val="red"/>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adjustRightInd w:val="0"/>
              <w:snapToGrid w:val="0"/>
              <w:spacing w:after="200"/>
              <w:jc w:val="left"/>
              <w:rPr>
                <w:rFonts w:ascii="Tahoma" w:hAnsi="Tahoma"/>
                <w:sz w:val="18"/>
                <w:szCs w:val="18"/>
              </w:rPr>
            </w:pPr>
          </w:p>
        </w:tc>
        <w:tc>
          <w:tcPr>
            <w:tcW w:w="0" w:type="auto"/>
            <w:tcBorders>
              <w:top w:val="single" w:color="auto" w:sz="6" w:space="0"/>
              <w:left w:val="single" w:color="auto" w:sz="6" w:space="0"/>
              <w:bottom w:val="single" w:color="auto" w:sz="6" w:space="0"/>
              <w:right w:val="single" w:color="auto" w:sz="6" w:space="0"/>
            </w:tcBorders>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腹板</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厚度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t</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翼缘</w:t>
            </w:r>
          </w:p>
          <w:p>
            <w:pPr>
              <w:adjustRightInd w:val="0"/>
              <w:snapToGrid w:val="0"/>
              <w:spacing w:line="280" w:lineRule="exact"/>
              <w:jc w:val="center"/>
              <w:rPr>
                <w:rFonts w:ascii="Tahoma" w:hAnsi="Tahoma" w:eastAsia="微软雅黑"/>
                <w:kern w:val="0"/>
                <w:sz w:val="18"/>
                <w:szCs w:val="18"/>
              </w:rPr>
            </w:pPr>
            <w:r>
              <w:rPr>
                <w:rFonts w:ascii="宋体" w:hAnsi="宋体" w:eastAsia="微软雅黑"/>
                <w:kern w:val="0"/>
                <w:sz w:val="18"/>
                <w:szCs w:val="18"/>
              </w:rPr>
              <w:t>厚度</w:t>
            </w:r>
          </w:p>
          <w:p>
            <w:pPr>
              <w:adjustRightInd w:val="0"/>
              <w:snapToGrid w:val="0"/>
              <w:spacing w:line="280" w:lineRule="exact"/>
              <w:jc w:val="center"/>
              <w:rPr>
                <w:rFonts w:ascii="Tahoma" w:hAnsi="Tahoma" w:eastAsia="微软雅黑"/>
                <w:i/>
                <w:kern w:val="0"/>
                <w:sz w:val="18"/>
                <w:szCs w:val="18"/>
              </w:rPr>
            </w:pPr>
            <w:r>
              <w:rPr>
                <w:rFonts w:ascii="Tahoma" w:hAnsi="Tahoma" w:eastAsia="微软雅黑"/>
                <w:i/>
                <w:kern w:val="0"/>
                <w:sz w:val="18"/>
                <w:szCs w:val="18"/>
              </w:rPr>
              <w:t>s</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mm</w:t>
            </w:r>
          </w:p>
        </w:tc>
        <w:tc>
          <w:tcPr>
            <w:tcW w:w="0" w:type="auto"/>
            <w:vMerge w:val="continue"/>
            <w:tcBorders>
              <w:top w:val="single" w:color="auto" w:sz="12" w:space="0"/>
              <w:left w:val="single" w:color="auto" w:sz="6" w:space="0"/>
              <w:bottom w:val="single" w:color="auto" w:sz="6" w:space="0"/>
              <w:right w:val="single" w:color="auto" w:sz="4" w:space="0"/>
            </w:tcBorders>
            <w:vAlign w:val="center"/>
          </w:tcPr>
          <w:p>
            <w:pPr>
              <w:adjustRightInd w:val="0"/>
              <w:snapToGrid w:val="0"/>
              <w:spacing w:line="280" w:lineRule="exact"/>
              <w:jc w:val="left"/>
              <w:rPr>
                <w:rFonts w:ascii="Tahoma" w:hAnsi="Tahoma"/>
                <w:sz w:val="18"/>
                <w:szCs w:val="18"/>
              </w:rPr>
            </w:pPr>
          </w:p>
        </w:tc>
        <w:tc>
          <w:tcPr>
            <w:tcW w:w="0" w:type="auto"/>
            <w:tcBorders>
              <w:top w:val="single" w:color="auto" w:sz="6" w:space="0"/>
              <w:left w:val="nil"/>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单根</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kg/m</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line="280" w:lineRule="exact"/>
              <w:jc w:val="center"/>
              <w:rPr>
                <w:rFonts w:ascii="Tahoma" w:hAnsi="Tahoma" w:eastAsia="微软雅黑"/>
                <w:sz w:val="18"/>
                <w:szCs w:val="18"/>
              </w:rPr>
            </w:pPr>
            <w:r>
              <w:rPr>
                <w:rFonts w:ascii="宋体" w:hAnsi="宋体" w:eastAsia="微软雅黑"/>
                <w:kern w:val="0"/>
                <w:sz w:val="18"/>
                <w:szCs w:val="18"/>
              </w:rPr>
              <w:t>每延米</w:t>
            </w:r>
          </w:p>
          <w:p>
            <w:pPr>
              <w:adjustRightInd w:val="0"/>
              <w:snapToGrid w:val="0"/>
              <w:spacing w:line="280" w:lineRule="exact"/>
              <w:jc w:val="center"/>
              <w:rPr>
                <w:rFonts w:ascii="Tahoma" w:hAnsi="Tahoma"/>
                <w:sz w:val="18"/>
                <w:szCs w:val="18"/>
              </w:rPr>
            </w:pPr>
            <w:r>
              <w:rPr>
                <w:rFonts w:ascii="Tahoma" w:hAnsi="Tahoma" w:eastAsia="微软雅黑"/>
                <w:kern w:val="0"/>
                <w:sz w:val="18"/>
                <w:szCs w:val="18"/>
              </w:rPr>
              <w:t>kg/m</w:t>
            </w:r>
            <w:r>
              <w:rPr>
                <w:rFonts w:ascii="Tahoma" w:hAnsi="Tahoma" w:eastAsia="微软雅黑"/>
                <w:kern w:val="0"/>
                <w:sz w:val="18"/>
                <w:szCs w:val="18"/>
                <w:vertAlign w:val="superscript"/>
              </w:rPr>
              <w:t>2</w:t>
            </w:r>
          </w:p>
        </w:tc>
        <w:tc>
          <w:tcPr>
            <w:tcW w:w="0" w:type="auto"/>
            <w:vMerge w:val="continue"/>
            <w:tcBorders>
              <w:top w:val="single" w:color="auto" w:sz="12" w:space="0"/>
              <w:left w:val="nil"/>
              <w:bottom w:val="single" w:color="auto" w:sz="6" w:space="0"/>
              <w:right w:val="single" w:color="auto" w:sz="4" w:space="0"/>
            </w:tcBorders>
            <w:vAlign w:val="center"/>
          </w:tcPr>
          <w:p>
            <w:pPr>
              <w:adjustRightInd w:val="0"/>
              <w:snapToGrid w:val="0"/>
              <w:spacing w:after="200"/>
              <w:jc w:val="left"/>
              <w:rPr>
                <w:rFonts w:ascii="Tahoma" w:hAnsi="Tahoma"/>
                <w:sz w:val="18"/>
                <w:szCs w:val="18"/>
              </w:rPr>
            </w:pPr>
          </w:p>
        </w:tc>
        <w:tc>
          <w:tcPr>
            <w:tcW w:w="0" w:type="auto"/>
            <w:vMerge w:val="continue"/>
            <w:tcBorders>
              <w:top w:val="single" w:color="auto" w:sz="12" w:space="0"/>
              <w:left w:val="nil"/>
              <w:bottom w:val="single" w:color="auto" w:sz="6" w:space="0"/>
              <w:right w:val="single" w:color="auto" w:sz="12" w:space="0"/>
            </w:tcBorders>
            <w:vAlign w:val="center"/>
          </w:tcPr>
          <w:p>
            <w:pPr>
              <w:adjustRightInd w:val="0"/>
              <w:snapToGrid w:val="0"/>
              <w:spacing w:after="200"/>
              <w:jc w:val="left"/>
              <w:rPr>
                <w:rFonts w:ascii="Tahoma" w:hAnsi="Tahom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HRSP-U-1200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137.2</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64.6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107.7</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19220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HRSP-U-1200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9.8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9.0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140.0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66.1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110.1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21600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HRSP-U-1255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147.8</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69.6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116.0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22580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1255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HRSP-U-1260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151.0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71.0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118.3</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22660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b/>
                <w:sz w:val="18"/>
                <w:szCs w:val="18"/>
              </w:rPr>
            </w:pPr>
            <w:r>
              <w:rPr>
                <w:rFonts w:ascii="Tahoma" w:hAnsi="Tahoma" w:eastAsia="微软雅黑"/>
                <w:kern w:val="0"/>
                <w:sz w:val="18"/>
                <w:szCs w:val="18"/>
              </w:rPr>
              <w:t>HRSP-U-1800</w:t>
            </w:r>
            <w:r>
              <w:rPr>
                <w:rFonts w:hint="eastAsia" w:ascii="Tahoma" w:hAnsi="Tahoma" w:eastAsia="微软雅黑"/>
                <w:kern w:val="0"/>
                <w:sz w:val="18"/>
                <w:szCs w:val="18"/>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13.4</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kern w:val="0"/>
                <w:sz w:val="16"/>
                <w:szCs w:val="16"/>
              </w:rPr>
            </w:pPr>
            <w:r>
              <w:rPr>
                <w:rFonts w:ascii="Tahoma" w:hAnsi="Tahoma" w:eastAsia="微软雅黑"/>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173.2</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81.6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136.0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32400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tcBorders>
              <w:top w:val="single" w:color="auto" w:sz="6" w:space="0"/>
              <w:left w:val="single" w:color="auto" w:sz="12"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HRSP-U-1600</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190</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10</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kern w:val="0"/>
                <w:sz w:val="16"/>
                <w:szCs w:val="16"/>
              </w:rPr>
            </w:pPr>
            <w:r>
              <w:rPr>
                <w:rFonts w:ascii="Tahoma" w:hAnsi="Tahoma" w:eastAsia="微软雅黑"/>
                <w:kern w:val="0"/>
                <w:sz w:val="16"/>
                <w:szCs w:val="16"/>
              </w:rPr>
              <w:t>--</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156.1</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73.5</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122.6</w:t>
            </w:r>
          </w:p>
        </w:tc>
        <w:tc>
          <w:tcPr>
            <w:tcW w:w="0" w:type="auto"/>
            <w:tcBorders>
              <w:top w:val="single" w:color="auto" w:sz="6" w:space="0"/>
              <w:left w:val="single" w:color="auto" w:sz="6" w:space="0"/>
              <w:bottom w:val="nil"/>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30400</w:t>
            </w:r>
          </w:p>
        </w:tc>
        <w:tc>
          <w:tcPr>
            <w:tcW w:w="0" w:type="auto"/>
            <w:tcBorders>
              <w:top w:val="single" w:color="auto" w:sz="6" w:space="0"/>
              <w:left w:val="single" w:color="auto" w:sz="6" w:space="0"/>
              <w:bottom w:val="nil"/>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nil"/>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p>
        </w:tc>
        <w:tc>
          <w:tcPr>
            <w:tcW w:w="0" w:type="auto"/>
            <w:tcBorders>
              <w:top w:val="nil"/>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HRSP-U-1400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8.0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136.5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64.3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107.1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29410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HRSP-U-2020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12.5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kern w:val="0"/>
                <w:sz w:val="16"/>
                <w:szCs w:val="16"/>
              </w:rPr>
            </w:pPr>
            <w:r>
              <w:rPr>
                <w:rFonts w:ascii="Tahoma" w:hAnsi="Tahoma" w:eastAsia="微软雅黑"/>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177.5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83.6</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139.3</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42426</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HRSP-U-2700</w:t>
            </w:r>
            <w:r>
              <w:rPr>
                <w:rFonts w:hint="eastAsia" w:ascii="Tahoma" w:hAnsi="Tahoma" w:eastAsia="微软雅黑"/>
                <w:kern w:val="0"/>
                <w:sz w:val="18"/>
                <w:szCs w:val="18"/>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210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18.0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kern w:val="0"/>
                <w:sz w:val="16"/>
                <w:szCs w:val="16"/>
              </w:rPr>
            </w:pPr>
            <w:r>
              <w:rPr>
                <w:rFonts w:ascii="Tahoma" w:hAnsi="Tahoma" w:eastAsia="微软雅黑"/>
                <w:kern w:val="0"/>
                <w:sz w:val="16"/>
                <w:szCs w:val="16"/>
              </w:rPr>
              <w:t>--</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225.5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106.2</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177.0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56700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HRSP-U-1530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211</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11.0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8.6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145.9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68.7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114.5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32260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HRSP-U-1670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600</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215</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10.2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8.4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154.2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72.6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121.0 </w:t>
            </w:r>
          </w:p>
        </w:tc>
        <w:tc>
          <w:tcPr>
            <w:tcW w:w="0" w:type="auto"/>
            <w:tcBorders>
              <w:top w:val="single" w:color="auto" w:sz="6" w:space="0"/>
              <w:left w:val="single" w:color="auto" w:sz="6" w:space="0"/>
              <w:bottom w:val="single" w:color="auto" w:sz="6"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35950</w:t>
            </w:r>
          </w:p>
        </w:tc>
        <w:tc>
          <w:tcPr>
            <w:tcW w:w="0" w:type="auto"/>
            <w:tcBorders>
              <w:top w:val="single" w:color="auto" w:sz="6" w:space="0"/>
              <w:left w:val="single" w:color="auto" w:sz="6" w:space="0"/>
              <w:bottom w:val="single" w:color="auto" w:sz="6"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1670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HRSP-U-2500</w:t>
            </w:r>
            <w:r>
              <w:rPr>
                <w:rFonts w:hint="eastAsia" w:ascii="Tahoma" w:hAnsi="Tahoma" w:eastAsia="微软雅黑"/>
                <w:kern w:val="0"/>
                <w:sz w:val="18"/>
                <w:szCs w:val="18"/>
              </w:rPr>
              <w:t>*</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750</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225</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14.5 </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10.2 </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187.5 </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110.4 </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 xml:space="preserve">147.2 </w:t>
            </w:r>
          </w:p>
        </w:tc>
        <w:tc>
          <w:tcPr>
            <w:tcW w:w="0" w:type="auto"/>
            <w:tcBorders>
              <w:top w:val="single" w:color="auto" w:sz="6" w:space="0"/>
              <w:left w:val="single" w:color="auto" w:sz="6" w:space="0"/>
              <w:bottom w:val="single" w:color="auto" w:sz="12" w:space="0"/>
              <w:right w:val="single" w:color="auto" w:sz="6"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56240</w:t>
            </w:r>
          </w:p>
        </w:tc>
        <w:tc>
          <w:tcPr>
            <w:tcW w:w="0" w:type="auto"/>
            <w:tcBorders>
              <w:top w:val="single" w:color="auto" w:sz="6" w:space="0"/>
              <w:left w:val="single" w:color="auto" w:sz="6" w:space="0"/>
              <w:bottom w:val="single" w:color="auto" w:sz="12" w:space="0"/>
              <w:right w:val="single" w:color="auto" w:sz="12" w:space="0"/>
            </w:tcBorders>
            <w:vAlign w:val="center"/>
          </w:tcPr>
          <w:p>
            <w:pPr>
              <w:adjustRightInd w:val="0"/>
              <w:snapToGrid w:val="0"/>
              <w:spacing w:after="200"/>
              <w:jc w:val="center"/>
              <w:rPr>
                <w:rFonts w:ascii="Tahoma" w:hAnsi="Tahoma"/>
                <w:sz w:val="18"/>
                <w:szCs w:val="18"/>
              </w:rPr>
            </w:pPr>
            <w:r>
              <w:rPr>
                <w:rFonts w:ascii="Tahoma" w:hAnsi="Tahoma" w:eastAsia="微软雅黑"/>
                <w:kern w:val="0"/>
                <w:sz w:val="18"/>
                <w:szCs w:val="18"/>
              </w:rPr>
              <w:t>2500</w:t>
            </w:r>
          </w:p>
        </w:tc>
      </w:tr>
    </w:tbl>
    <w:p>
      <w:pPr>
        <w:adjustRightInd w:val="0"/>
        <w:snapToGrid w:val="0"/>
        <w:spacing w:after="200" w:line="300" w:lineRule="auto"/>
        <w:ind w:firstLine="880"/>
        <w:jc w:val="left"/>
        <w:rPr>
          <w:rFonts w:ascii="宋体" w:hAnsi="宋体" w:eastAsia="微软雅黑"/>
          <w:kern w:val="0"/>
          <w:sz w:val="22"/>
        </w:rPr>
      </w:pPr>
      <w:r>
        <w:rPr>
          <w:rFonts w:hint="eastAsia" w:ascii="宋体" w:hAnsi="宋体" w:eastAsia="微软雅黑"/>
          <w:kern w:val="0"/>
          <w:sz w:val="22"/>
        </w:rPr>
        <w:t>注：型号带“*”号为推荐常用规格。</w:t>
      </w:r>
    </w:p>
    <w:p>
      <w:pPr>
        <w:adjustRightInd w:val="0"/>
        <w:snapToGrid w:val="0"/>
        <w:spacing w:after="200" w:line="300" w:lineRule="auto"/>
        <w:jc w:val="left"/>
        <w:rPr>
          <w:rFonts w:ascii="宋体" w:hAnsi="宋体" w:eastAsia="微软雅黑"/>
          <w:kern w:val="0"/>
          <w:sz w:val="22"/>
        </w:rPr>
      </w:pPr>
      <w:r>
        <w:rPr>
          <w:rFonts w:hint="eastAsia" w:ascii="Times New Roman" w:hAnsi="Times New Roman" w:cs="宋体"/>
          <w:b/>
          <w:bCs/>
          <w:szCs w:val="24"/>
          <w:lang w:bidi="ar"/>
        </w:rPr>
        <w:t>G.0.5</w:t>
      </w:r>
      <w:r>
        <w:rPr>
          <w:rFonts w:hint="eastAsia" w:ascii="宋体" w:hAnsi="宋体" w:eastAsia="微软雅黑"/>
          <w:kern w:val="0"/>
          <w:sz w:val="22"/>
        </w:rPr>
        <w:t xml:space="preserve"> 热轧Z型钢板桩外形见图G.0.5。</w:t>
      </w:r>
    </w:p>
    <w:p>
      <w:pPr>
        <w:adjustRightInd w:val="0"/>
        <w:snapToGrid w:val="0"/>
        <w:spacing w:after="200" w:line="300" w:lineRule="auto"/>
        <w:jc w:val="left"/>
        <w:rPr>
          <w:rFonts w:ascii="宋体" w:hAnsi="宋体" w:eastAsia="微软雅黑"/>
          <w:kern w:val="0"/>
          <w:sz w:val="22"/>
        </w:rPr>
      </w:pPr>
    </w:p>
    <w:p>
      <w:pPr>
        <w:adjustRightInd w:val="0"/>
        <w:snapToGrid w:val="0"/>
        <w:spacing w:after="200" w:line="300" w:lineRule="auto"/>
        <w:jc w:val="center"/>
        <w:rPr>
          <w:rFonts w:eastAsia="微软雅黑"/>
          <w:kern w:val="0"/>
          <w:sz w:val="22"/>
        </w:rPr>
      </w:pPr>
      <w:r>
        <w:rPr>
          <w:rFonts w:ascii="Tahoma" w:hAnsi="Tahoma" w:eastAsia="微软雅黑"/>
          <w:kern w:val="0"/>
          <w:sz w:val="22"/>
        </w:rPr>
        <w:drawing>
          <wp:inline distT="0" distB="0" distL="0" distR="0">
            <wp:extent cx="4130040" cy="1135380"/>
            <wp:effectExtent l="0" t="0" r="0" b="7620"/>
            <wp:docPr id="200" name="图片 200" descr="说明: C:\Users\ADMINI~1\AppData\Local\Temp\ksohtml20044\wps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0" name="图片 200" descr="说明: C:\Users\ADMINI~1\AppData\Local\Temp\ksohtml20044\wps2.png"/>
                    <pic:cNvPicPr>
                      <a:picLocks noChangeAspect="true" noChangeArrowheads="true"/>
                    </pic:cNvPicPr>
                  </pic:nvPicPr>
                  <pic:blipFill>
                    <a:blip r:embed="rId825">
                      <a:extLst>
                        <a:ext uri="{28A0092B-C50C-407E-A947-70E740481C1C}">
                          <a14:useLocalDpi xmlns:a14="http://schemas.microsoft.com/office/drawing/2010/main" val="false"/>
                        </a:ext>
                      </a:extLst>
                    </a:blip>
                    <a:srcRect/>
                    <a:stretch>
                      <a:fillRect/>
                    </a:stretch>
                  </pic:blipFill>
                  <pic:spPr>
                    <a:xfrm>
                      <a:off x="0" y="0"/>
                      <a:ext cx="4130040" cy="1135380"/>
                    </a:xfrm>
                    <a:prstGeom prst="rect">
                      <a:avLst/>
                    </a:prstGeom>
                    <a:noFill/>
                    <a:ln>
                      <a:noFill/>
                    </a:ln>
                  </pic:spPr>
                </pic:pic>
              </a:graphicData>
            </a:graphic>
          </wp:inline>
        </w:drawing>
      </w:r>
    </w:p>
    <w:p>
      <w:pPr>
        <w:adjustRightInd w:val="0"/>
        <w:snapToGrid w:val="0"/>
        <w:spacing w:after="200" w:line="300" w:lineRule="auto"/>
        <w:jc w:val="center"/>
        <w:rPr>
          <w:rFonts w:ascii="Tahoma" w:hAnsi="Tahoma" w:eastAsia="微软雅黑"/>
          <w:b/>
          <w:kern w:val="0"/>
          <w:sz w:val="18"/>
          <w:szCs w:val="18"/>
        </w:rPr>
      </w:pPr>
      <w:r>
        <w:rPr>
          <w:rFonts w:hint="eastAsia" w:ascii="宋体" w:hAnsi="宋体" w:eastAsia="微软雅黑"/>
          <w:kern w:val="0"/>
          <w:sz w:val="22"/>
        </w:rPr>
        <w:t>图G.0.5  热轧Z型钢板桩外形</w:t>
      </w:r>
    </w:p>
    <w:p>
      <w:pPr>
        <w:adjustRightInd w:val="0"/>
        <w:snapToGrid w:val="0"/>
        <w:spacing w:after="200" w:line="300" w:lineRule="auto"/>
        <w:jc w:val="left"/>
        <w:rPr>
          <w:rFonts w:ascii="宋体" w:hAnsi="宋体" w:eastAsia="微软雅黑"/>
          <w:kern w:val="0"/>
          <w:sz w:val="22"/>
        </w:rPr>
      </w:pPr>
      <w:r>
        <w:rPr>
          <w:rFonts w:hint="eastAsia" w:ascii="Times New Roman" w:hAnsi="Times New Roman" w:cs="宋体"/>
          <w:b/>
          <w:bCs/>
          <w:szCs w:val="24"/>
          <w:lang w:bidi="ar"/>
        </w:rPr>
        <w:t>G.0.6</w:t>
      </w:r>
      <w:r>
        <w:rPr>
          <w:rFonts w:hint="eastAsia" w:ascii="宋体" w:hAnsi="宋体" w:eastAsia="微软雅黑"/>
          <w:kern w:val="0"/>
          <w:sz w:val="22"/>
        </w:rPr>
        <w:t xml:space="preserve"> 热轧Z型钢板桩参数见表</w:t>
      </w:r>
      <w:r>
        <w:rPr>
          <w:rFonts w:hint="eastAsia" w:ascii="Times New Roman" w:hAnsi="Times New Roman" w:cs="宋体"/>
          <w:b/>
          <w:bCs/>
          <w:szCs w:val="24"/>
          <w:lang w:bidi="ar"/>
        </w:rPr>
        <w:t>G.0.6</w:t>
      </w:r>
      <w:r>
        <w:rPr>
          <w:rFonts w:hint="eastAsia" w:ascii="宋体" w:hAnsi="宋体" w:eastAsia="微软雅黑"/>
          <w:kern w:val="0"/>
          <w:sz w:val="22"/>
        </w:rPr>
        <w:t>。</w:t>
      </w:r>
    </w:p>
    <w:p>
      <w:pPr>
        <w:adjustRightInd w:val="0"/>
        <w:snapToGrid w:val="0"/>
        <w:spacing w:after="200" w:line="300" w:lineRule="auto"/>
        <w:jc w:val="center"/>
        <w:rPr>
          <w:rFonts w:ascii="宋体" w:hAnsi="宋体" w:eastAsia="微软雅黑"/>
          <w:kern w:val="0"/>
          <w:sz w:val="22"/>
        </w:rPr>
      </w:pPr>
      <w:r>
        <w:rPr>
          <w:rFonts w:hint="eastAsia" w:ascii="宋体" w:hAnsi="宋体" w:eastAsia="微软雅黑"/>
          <w:kern w:val="0"/>
          <w:sz w:val="22"/>
        </w:rPr>
        <w:t>表G.0.6  热轧Z型钢板桩参数</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1"/>
        <w:gridCol w:w="936"/>
        <w:gridCol w:w="936"/>
        <w:gridCol w:w="618"/>
        <w:gridCol w:w="618"/>
        <w:gridCol w:w="936"/>
        <w:gridCol w:w="732"/>
        <w:gridCol w:w="756"/>
        <w:gridCol w:w="806"/>
        <w:gridCol w:w="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288" w:type="dxa"/>
            <w:vMerge w:val="restart"/>
            <w:vAlign w:val="center"/>
          </w:tcPr>
          <w:p>
            <w:pPr>
              <w:adjustRightInd w:val="0"/>
              <w:snapToGrid w:val="0"/>
              <w:spacing w:after="200"/>
              <w:jc w:val="center"/>
              <w:rPr>
                <w:rFonts w:ascii="Tahoma" w:hAnsi="Tahoma"/>
                <w:sz w:val="18"/>
                <w:szCs w:val="18"/>
              </w:rPr>
            </w:pPr>
            <w:r>
              <w:rPr>
                <w:rFonts w:ascii="宋体" w:hAnsi="宋体" w:eastAsia="微软雅黑"/>
                <w:kern w:val="0"/>
                <w:sz w:val="18"/>
                <w:szCs w:val="18"/>
              </w:rPr>
              <w:t>型号</w:t>
            </w:r>
          </w:p>
        </w:tc>
        <w:tc>
          <w:tcPr>
            <w:tcW w:w="936" w:type="dxa"/>
            <w:vMerge w:val="restart"/>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公称宽度</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B</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936" w:type="dxa"/>
            <w:vMerge w:val="restart"/>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公称高度</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H</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1236" w:type="dxa"/>
            <w:gridSpan w:val="2"/>
            <w:vAlign w:val="center"/>
          </w:tcPr>
          <w:p>
            <w:pPr>
              <w:adjustRightInd w:val="0"/>
              <w:snapToGrid w:val="0"/>
              <w:jc w:val="center"/>
              <w:rPr>
                <w:rFonts w:ascii="Tahoma" w:hAnsi="Tahoma"/>
                <w:sz w:val="18"/>
                <w:szCs w:val="18"/>
              </w:rPr>
            </w:pPr>
            <w:r>
              <w:rPr>
                <w:rFonts w:ascii="宋体" w:hAnsi="宋体" w:eastAsia="微软雅黑"/>
                <w:kern w:val="0"/>
                <w:sz w:val="18"/>
                <w:szCs w:val="18"/>
              </w:rPr>
              <w:t>厚度</w:t>
            </w:r>
          </w:p>
        </w:tc>
        <w:tc>
          <w:tcPr>
            <w:tcW w:w="936" w:type="dxa"/>
            <w:vMerge w:val="restart"/>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截面面积</w:t>
            </w:r>
          </w:p>
          <w:p>
            <w:pPr>
              <w:adjustRightInd w:val="0"/>
              <w:snapToGrid w:val="0"/>
              <w:jc w:val="center"/>
              <w:rPr>
                <w:rFonts w:ascii="Tahoma" w:hAnsi="Tahoma" w:eastAsia="微软雅黑"/>
                <w:kern w:val="0"/>
                <w:sz w:val="18"/>
                <w:szCs w:val="18"/>
              </w:rPr>
            </w:pPr>
            <w:r>
              <w:rPr>
                <w:rFonts w:ascii="Tahoma" w:hAnsi="Tahoma" w:eastAsia="微软雅黑"/>
                <w:i/>
                <w:kern w:val="0"/>
                <w:sz w:val="18"/>
                <w:szCs w:val="18"/>
              </w:rPr>
              <w:t>S</w:t>
            </w:r>
            <w:r>
              <w:rPr>
                <w:rFonts w:ascii="Tahoma" w:hAnsi="Tahoma" w:eastAsia="微软雅黑"/>
                <w:kern w:val="0"/>
                <w:sz w:val="18"/>
                <w:szCs w:val="18"/>
                <w:vertAlign w:val="subscript"/>
              </w:rPr>
              <w:t>a</w:t>
            </w:r>
          </w:p>
          <w:p>
            <w:pPr>
              <w:adjustRightInd w:val="0"/>
              <w:snapToGrid w:val="0"/>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2</w:t>
            </w:r>
            <w:r>
              <w:rPr>
                <w:rFonts w:ascii="Tahoma" w:hAnsi="Tahoma" w:eastAsia="微软雅黑"/>
                <w:kern w:val="0"/>
                <w:sz w:val="18"/>
                <w:szCs w:val="18"/>
              </w:rPr>
              <w:t>/m</w:t>
            </w:r>
          </w:p>
        </w:tc>
        <w:tc>
          <w:tcPr>
            <w:tcW w:w="1473" w:type="dxa"/>
            <w:gridSpan w:val="2"/>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重量</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W</w:t>
            </w:r>
          </w:p>
          <w:p>
            <w:pPr>
              <w:adjustRightInd w:val="0"/>
              <w:snapToGrid w:val="0"/>
              <w:jc w:val="center"/>
              <w:rPr>
                <w:rFonts w:ascii="Tahoma" w:hAnsi="Tahoma"/>
                <w:sz w:val="18"/>
                <w:szCs w:val="18"/>
              </w:rPr>
            </w:pPr>
            <w:r>
              <w:rPr>
                <w:rFonts w:ascii="Tahoma" w:hAnsi="Tahoma" w:eastAsia="微软雅黑"/>
                <w:kern w:val="0"/>
                <w:sz w:val="18"/>
                <w:szCs w:val="18"/>
              </w:rPr>
              <w:t>kg</w:t>
            </w:r>
          </w:p>
        </w:tc>
        <w:tc>
          <w:tcPr>
            <w:tcW w:w="806" w:type="dxa"/>
            <w:vMerge w:val="restart"/>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惯性矩</w:t>
            </w:r>
          </w:p>
          <w:p>
            <w:pPr>
              <w:adjustRightInd w:val="0"/>
              <w:snapToGrid w:val="0"/>
              <w:jc w:val="center"/>
              <w:rPr>
                <w:rFonts w:ascii="Tahoma" w:hAnsi="Tahoma" w:eastAsia="微软雅黑"/>
                <w:kern w:val="0"/>
                <w:sz w:val="18"/>
                <w:szCs w:val="18"/>
              </w:rPr>
            </w:pPr>
            <w:r>
              <w:rPr>
                <w:rFonts w:ascii="Tahoma" w:hAnsi="Tahoma" w:eastAsia="微软雅黑"/>
                <w:i/>
                <w:kern w:val="0"/>
                <w:sz w:val="18"/>
                <w:szCs w:val="18"/>
              </w:rPr>
              <w:t>I</w:t>
            </w:r>
            <w:r>
              <w:rPr>
                <w:rFonts w:ascii="Tahoma" w:hAnsi="Tahoma" w:eastAsia="微软雅黑"/>
                <w:kern w:val="0"/>
                <w:sz w:val="18"/>
                <w:szCs w:val="18"/>
                <w:vertAlign w:val="subscript"/>
              </w:rPr>
              <w:t>x</w:t>
            </w:r>
          </w:p>
          <w:p>
            <w:pPr>
              <w:adjustRightInd w:val="0"/>
              <w:snapToGrid w:val="0"/>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4</w:t>
            </w:r>
            <w:r>
              <w:rPr>
                <w:rFonts w:ascii="Tahoma" w:hAnsi="Tahoma" w:eastAsia="微软雅黑"/>
                <w:kern w:val="0"/>
                <w:sz w:val="18"/>
                <w:szCs w:val="18"/>
              </w:rPr>
              <w:t>/m</w:t>
            </w:r>
          </w:p>
        </w:tc>
        <w:tc>
          <w:tcPr>
            <w:tcW w:w="736" w:type="dxa"/>
            <w:vMerge w:val="restart"/>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截面</w:t>
            </w:r>
          </w:p>
          <w:p>
            <w:pPr>
              <w:adjustRightInd w:val="0"/>
              <w:snapToGrid w:val="0"/>
              <w:jc w:val="center"/>
              <w:rPr>
                <w:rFonts w:ascii="Tahoma" w:hAnsi="Tahoma" w:eastAsia="微软雅黑"/>
                <w:kern w:val="0"/>
                <w:sz w:val="18"/>
                <w:szCs w:val="18"/>
              </w:rPr>
            </w:pPr>
            <w:r>
              <w:rPr>
                <w:rFonts w:ascii="宋体" w:hAnsi="宋体" w:eastAsia="微软雅黑"/>
                <w:kern w:val="0"/>
                <w:sz w:val="18"/>
                <w:szCs w:val="18"/>
              </w:rPr>
              <w:t>模量</w:t>
            </w:r>
          </w:p>
          <w:p>
            <w:pPr>
              <w:adjustRightInd w:val="0"/>
              <w:snapToGrid w:val="0"/>
              <w:jc w:val="center"/>
              <w:rPr>
                <w:rFonts w:ascii="Tahoma" w:hAnsi="Tahoma" w:eastAsia="微软雅黑"/>
                <w:kern w:val="0"/>
                <w:sz w:val="18"/>
                <w:szCs w:val="18"/>
              </w:rPr>
            </w:pPr>
            <w:r>
              <w:rPr>
                <w:rFonts w:ascii="Tahoma" w:hAnsi="Tahoma" w:eastAsia="微软雅黑"/>
                <w:i/>
                <w:kern w:val="0"/>
                <w:sz w:val="18"/>
                <w:szCs w:val="18"/>
              </w:rPr>
              <w:t>W</w:t>
            </w:r>
            <w:r>
              <w:rPr>
                <w:rFonts w:ascii="Tahoma" w:hAnsi="Tahoma" w:eastAsia="微软雅黑"/>
                <w:kern w:val="0"/>
                <w:sz w:val="18"/>
                <w:szCs w:val="18"/>
                <w:vertAlign w:val="subscript"/>
              </w:rPr>
              <w:t>x</w:t>
            </w:r>
          </w:p>
          <w:p>
            <w:pPr>
              <w:adjustRightInd w:val="0"/>
              <w:snapToGrid w:val="0"/>
              <w:jc w:val="center"/>
              <w:rPr>
                <w:rFonts w:ascii="Tahoma" w:hAnsi="Tahoma"/>
                <w:sz w:val="18"/>
                <w:szCs w:val="18"/>
              </w:rPr>
            </w:pPr>
            <w:r>
              <w:rPr>
                <w:rFonts w:ascii="Tahoma" w:hAnsi="Tahoma" w:eastAsia="微软雅黑"/>
                <w:kern w:val="0"/>
                <w:sz w:val="18"/>
                <w:szCs w:val="18"/>
              </w:rPr>
              <w:t>cm</w:t>
            </w:r>
            <w:r>
              <w:rPr>
                <w:rFonts w:ascii="Tahoma" w:hAnsi="Tahoma" w:eastAsia="微软雅黑"/>
                <w:kern w:val="0"/>
                <w:sz w:val="18"/>
                <w:szCs w:val="18"/>
                <w:vertAlign w:val="superscript"/>
              </w:rPr>
              <w:t>3</w:t>
            </w:r>
            <w:r>
              <w:rPr>
                <w:rFonts w:ascii="Tahoma" w:hAnsi="Tahoma" w:eastAsia="微软雅黑"/>
                <w:kern w:val="0"/>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7" w:hRule="atLeast"/>
          <w:jc w:val="center"/>
        </w:trPr>
        <w:tc>
          <w:tcPr>
            <w:tcW w:w="1288" w:type="dxa"/>
            <w:vMerge w:val="continue"/>
            <w:vAlign w:val="center"/>
          </w:tcPr>
          <w:p>
            <w:pPr>
              <w:adjustRightInd w:val="0"/>
              <w:snapToGrid w:val="0"/>
              <w:spacing w:after="200"/>
              <w:jc w:val="left"/>
              <w:rPr>
                <w:rFonts w:ascii="Tahoma" w:hAnsi="Tahoma" w:eastAsia="微软雅黑"/>
                <w:kern w:val="0"/>
                <w:sz w:val="22"/>
              </w:rPr>
            </w:pPr>
          </w:p>
        </w:tc>
        <w:tc>
          <w:tcPr>
            <w:tcW w:w="936" w:type="dxa"/>
            <w:vMerge w:val="continue"/>
            <w:vAlign w:val="center"/>
          </w:tcPr>
          <w:p>
            <w:pPr>
              <w:adjustRightInd w:val="0"/>
              <w:snapToGrid w:val="0"/>
              <w:spacing w:after="200"/>
              <w:jc w:val="left"/>
              <w:rPr>
                <w:rFonts w:ascii="Tahoma" w:hAnsi="Tahoma" w:eastAsia="微软雅黑"/>
                <w:kern w:val="0"/>
                <w:sz w:val="22"/>
              </w:rPr>
            </w:pPr>
          </w:p>
        </w:tc>
        <w:tc>
          <w:tcPr>
            <w:tcW w:w="936" w:type="dxa"/>
            <w:vMerge w:val="continue"/>
            <w:vAlign w:val="center"/>
          </w:tcPr>
          <w:p>
            <w:pPr>
              <w:adjustRightInd w:val="0"/>
              <w:snapToGrid w:val="0"/>
              <w:spacing w:after="200"/>
              <w:jc w:val="left"/>
              <w:rPr>
                <w:rFonts w:ascii="Tahoma" w:hAnsi="Tahoma" w:eastAsia="微软雅黑"/>
                <w:kern w:val="0"/>
                <w:sz w:val="22"/>
              </w:rPr>
            </w:pPr>
          </w:p>
        </w:tc>
        <w:tc>
          <w:tcPr>
            <w:tcW w:w="618" w:type="dxa"/>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腹板</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t</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618" w:type="dxa"/>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翼缘</w:t>
            </w:r>
          </w:p>
          <w:p>
            <w:pPr>
              <w:adjustRightInd w:val="0"/>
              <w:snapToGrid w:val="0"/>
              <w:jc w:val="center"/>
              <w:rPr>
                <w:rFonts w:ascii="Tahoma" w:hAnsi="Tahoma" w:eastAsia="微软雅黑"/>
                <w:i/>
                <w:kern w:val="0"/>
                <w:sz w:val="18"/>
                <w:szCs w:val="18"/>
              </w:rPr>
            </w:pPr>
            <w:r>
              <w:rPr>
                <w:rFonts w:ascii="Tahoma" w:hAnsi="Tahoma" w:eastAsia="微软雅黑"/>
                <w:i/>
                <w:kern w:val="0"/>
                <w:sz w:val="18"/>
                <w:szCs w:val="18"/>
              </w:rPr>
              <w:t>s</w:t>
            </w:r>
          </w:p>
          <w:p>
            <w:pPr>
              <w:adjustRightInd w:val="0"/>
              <w:snapToGrid w:val="0"/>
              <w:jc w:val="center"/>
              <w:rPr>
                <w:rFonts w:ascii="Tahoma" w:hAnsi="Tahoma"/>
                <w:sz w:val="18"/>
                <w:szCs w:val="18"/>
              </w:rPr>
            </w:pPr>
            <w:r>
              <w:rPr>
                <w:rFonts w:ascii="Tahoma" w:hAnsi="Tahoma" w:eastAsia="微软雅黑"/>
                <w:kern w:val="0"/>
                <w:sz w:val="18"/>
                <w:szCs w:val="18"/>
              </w:rPr>
              <w:t>mm</w:t>
            </w:r>
          </w:p>
        </w:tc>
        <w:tc>
          <w:tcPr>
            <w:tcW w:w="936" w:type="dxa"/>
            <w:vMerge w:val="continue"/>
            <w:vAlign w:val="center"/>
          </w:tcPr>
          <w:p>
            <w:pPr>
              <w:adjustRightInd w:val="0"/>
              <w:snapToGrid w:val="0"/>
              <w:jc w:val="left"/>
              <w:rPr>
                <w:rFonts w:ascii="Tahoma" w:hAnsi="Tahoma" w:eastAsia="微软雅黑"/>
                <w:kern w:val="0"/>
                <w:sz w:val="22"/>
              </w:rPr>
            </w:pPr>
          </w:p>
        </w:tc>
        <w:tc>
          <w:tcPr>
            <w:tcW w:w="717" w:type="dxa"/>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单根</w:t>
            </w:r>
          </w:p>
          <w:p>
            <w:pPr>
              <w:adjustRightInd w:val="0"/>
              <w:snapToGrid w:val="0"/>
              <w:jc w:val="center"/>
              <w:rPr>
                <w:rFonts w:ascii="Tahoma" w:hAnsi="Tahoma"/>
                <w:sz w:val="18"/>
                <w:szCs w:val="18"/>
              </w:rPr>
            </w:pPr>
            <w:r>
              <w:rPr>
                <w:rFonts w:ascii="Tahoma" w:hAnsi="Tahoma" w:eastAsia="微软雅黑"/>
                <w:kern w:val="0"/>
                <w:sz w:val="18"/>
                <w:szCs w:val="18"/>
              </w:rPr>
              <w:t>kg/m</w:t>
            </w:r>
          </w:p>
        </w:tc>
        <w:tc>
          <w:tcPr>
            <w:tcW w:w="756" w:type="dxa"/>
            <w:vAlign w:val="center"/>
          </w:tcPr>
          <w:p>
            <w:pPr>
              <w:adjustRightInd w:val="0"/>
              <w:snapToGrid w:val="0"/>
              <w:jc w:val="center"/>
              <w:rPr>
                <w:rFonts w:ascii="Tahoma" w:hAnsi="Tahoma" w:eastAsia="微软雅黑"/>
                <w:sz w:val="18"/>
                <w:szCs w:val="18"/>
              </w:rPr>
            </w:pPr>
            <w:r>
              <w:rPr>
                <w:rFonts w:ascii="宋体" w:hAnsi="宋体" w:eastAsia="微软雅黑"/>
                <w:kern w:val="0"/>
                <w:sz w:val="18"/>
                <w:szCs w:val="18"/>
              </w:rPr>
              <w:t>每延米</w:t>
            </w:r>
          </w:p>
          <w:p>
            <w:pPr>
              <w:adjustRightInd w:val="0"/>
              <w:snapToGrid w:val="0"/>
              <w:jc w:val="center"/>
              <w:rPr>
                <w:rFonts w:ascii="Tahoma" w:hAnsi="Tahoma"/>
                <w:sz w:val="18"/>
                <w:szCs w:val="18"/>
              </w:rPr>
            </w:pPr>
            <w:r>
              <w:rPr>
                <w:rFonts w:ascii="Tahoma" w:hAnsi="Tahoma" w:eastAsia="微软雅黑"/>
                <w:kern w:val="0"/>
                <w:sz w:val="18"/>
                <w:szCs w:val="18"/>
              </w:rPr>
              <w:t>kg/m</w:t>
            </w:r>
            <w:r>
              <w:rPr>
                <w:rFonts w:ascii="Tahoma" w:hAnsi="Tahoma" w:eastAsia="微软雅黑"/>
                <w:kern w:val="0"/>
                <w:sz w:val="18"/>
                <w:szCs w:val="18"/>
                <w:vertAlign w:val="superscript"/>
              </w:rPr>
              <w:t>2</w:t>
            </w:r>
          </w:p>
        </w:tc>
        <w:tc>
          <w:tcPr>
            <w:tcW w:w="806" w:type="dxa"/>
            <w:vMerge w:val="continue"/>
            <w:vAlign w:val="center"/>
          </w:tcPr>
          <w:p>
            <w:pPr>
              <w:adjustRightInd w:val="0"/>
              <w:snapToGrid w:val="0"/>
              <w:spacing w:after="200"/>
              <w:jc w:val="left"/>
              <w:rPr>
                <w:rFonts w:ascii="Tahoma" w:hAnsi="Tahoma" w:eastAsia="微软雅黑"/>
                <w:kern w:val="0"/>
                <w:sz w:val="22"/>
              </w:rPr>
            </w:pPr>
          </w:p>
        </w:tc>
        <w:tc>
          <w:tcPr>
            <w:tcW w:w="736" w:type="dxa"/>
            <w:vMerge w:val="continue"/>
            <w:vAlign w:val="center"/>
          </w:tcPr>
          <w:p>
            <w:pPr>
              <w:adjustRightInd w:val="0"/>
              <w:snapToGrid w:val="0"/>
              <w:spacing w:after="200"/>
              <w:jc w:val="left"/>
              <w:rPr>
                <w:rFonts w:ascii="Tahoma" w:hAnsi="Tahoma" w:eastAsia="微软雅黑"/>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HRSP-Z-1800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700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420</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9.0 </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9.0 </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139.2 </w:t>
            </w:r>
          </w:p>
        </w:tc>
        <w:tc>
          <w:tcPr>
            <w:tcW w:w="717"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76.5 </w:t>
            </w:r>
          </w:p>
        </w:tc>
        <w:tc>
          <w:tcPr>
            <w:tcW w:w="75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109.3 </w:t>
            </w:r>
          </w:p>
        </w:tc>
        <w:tc>
          <w:tcPr>
            <w:tcW w:w="80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37800</w:t>
            </w:r>
          </w:p>
        </w:tc>
        <w:tc>
          <w:tcPr>
            <w:tcW w:w="7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HRSP-Z-2015</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700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422</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10.6</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10.5</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158.0</w:t>
            </w:r>
          </w:p>
        </w:tc>
        <w:tc>
          <w:tcPr>
            <w:tcW w:w="717"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86.8</w:t>
            </w:r>
          </w:p>
        </w:tc>
        <w:tc>
          <w:tcPr>
            <w:tcW w:w="75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124.0</w:t>
            </w:r>
          </w:p>
        </w:tc>
        <w:tc>
          <w:tcPr>
            <w:tcW w:w="80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42470</w:t>
            </w:r>
          </w:p>
        </w:tc>
        <w:tc>
          <w:tcPr>
            <w:tcW w:w="7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2015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HRSP-Z-2600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700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460</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12.3</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12.2</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187.4</w:t>
            </w:r>
          </w:p>
        </w:tc>
        <w:tc>
          <w:tcPr>
            <w:tcW w:w="717"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103.0</w:t>
            </w:r>
          </w:p>
        </w:tc>
        <w:tc>
          <w:tcPr>
            <w:tcW w:w="75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147.1</w:t>
            </w:r>
          </w:p>
        </w:tc>
        <w:tc>
          <w:tcPr>
            <w:tcW w:w="80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59840</w:t>
            </w:r>
          </w:p>
        </w:tc>
        <w:tc>
          <w:tcPr>
            <w:tcW w:w="7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HRSP-Z-2760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700</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461</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13.2 </w:t>
            </w:r>
          </w:p>
        </w:tc>
        <w:tc>
          <w:tcPr>
            <w:tcW w:w="618"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13.2 </w:t>
            </w:r>
          </w:p>
        </w:tc>
        <w:tc>
          <w:tcPr>
            <w:tcW w:w="9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200.2 </w:t>
            </w:r>
          </w:p>
        </w:tc>
        <w:tc>
          <w:tcPr>
            <w:tcW w:w="717"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110.0 </w:t>
            </w:r>
          </w:p>
        </w:tc>
        <w:tc>
          <w:tcPr>
            <w:tcW w:w="75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 xml:space="preserve">157.2 </w:t>
            </w:r>
          </w:p>
        </w:tc>
        <w:tc>
          <w:tcPr>
            <w:tcW w:w="80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63620</w:t>
            </w:r>
          </w:p>
        </w:tc>
        <w:tc>
          <w:tcPr>
            <w:tcW w:w="736" w:type="dxa"/>
            <w:vAlign w:val="center"/>
          </w:tcPr>
          <w:p>
            <w:pPr>
              <w:adjustRightInd w:val="0"/>
              <w:snapToGrid w:val="0"/>
              <w:spacing w:after="200"/>
              <w:jc w:val="center"/>
              <w:rPr>
                <w:rFonts w:ascii="Tahoma" w:hAnsi="Tahoma" w:eastAsia="微软雅黑"/>
                <w:kern w:val="0"/>
                <w:sz w:val="18"/>
                <w:szCs w:val="18"/>
              </w:rPr>
            </w:pPr>
            <w:r>
              <w:rPr>
                <w:rFonts w:ascii="Tahoma" w:hAnsi="Tahoma" w:eastAsia="微软雅黑"/>
                <w:kern w:val="0"/>
                <w:sz w:val="18"/>
                <w:szCs w:val="18"/>
              </w:rPr>
              <w:t>2760</w:t>
            </w:r>
          </w:p>
        </w:tc>
      </w:tr>
    </w:tbl>
    <w:p>
      <w:pPr>
        <w:adjustRightInd w:val="0"/>
        <w:snapToGrid w:val="0"/>
        <w:spacing w:after="200" w:line="300" w:lineRule="auto"/>
        <w:jc w:val="left"/>
        <w:rPr>
          <w:rFonts w:ascii="宋体" w:hAnsi="宋体" w:eastAsia="微软雅黑"/>
          <w:szCs w:val="21"/>
        </w:rPr>
      </w:pPr>
    </w:p>
    <w:p>
      <w:pPr>
        <w:autoSpaceDN w:val="0"/>
        <w:spacing w:line="360" w:lineRule="auto"/>
        <w:rPr>
          <w:rFonts w:ascii="宋体" w:hAnsi="宋体"/>
          <w:szCs w:val="24"/>
        </w:rPr>
      </w:pPr>
    </w:p>
    <w:p>
      <w:pPr>
        <w:autoSpaceDN w:val="0"/>
        <w:spacing w:line="360" w:lineRule="auto"/>
        <w:rPr>
          <w:rFonts w:ascii="宋体" w:hAnsi="宋体"/>
          <w:szCs w:val="24"/>
        </w:rPr>
      </w:pPr>
    </w:p>
    <w:p>
      <w:pPr>
        <w:autoSpaceDN w:val="0"/>
        <w:spacing w:line="360" w:lineRule="auto"/>
        <w:rPr>
          <w:rFonts w:ascii="宋体" w:hAnsi="宋体"/>
          <w:szCs w:val="24"/>
        </w:rPr>
      </w:pPr>
    </w:p>
    <w:p>
      <w:pPr>
        <w:autoSpaceDN w:val="0"/>
        <w:spacing w:line="360" w:lineRule="auto"/>
        <w:rPr>
          <w:rFonts w:ascii="宋体" w:hAnsi="宋体"/>
          <w:szCs w:val="24"/>
        </w:rPr>
      </w:pPr>
    </w:p>
    <w:p>
      <w:pPr>
        <w:autoSpaceDN w:val="0"/>
        <w:spacing w:line="360" w:lineRule="auto"/>
        <w:rPr>
          <w:rFonts w:ascii="宋体" w:hAnsi="宋体"/>
          <w:szCs w:val="24"/>
        </w:rPr>
      </w:pPr>
    </w:p>
    <w:p>
      <w:pPr>
        <w:autoSpaceDN w:val="0"/>
        <w:spacing w:line="360" w:lineRule="auto"/>
        <w:rPr>
          <w:rFonts w:ascii="宋体" w:hAnsi="宋体"/>
          <w:szCs w:val="24"/>
        </w:rPr>
      </w:pPr>
    </w:p>
    <w:p>
      <w:pPr>
        <w:rPr>
          <w:rFonts w:ascii="宋体" w:hAnsi="宋体"/>
          <w:szCs w:val="24"/>
        </w:rPr>
      </w:pPr>
      <w:r>
        <w:rPr>
          <w:rFonts w:ascii="宋体" w:hAnsi="宋体"/>
          <w:szCs w:val="24"/>
        </w:rPr>
        <w:br w:type="page"/>
      </w:r>
    </w:p>
    <w:p>
      <w:pPr>
        <w:pStyle w:val="2"/>
        <w:rPr>
          <w:sz w:val="36"/>
          <w:szCs w:val="36"/>
        </w:rPr>
      </w:pPr>
      <w:bookmarkStart w:id="1027" w:name="_Toc535513343"/>
      <w:bookmarkStart w:id="1028" w:name="_Toc535928582"/>
      <w:bookmarkStart w:id="1029" w:name="_Toc22814998"/>
      <w:bookmarkStart w:id="1030" w:name="_Toc21555917"/>
      <w:bookmarkStart w:id="1031" w:name="_Toc3145332"/>
      <w:bookmarkStart w:id="1032" w:name="_Toc37145158"/>
      <w:bookmarkStart w:id="1033" w:name="_Toc37081689"/>
      <w:bookmarkStart w:id="1034" w:name="_Toc2927802"/>
      <w:bookmarkStart w:id="1035" w:name="_Toc21556017"/>
      <w:bookmarkStart w:id="1036" w:name="_Toc37170639"/>
      <w:bookmarkStart w:id="1037" w:name="_Toc18098"/>
      <w:bookmarkStart w:id="1038" w:name="_Toc15289"/>
      <w:bookmarkStart w:id="1039" w:name="_Toc37170763"/>
      <w:r>
        <w:rPr>
          <w:rFonts w:hint="eastAsia"/>
          <w:sz w:val="36"/>
          <w:szCs w:val="36"/>
        </w:rPr>
        <w:t xml:space="preserve">附录H  </w:t>
      </w:r>
      <w:r>
        <w:rPr>
          <w:rFonts w:hint="eastAsia"/>
          <w:color w:val="FF0000"/>
          <w:sz w:val="36"/>
          <w:szCs w:val="36"/>
        </w:rPr>
        <w:t>钢板桩</w:t>
      </w:r>
      <w:r>
        <w:rPr>
          <w:rFonts w:hint="eastAsia"/>
          <w:sz w:val="36"/>
          <w:szCs w:val="36"/>
        </w:rPr>
        <w:t>沉桩</w:t>
      </w:r>
      <w:bookmarkEnd w:id="1027"/>
      <w:bookmarkEnd w:id="1028"/>
      <w:r>
        <w:rPr>
          <w:rFonts w:hint="eastAsia"/>
          <w:sz w:val="36"/>
          <w:szCs w:val="36"/>
        </w:rPr>
        <w:t>方法</w:t>
      </w:r>
      <w:bookmarkEnd w:id="1029"/>
      <w:bookmarkEnd w:id="1030"/>
      <w:bookmarkEnd w:id="1031"/>
      <w:bookmarkEnd w:id="1032"/>
      <w:bookmarkEnd w:id="1033"/>
      <w:bookmarkEnd w:id="1034"/>
      <w:bookmarkEnd w:id="1035"/>
      <w:r>
        <w:rPr>
          <w:rFonts w:hint="eastAsia"/>
          <w:sz w:val="36"/>
          <w:szCs w:val="36"/>
        </w:rPr>
        <w:t>及沉桩设备的选用</w:t>
      </w:r>
      <w:bookmarkEnd w:id="1036"/>
      <w:bookmarkEnd w:id="1037"/>
      <w:bookmarkEnd w:id="1038"/>
      <w:bookmarkEnd w:id="1039"/>
    </w:p>
    <w:p>
      <w:pPr>
        <w:adjustRightInd w:val="0"/>
        <w:snapToGrid w:val="0"/>
        <w:spacing w:after="200"/>
        <w:jc w:val="left"/>
        <w:rPr>
          <w:rFonts w:ascii="Tahoma" w:hAnsi="Tahoma" w:eastAsia="微软雅黑" w:cs="宋体"/>
          <w:kern w:val="0"/>
          <w:sz w:val="22"/>
          <w:szCs w:val="21"/>
        </w:rPr>
      </w:pPr>
      <w:bookmarkStart w:id="1040" w:name="_Toc535513344"/>
      <w:bookmarkStart w:id="1041" w:name="_Toc535928583"/>
      <w:r>
        <w:rPr>
          <w:rFonts w:hint="eastAsia" w:ascii="Tahoma" w:hAnsi="Tahoma" w:eastAsia="微软雅黑" w:cs="宋体"/>
          <w:b/>
          <w:kern w:val="0"/>
          <w:sz w:val="22"/>
          <w:szCs w:val="21"/>
        </w:rPr>
        <w:t>H.0</w:t>
      </w:r>
      <w:r>
        <w:rPr>
          <w:rFonts w:ascii="Tahoma" w:hAnsi="Tahoma" w:eastAsia="微软雅黑" w:cs="宋体"/>
          <w:b/>
          <w:kern w:val="0"/>
          <w:sz w:val="22"/>
          <w:szCs w:val="21"/>
        </w:rPr>
        <w:t>.</w:t>
      </w:r>
      <w:r>
        <w:rPr>
          <w:rFonts w:hint="eastAsia" w:ascii="Tahoma" w:hAnsi="Tahoma" w:eastAsia="微软雅黑" w:cs="宋体"/>
          <w:b/>
          <w:kern w:val="0"/>
          <w:sz w:val="22"/>
          <w:szCs w:val="21"/>
        </w:rPr>
        <w:t>1</w:t>
      </w:r>
      <w:r>
        <w:rPr>
          <w:rFonts w:hint="eastAsia" w:ascii="Tahoma" w:hAnsi="Tahoma" w:eastAsia="微软雅黑" w:cs="宋体"/>
          <w:bCs/>
          <w:kern w:val="0"/>
          <w:sz w:val="22"/>
          <w:szCs w:val="21"/>
        </w:rPr>
        <w:t>根据地层土质情况，可按表H.0</w:t>
      </w:r>
      <w:r>
        <w:rPr>
          <w:rFonts w:ascii="Tahoma" w:hAnsi="Tahoma" w:eastAsia="微软雅黑" w:cs="宋体"/>
          <w:bCs/>
          <w:kern w:val="0"/>
          <w:sz w:val="22"/>
          <w:szCs w:val="21"/>
        </w:rPr>
        <w:t>.</w:t>
      </w:r>
      <w:r>
        <w:rPr>
          <w:rFonts w:hint="eastAsia" w:ascii="Tahoma" w:hAnsi="Tahoma" w:eastAsia="微软雅黑" w:cs="宋体"/>
          <w:bCs/>
          <w:kern w:val="0"/>
          <w:sz w:val="22"/>
          <w:szCs w:val="21"/>
        </w:rPr>
        <w:t>1选用</w:t>
      </w:r>
      <w:r>
        <w:rPr>
          <w:rFonts w:hint="eastAsia" w:ascii="Tahoma" w:hAnsi="Tahoma" w:eastAsia="微软雅黑" w:cs="宋体"/>
          <w:kern w:val="0"/>
          <w:sz w:val="22"/>
          <w:szCs w:val="21"/>
        </w:rPr>
        <w:t>钢板桩沉桩方法。</w:t>
      </w:r>
    </w:p>
    <w:bookmarkEnd w:id="1040"/>
    <w:bookmarkEnd w:id="1041"/>
    <w:p>
      <w:pPr>
        <w:adjustRightInd w:val="0"/>
        <w:snapToGrid w:val="0"/>
        <w:spacing w:after="200"/>
        <w:jc w:val="center"/>
        <w:rPr>
          <w:rFonts w:ascii="Tahoma" w:hAnsi="Tahoma" w:eastAsia="微软雅黑"/>
          <w:b/>
          <w:kern w:val="0"/>
          <w:sz w:val="22"/>
        </w:rPr>
      </w:pPr>
      <w:r>
        <w:rPr>
          <w:rFonts w:hint="eastAsia" w:ascii="Tahoma" w:hAnsi="Tahoma" w:eastAsia="微软雅黑"/>
          <w:b/>
          <w:kern w:val="0"/>
          <w:sz w:val="22"/>
        </w:rPr>
        <w:t>表H.0</w:t>
      </w:r>
      <w:r>
        <w:rPr>
          <w:rFonts w:ascii="Tahoma" w:hAnsi="Tahoma" w:eastAsia="微软雅黑" w:cs="宋体"/>
          <w:b/>
          <w:kern w:val="0"/>
          <w:sz w:val="22"/>
          <w:szCs w:val="21"/>
        </w:rPr>
        <w:t>.</w:t>
      </w:r>
      <w:r>
        <w:rPr>
          <w:rFonts w:hint="eastAsia" w:ascii="Tahoma" w:hAnsi="Tahoma" w:eastAsia="微软雅黑" w:cs="宋体"/>
          <w:b/>
          <w:kern w:val="0"/>
          <w:sz w:val="22"/>
          <w:szCs w:val="21"/>
        </w:rPr>
        <w:t>1沉桩方法</w:t>
      </w:r>
      <w:r>
        <w:rPr>
          <w:rFonts w:hint="eastAsia" w:ascii="Tahoma" w:hAnsi="Tahoma" w:eastAsia="微软雅黑"/>
          <w:b/>
          <w:kern w:val="0"/>
          <w:sz w:val="22"/>
          <w:szCs w:val="21"/>
        </w:rPr>
        <w:t>对地层的适用性</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992"/>
        <w:gridCol w:w="1843"/>
        <w:gridCol w:w="1929"/>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910" w:type="dxa"/>
            <w:gridSpan w:val="2"/>
            <w:tcBorders>
              <w:top w:val="single" w:color="auto" w:sz="12" w:space="0"/>
              <w:left w:val="single" w:color="auto" w:sz="12" w:space="0"/>
              <w:tl2br w:val="single" w:color="auto" w:sz="4" w:space="0"/>
            </w:tcBorders>
            <w:vAlign w:val="center"/>
          </w:tcPr>
          <w:p>
            <w:pPr>
              <w:adjustRightInd w:val="0"/>
              <w:snapToGrid w:val="0"/>
              <w:spacing w:after="200" w:line="300" w:lineRule="auto"/>
              <w:jc w:val="right"/>
              <w:rPr>
                <w:rFonts w:ascii="宋体" w:hAnsi="宋体"/>
                <w:kern w:val="0"/>
                <w:sz w:val="18"/>
                <w:szCs w:val="18"/>
              </w:rPr>
            </w:pPr>
            <w:r>
              <w:rPr>
                <w:rFonts w:hint="eastAsia" w:ascii="宋体" w:hAnsi="宋体"/>
                <w:kern w:val="0"/>
                <w:sz w:val="18"/>
                <w:szCs w:val="18"/>
              </w:rPr>
              <w:t>沉桩方法</w:t>
            </w:r>
          </w:p>
          <w:p>
            <w:pPr>
              <w:adjustRightInd w:val="0"/>
              <w:snapToGrid w:val="0"/>
              <w:spacing w:after="200" w:line="300" w:lineRule="auto"/>
              <w:jc w:val="left"/>
              <w:rPr>
                <w:rFonts w:ascii="宋体" w:hAnsi="宋体"/>
                <w:kern w:val="0"/>
                <w:sz w:val="18"/>
                <w:szCs w:val="18"/>
              </w:rPr>
            </w:pPr>
            <w:r>
              <w:rPr>
                <w:rFonts w:hint="eastAsia" w:ascii="宋体" w:hAnsi="宋体"/>
                <w:kern w:val="0"/>
                <w:sz w:val="18"/>
                <w:szCs w:val="18"/>
              </w:rPr>
              <w:t>地层土质情况</w:t>
            </w:r>
          </w:p>
        </w:tc>
        <w:tc>
          <w:tcPr>
            <w:tcW w:w="1843" w:type="dxa"/>
            <w:tcBorders>
              <w:top w:val="single" w:color="auto" w:sz="12" w:space="0"/>
              <w:right w:val="single" w:color="auto" w:sz="4" w:space="0"/>
            </w:tcBorders>
            <w:vAlign w:val="center"/>
          </w:tcPr>
          <w:p>
            <w:pPr>
              <w:adjustRightInd w:val="0"/>
              <w:snapToGrid w:val="0"/>
              <w:spacing w:after="200" w:line="300" w:lineRule="auto"/>
              <w:jc w:val="center"/>
              <w:rPr>
                <w:rFonts w:ascii="宋体" w:hAnsi="宋体"/>
                <w:kern w:val="0"/>
                <w:sz w:val="18"/>
                <w:szCs w:val="18"/>
              </w:rPr>
            </w:pPr>
            <w:r>
              <w:rPr>
                <w:rFonts w:hint="eastAsia" w:ascii="宋体" w:hAnsi="宋体"/>
                <w:kern w:val="0"/>
                <w:sz w:val="18"/>
                <w:szCs w:val="18"/>
              </w:rPr>
              <w:t>振动沉桩法</w:t>
            </w:r>
          </w:p>
        </w:tc>
        <w:tc>
          <w:tcPr>
            <w:tcW w:w="1929" w:type="dxa"/>
            <w:tcBorders>
              <w:top w:val="single" w:color="auto" w:sz="12" w:space="0"/>
              <w:left w:val="single" w:color="auto" w:sz="4" w:space="0"/>
              <w:right w:val="single" w:color="auto" w:sz="4" w:space="0"/>
            </w:tcBorders>
            <w:vAlign w:val="center"/>
          </w:tcPr>
          <w:p>
            <w:pPr>
              <w:adjustRightInd w:val="0"/>
              <w:snapToGrid w:val="0"/>
              <w:spacing w:after="200" w:line="300" w:lineRule="auto"/>
              <w:jc w:val="center"/>
              <w:rPr>
                <w:rFonts w:ascii="宋体" w:hAnsi="宋体"/>
                <w:kern w:val="0"/>
                <w:sz w:val="18"/>
                <w:szCs w:val="18"/>
              </w:rPr>
            </w:pPr>
            <w:r>
              <w:rPr>
                <w:rFonts w:hint="eastAsia" w:ascii="宋体" w:hAnsi="宋体"/>
                <w:kern w:val="0"/>
                <w:sz w:val="18"/>
                <w:szCs w:val="18"/>
              </w:rPr>
              <w:t>锤击沉桩法</w:t>
            </w:r>
          </w:p>
        </w:tc>
        <w:tc>
          <w:tcPr>
            <w:tcW w:w="1840" w:type="dxa"/>
            <w:tcBorders>
              <w:top w:val="single" w:color="auto" w:sz="12" w:space="0"/>
              <w:left w:val="single" w:color="auto" w:sz="4" w:space="0"/>
              <w:right w:val="single" w:color="auto" w:sz="12" w:space="0"/>
            </w:tcBorders>
            <w:vAlign w:val="center"/>
          </w:tcPr>
          <w:p>
            <w:pPr>
              <w:adjustRightInd w:val="0"/>
              <w:snapToGrid w:val="0"/>
              <w:spacing w:after="200" w:line="300" w:lineRule="auto"/>
              <w:jc w:val="center"/>
              <w:rPr>
                <w:rFonts w:ascii="宋体" w:hAnsi="宋体"/>
                <w:kern w:val="0"/>
                <w:sz w:val="18"/>
                <w:szCs w:val="18"/>
              </w:rPr>
            </w:pPr>
            <w:r>
              <w:rPr>
                <w:rFonts w:hint="eastAsia" w:ascii="宋体" w:hAnsi="宋体"/>
                <w:kern w:val="0"/>
                <w:sz w:val="18"/>
                <w:szCs w:val="18"/>
              </w:rPr>
              <w:t>静压沉桩法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restart"/>
            <w:tcBorders>
              <w:top w:val="single" w:color="auto" w:sz="12" w:space="0"/>
              <w:lef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color w:val="0D0D0D"/>
                <w:kern w:val="0"/>
                <w:sz w:val="18"/>
                <w:szCs w:val="18"/>
              </w:rPr>
              <w:t>以黏性土、粉土、砂土为主</w:t>
            </w:r>
            <w:r>
              <w:rPr>
                <w:rFonts w:hint="eastAsia" w:ascii="宋体" w:hAnsi="宋体"/>
                <w:kern w:val="0"/>
                <w:sz w:val="18"/>
                <w:szCs w:val="18"/>
              </w:rPr>
              <w:t>的普通地层</w:t>
            </w:r>
          </w:p>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（标准贯入试验击数）</w:t>
            </w:r>
          </w:p>
        </w:tc>
        <w:tc>
          <w:tcPr>
            <w:tcW w:w="992" w:type="dxa"/>
            <w:tcBorders>
              <w:top w:val="single" w:color="auto" w:sz="12" w:space="0"/>
            </w:tcBorders>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0</w:t>
            </w:r>
            <w:r>
              <w:rPr>
                <w:rFonts w:hint="eastAsia" w:ascii="宋体" w:hAnsi="宋体"/>
                <w:kern w:val="0"/>
                <w:sz w:val="18"/>
                <w:szCs w:val="18"/>
              </w:rPr>
              <w:t>-</w:t>
            </w:r>
            <w:r>
              <w:rPr>
                <w:rFonts w:ascii="宋体" w:hAnsi="宋体"/>
                <w:kern w:val="0"/>
                <w:sz w:val="18"/>
                <w:szCs w:val="18"/>
              </w:rPr>
              <w:t>1</w:t>
            </w:r>
            <w:r>
              <w:rPr>
                <w:rFonts w:hint="eastAsia" w:ascii="宋体" w:hAnsi="宋体"/>
                <w:kern w:val="0"/>
                <w:sz w:val="18"/>
                <w:szCs w:val="18"/>
              </w:rPr>
              <w:t>0</w:t>
            </w:r>
          </w:p>
        </w:tc>
        <w:tc>
          <w:tcPr>
            <w:tcW w:w="1843" w:type="dxa"/>
            <w:tcBorders>
              <w:top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非常容易</w:t>
            </w:r>
          </w:p>
        </w:tc>
        <w:tc>
          <w:tcPr>
            <w:tcW w:w="1929" w:type="dxa"/>
            <w:tcBorders>
              <w:top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不合适，容易下沉失控</w:t>
            </w:r>
            <w:r>
              <w:rPr>
                <w:rFonts w:ascii="宋体" w:hAnsi="宋体"/>
                <w:kern w:val="0"/>
                <w:sz w:val="18"/>
                <w:szCs w:val="18"/>
              </w:rPr>
              <w:t xml:space="preserve"> </w:t>
            </w:r>
          </w:p>
        </w:tc>
        <w:tc>
          <w:tcPr>
            <w:tcW w:w="1840" w:type="dxa"/>
            <w:tcBorders>
              <w:top w:val="single" w:color="auto" w:sz="12" w:space="0"/>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不合适</w:t>
            </w:r>
          </w:p>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设备底座反力不足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1</w:t>
            </w:r>
            <w:r>
              <w:rPr>
                <w:rFonts w:hint="eastAsia" w:ascii="宋体" w:hAnsi="宋体"/>
                <w:kern w:val="0"/>
                <w:sz w:val="18"/>
                <w:szCs w:val="18"/>
              </w:rPr>
              <w:t>1-20</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容易</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容易</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21</w:t>
            </w:r>
            <w:r>
              <w:rPr>
                <w:rFonts w:hint="eastAsia" w:ascii="宋体" w:hAnsi="宋体"/>
                <w:kern w:val="0"/>
                <w:sz w:val="18"/>
                <w:szCs w:val="18"/>
              </w:rPr>
              <w:t>-</w:t>
            </w:r>
            <w:r>
              <w:rPr>
                <w:rFonts w:ascii="宋体" w:hAnsi="宋体"/>
                <w:kern w:val="0"/>
                <w:sz w:val="18"/>
                <w:szCs w:val="18"/>
              </w:rPr>
              <w:t>30</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合适</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容易</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较困难，高压射水辅助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31</w:t>
            </w:r>
            <w:r>
              <w:rPr>
                <w:rFonts w:hint="eastAsia" w:ascii="宋体" w:hAnsi="宋体"/>
                <w:kern w:val="0"/>
                <w:sz w:val="18"/>
                <w:szCs w:val="18"/>
              </w:rPr>
              <w:t>-</w:t>
            </w:r>
            <w:r>
              <w:rPr>
                <w:rFonts w:ascii="宋体" w:hAnsi="宋体"/>
                <w:kern w:val="0"/>
                <w:sz w:val="18"/>
                <w:szCs w:val="18"/>
              </w:rPr>
              <w:t>40</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较困难，高压射水辅助</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合适</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很困难，预钻孔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41</w:t>
            </w:r>
            <w:r>
              <w:rPr>
                <w:rFonts w:hint="eastAsia" w:ascii="宋体" w:hAnsi="宋体"/>
                <w:kern w:val="0"/>
                <w:sz w:val="18"/>
                <w:szCs w:val="18"/>
              </w:rPr>
              <w:t>-</w:t>
            </w:r>
            <w:r>
              <w:rPr>
                <w:rFonts w:ascii="宋体" w:hAnsi="宋体"/>
                <w:kern w:val="0"/>
                <w:sz w:val="18"/>
                <w:szCs w:val="18"/>
              </w:rPr>
              <w:t>50</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很困难，高压射水辅助</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较困难</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&gt;50</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不推荐</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很困难</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restart"/>
            <w:tcBorders>
              <w:lef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穿越粒径≤30mm碎石土夹层（碎石土夹层厚度m）</w:t>
            </w: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0</w:t>
            </w:r>
            <w:r>
              <w:rPr>
                <w:rFonts w:hint="eastAsia" w:ascii="宋体" w:hAnsi="宋体"/>
                <w:kern w:val="0"/>
                <w:sz w:val="18"/>
                <w:szCs w:val="18"/>
              </w:rPr>
              <w:t>-1</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合适</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容易</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较困难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1</w:t>
            </w:r>
            <w:r>
              <w:rPr>
                <w:rFonts w:hint="eastAsia" w:ascii="宋体" w:hAnsi="宋体"/>
                <w:kern w:val="0"/>
                <w:sz w:val="18"/>
                <w:szCs w:val="18"/>
              </w:rPr>
              <w:t>.1-2</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较困难，高压射水辅助</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合适</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很困难，预钻孔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2.1-3</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不合适</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较困难</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vMerge w:val="continue"/>
            <w:tcBorders>
              <w:left w:val="single" w:color="auto" w:sz="12" w:space="0"/>
            </w:tcBorders>
            <w:vAlign w:val="center"/>
          </w:tcPr>
          <w:p>
            <w:pPr>
              <w:adjustRightInd w:val="0"/>
              <w:snapToGrid w:val="0"/>
              <w:spacing w:line="320" w:lineRule="exact"/>
              <w:jc w:val="center"/>
              <w:rPr>
                <w:rFonts w:ascii="宋体" w:hAnsi="宋体"/>
                <w:kern w:val="0"/>
                <w:sz w:val="18"/>
                <w:szCs w:val="18"/>
              </w:rPr>
            </w:pPr>
          </w:p>
        </w:tc>
        <w:tc>
          <w:tcPr>
            <w:tcW w:w="992" w:type="dxa"/>
            <w:vAlign w:val="center"/>
          </w:tcPr>
          <w:p>
            <w:pPr>
              <w:adjustRightInd w:val="0"/>
              <w:snapToGrid w:val="0"/>
              <w:spacing w:line="320" w:lineRule="exact"/>
              <w:jc w:val="center"/>
              <w:rPr>
                <w:rFonts w:ascii="宋体" w:hAnsi="宋体"/>
                <w:kern w:val="0"/>
                <w:sz w:val="18"/>
                <w:szCs w:val="18"/>
              </w:rPr>
            </w:pPr>
            <w:r>
              <w:rPr>
                <w:rFonts w:ascii="宋体" w:hAnsi="宋体"/>
                <w:kern w:val="0"/>
                <w:sz w:val="18"/>
                <w:szCs w:val="18"/>
              </w:rPr>
              <w:t>&gt;</w:t>
            </w:r>
            <w:r>
              <w:rPr>
                <w:rFonts w:hint="eastAsia" w:ascii="宋体" w:hAnsi="宋体"/>
                <w:kern w:val="0"/>
                <w:sz w:val="18"/>
                <w:szCs w:val="18"/>
              </w:rPr>
              <w:t>3</w:t>
            </w:r>
          </w:p>
        </w:tc>
        <w:tc>
          <w:tcPr>
            <w:tcW w:w="1843"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不推荐</w:t>
            </w:r>
          </w:p>
        </w:tc>
        <w:tc>
          <w:tcPr>
            <w:tcW w:w="1929" w:type="dxa"/>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很困难</w:t>
            </w:r>
          </w:p>
        </w:tc>
        <w:tc>
          <w:tcPr>
            <w:tcW w:w="1840" w:type="dxa"/>
            <w:tcBorders>
              <w:right w:val="single" w:color="auto" w:sz="12" w:space="0"/>
            </w:tcBorders>
            <w:vAlign w:val="center"/>
          </w:tcPr>
          <w:p>
            <w:pPr>
              <w:adjustRightInd w:val="0"/>
              <w:snapToGrid w:val="0"/>
              <w:spacing w:line="320" w:lineRule="exact"/>
              <w:jc w:val="center"/>
              <w:rPr>
                <w:rFonts w:ascii="宋体" w:hAnsi="宋体"/>
                <w:kern w:val="0"/>
                <w:sz w:val="18"/>
                <w:szCs w:val="18"/>
              </w:rPr>
            </w:pPr>
            <w:r>
              <w:rPr>
                <w:rFonts w:hint="eastAsia" w:ascii="宋体" w:hAnsi="宋体"/>
                <w:kern w:val="0"/>
                <w:sz w:val="18"/>
                <w:szCs w:val="18"/>
              </w:rPr>
              <w:t>不推荐</w:t>
            </w:r>
          </w:p>
        </w:tc>
      </w:tr>
    </w:tbl>
    <w:p>
      <w:pPr>
        <w:adjustRightInd w:val="0"/>
        <w:snapToGrid w:val="0"/>
        <w:spacing w:after="200"/>
        <w:jc w:val="left"/>
        <w:rPr>
          <w:rFonts w:ascii="Tahoma" w:hAnsi="Tahoma" w:eastAsia="微软雅黑" w:cs="宋体"/>
          <w:kern w:val="0"/>
          <w:sz w:val="22"/>
          <w:szCs w:val="21"/>
        </w:rPr>
      </w:pPr>
      <w:r>
        <w:rPr>
          <w:rFonts w:hint="eastAsia" w:ascii="Tahoma" w:hAnsi="Tahoma" w:eastAsia="微软雅黑" w:cs="宋体"/>
          <w:b/>
          <w:kern w:val="0"/>
          <w:sz w:val="22"/>
          <w:szCs w:val="21"/>
        </w:rPr>
        <w:t>H.0</w:t>
      </w:r>
      <w:r>
        <w:rPr>
          <w:rFonts w:ascii="Tahoma" w:hAnsi="Tahoma" w:eastAsia="微软雅黑" w:cs="宋体"/>
          <w:b/>
          <w:kern w:val="0"/>
          <w:sz w:val="22"/>
          <w:szCs w:val="21"/>
        </w:rPr>
        <w:t>.</w:t>
      </w:r>
      <w:r>
        <w:rPr>
          <w:rFonts w:hint="eastAsia" w:ascii="Tahoma" w:hAnsi="Tahoma" w:eastAsia="微软雅黑" w:cs="宋体"/>
          <w:b/>
          <w:kern w:val="0"/>
          <w:sz w:val="22"/>
          <w:szCs w:val="21"/>
        </w:rPr>
        <w:t>2</w:t>
      </w:r>
      <w:r>
        <w:rPr>
          <w:rFonts w:hint="eastAsia" w:ascii="Tahoma" w:hAnsi="Tahoma" w:eastAsia="微软雅黑" w:cs="宋体"/>
          <w:bCs/>
          <w:kern w:val="0"/>
          <w:sz w:val="22"/>
          <w:szCs w:val="21"/>
        </w:rPr>
        <w:t>根据沉桩方法及设备特点，可按表</w:t>
      </w:r>
      <w:r>
        <w:rPr>
          <w:rFonts w:hint="eastAsia" w:ascii="Tahoma" w:hAnsi="Tahoma" w:eastAsia="微软雅黑" w:cs="宋体"/>
          <w:kern w:val="0"/>
          <w:sz w:val="22"/>
          <w:szCs w:val="21"/>
        </w:rPr>
        <w:t>H.0</w:t>
      </w:r>
      <w:r>
        <w:rPr>
          <w:rFonts w:ascii="Tahoma" w:hAnsi="Tahoma" w:eastAsia="微软雅黑" w:cs="宋体"/>
          <w:kern w:val="0"/>
          <w:sz w:val="22"/>
          <w:szCs w:val="21"/>
        </w:rPr>
        <w:t>.</w:t>
      </w:r>
      <w:r>
        <w:rPr>
          <w:rFonts w:hint="eastAsia" w:ascii="Tahoma" w:hAnsi="Tahoma" w:eastAsia="微软雅黑" w:cs="宋体"/>
          <w:kern w:val="0"/>
          <w:sz w:val="22"/>
          <w:szCs w:val="21"/>
        </w:rPr>
        <w:t>2选用钢板桩沉桩设备。</w:t>
      </w:r>
    </w:p>
    <w:p>
      <w:pPr>
        <w:adjustRightInd w:val="0"/>
        <w:snapToGrid w:val="0"/>
        <w:spacing w:after="200"/>
        <w:jc w:val="center"/>
        <w:rPr>
          <w:rFonts w:ascii="Tahoma" w:hAnsi="Tahoma" w:eastAsia="微软雅黑"/>
          <w:b/>
          <w:kern w:val="0"/>
          <w:sz w:val="22"/>
        </w:rPr>
      </w:pPr>
      <w:r>
        <w:rPr>
          <w:rFonts w:hint="eastAsia" w:ascii="Tahoma" w:hAnsi="Tahoma" w:eastAsia="微软雅黑"/>
          <w:b/>
          <w:kern w:val="0"/>
          <w:sz w:val="22"/>
        </w:rPr>
        <w:t>表H.0</w:t>
      </w:r>
      <w:r>
        <w:rPr>
          <w:rFonts w:ascii="Tahoma" w:hAnsi="Tahoma" w:eastAsia="微软雅黑" w:cs="宋体"/>
          <w:b/>
          <w:kern w:val="0"/>
          <w:sz w:val="22"/>
          <w:szCs w:val="21"/>
        </w:rPr>
        <w:t>.</w:t>
      </w:r>
      <w:r>
        <w:rPr>
          <w:rFonts w:hint="eastAsia" w:ascii="Tahoma" w:hAnsi="Tahoma" w:eastAsia="微软雅黑" w:cs="宋体"/>
          <w:b/>
          <w:kern w:val="0"/>
          <w:sz w:val="22"/>
          <w:szCs w:val="21"/>
        </w:rPr>
        <w:t>2沉桩方法及设备特点</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70"/>
        <w:gridCol w:w="2126"/>
        <w:gridCol w:w="1276"/>
        <w:gridCol w:w="1442"/>
        <w:gridCol w:w="20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Merge w:val="restart"/>
            <w:tcBorders>
              <w:tl2br w:val="single" w:color="auto" w:sz="4" w:space="0"/>
            </w:tcBorders>
          </w:tcPr>
          <w:p>
            <w:pPr>
              <w:adjustRightInd w:val="0"/>
              <w:snapToGrid w:val="0"/>
              <w:spacing w:after="200" w:line="300" w:lineRule="auto"/>
              <w:ind w:right="150" w:firstLine="180" w:firstLineChars="100"/>
              <w:jc w:val="right"/>
              <w:rPr>
                <w:rFonts w:ascii="宋体" w:hAnsi="宋体" w:cs="宋体"/>
                <w:kern w:val="0"/>
                <w:sz w:val="18"/>
                <w:szCs w:val="18"/>
              </w:rPr>
            </w:pPr>
            <w:r>
              <w:rPr>
                <w:rFonts w:hint="eastAsia" w:ascii="宋体" w:hAnsi="宋体" w:cs="宋体"/>
                <w:kern w:val="0"/>
                <w:sz w:val="18"/>
                <w:szCs w:val="18"/>
              </w:rPr>
              <w:t>沉桩方法</w:t>
            </w:r>
          </w:p>
          <w:p>
            <w:pPr>
              <w:adjustRightInd w:val="0"/>
              <w:snapToGrid w:val="0"/>
              <w:jc w:val="left"/>
              <w:rPr>
                <w:rFonts w:ascii="宋体" w:hAnsi="宋体" w:cs="宋体"/>
                <w:kern w:val="0"/>
                <w:sz w:val="18"/>
                <w:szCs w:val="18"/>
              </w:rPr>
            </w:pPr>
            <w:r>
              <w:rPr>
                <w:rFonts w:hint="eastAsia" w:ascii="宋体" w:hAnsi="宋体" w:cs="宋体"/>
                <w:kern w:val="0"/>
                <w:sz w:val="18"/>
                <w:szCs w:val="18"/>
              </w:rPr>
              <w:t>设备</w:t>
            </w:r>
          </w:p>
          <w:p>
            <w:pPr>
              <w:adjustRightInd w:val="0"/>
              <w:snapToGrid w:val="0"/>
              <w:jc w:val="left"/>
              <w:rPr>
                <w:rFonts w:ascii="宋体" w:hAnsi="宋体" w:cs="宋体"/>
                <w:kern w:val="0"/>
                <w:sz w:val="18"/>
                <w:szCs w:val="18"/>
              </w:rPr>
            </w:pPr>
            <w:r>
              <w:rPr>
                <w:rFonts w:hint="eastAsia" w:ascii="宋体" w:hAnsi="宋体" w:cs="宋体"/>
                <w:kern w:val="0"/>
                <w:sz w:val="18"/>
                <w:szCs w:val="18"/>
              </w:rPr>
              <w:t>特点</w:t>
            </w:r>
          </w:p>
        </w:tc>
        <w:tc>
          <w:tcPr>
            <w:tcW w:w="2126" w:type="dxa"/>
            <w:vMerge w:val="restart"/>
            <w:vAlign w:val="center"/>
          </w:tcPr>
          <w:p>
            <w:pPr>
              <w:adjustRightInd w:val="0"/>
              <w:snapToGrid w:val="0"/>
              <w:spacing w:after="200" w:line="300" w:lineRule="auto"/>
              <w:jc w:val="center"/>
              <w:rPr>
                <w:rFonts w:ascii="宋体" w:hAnsi="宋体" w:cs="宋体"/>
                <w:kern w:val="0"/>
                <w:sz w:val="18"/>
                <w:szCs w:val="18"/>
              </w:rPr>
            </w:pPr>
            <w:r>
              <w:rPr>
                <w:rFonts w:hint="eastAsia" w:ascii="宋体" w:hAnsi="宋体" w:cs="宋体"/>
                <w:kern w:val="0"/>
                <w:sz w:val="18"/>
                <w:szCs w:val="18"/>
              </w:rPr>
              <w:t>锤击沉桩法</w:t>
            </w:r>
          </w:p>
        </w:tc>
        <w:tc>
          <w:tcPr>
            <w:tcW w:w="2718" w:type="dxa"/>
            <w:gridSpan w:val="2"/>
            <w:vAlign w:val="bottom"/>
          </w:tcPr>
          <w:p>
            <w:pPr>
              <w:adjustRightInd w:val="0"/>
              <w:snapToGrid w:val="0"/>
              <w:spacing w:after="200" w:line="300" w:lineRule="auto"/>
              <w:jc w:val="center"/>
              <w:rPr>
                <w:rFonts w:ascii="宋体" w:hAnsi="宋体" w:cs="宋体"/>
                <w:kern w:val="0"/>
                <w:sz w:val="18"/>
                <w:szCs w:val="18"/>
              </w:rPr>
            </w:pPr>
            <w:r>
              <w:rPr>
                <w:rFonts w:hint="eastAsia" w:ascii="宋体" w:hAnsi="宋体" w:cs="宋体"/>
                <w:kern w:val="0"/>
                <w:sz w:val="18"/>
                <w:szCs w:val="18"/>
              </w:rPr>
              <w:t>振动沉桩法</w:t>
            </w:r>
          </w:p>
        </w:tc>
        <w:tc>
          <w:tcPr>
            <w:tcW w:w="2062" w:type="dxa"/>
            <w:vMerge w:val="restart"/>
            <w:vAlign w:val="center"/>
          </w:tcPr>
          <w:p>
            <w:pPr>
              <w:adjustRightInd w:val="0"/>
              <w:snapToGrid w:val="0"/>
              <w:spacing w:after="200" w:line="300" w:lineRule="auto"/>
              <w:jc w:val="center"/>
              <w:rPr>
                <w:rFonts w:ascii="宋体" w:hAnsi="宋体" w:cs="宋体"/>
                <w:kern w:val="0"/>
                <w:sz w:val="18"/>
                <w:szCs w:val="18"/>
              </w:rPr>
            </w:pPr>
            <w:r>
              <w:rPr>
                <w:rFonts w:hint="eastAsia" w:ascii="宋体" w:hAnsi="宋体" w:cs="宋体"/>
                <w:kern w:val="0"/>
                <w:sz w:val="18"/>
                <w:szCs w:val="18"/>
              </w:rPr>
              <w:t>静压沉桩法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1370" w:type="dxa"/>
            <w:vMerge w:val="continue"/>
            <w:vAlign w:val="center"/>
          </w:tcPr>
          <w:p>
            <w:pPr>
              <w:adjustRightInd w:val="0"/>
              <w:snapToGrid w:val="0"/>
              <w:spacing w:after="200" w:line="300" w:lineRule="auto"/>
              <w:jc w:val="center"/>
              <w:rPr>
                <w:rFonts w:ascii="宋体" w:hAnsi="宋体" w:cs="宋体"/>
                <w:kern w:val="0"/>
                <w:sz w:val="18"/>
                <w:szCs w:val="18"/>
              </w:rPr>
            </w:pPr>
          </w:p>
        </w:tc>
        <w:tc>
          <w:tcPr>
            <w:tcW w:w="2126" w:type="dxa"/>
            <w:vMerge w:val="continue"/>
            <w:vAlign w:val="center"/>
          </w:tcPr>
          <w:p>
            <w:pPr>
              <w:adjustRightInd w:val="0"/>
              <w:snapToGrid w:val="0"/>
              <w:spacing w:after="200" w:line="300" w:lineRule="auto"/>
              <w:jc w:val="center"/>
              <w:rPr>
                <w:rFonts w:ascii="宋体" w:hAnsi="宋体" w:cs="宋体"/>
                <w:kern w:val="0"/>
                <w:sz w:val="18"/>
                <w:szCs w:val="18"/>
              </w:rPr>
            </w:pPr>
          </w:p>
        </w:tc>
        <w:tc>
          <w:tcPr>
            <w:tcW w:w="1276" w:type="dxa"/>
            <w:vAlign w:val="center"/>
          </w:tcPr>
          <w:p>
            <w:pPr>
              <w:adjustRightInd w:val="0"/>
              <w:snapToGrid w:val="0"/>
              <w:jc w:val="center"/>
              <w:rPr>
                <w:rFonts w:ascii="宋体" w:hAnsi="宋体" w:cs="宋体"/>
                <w:kern w:val="0"/>
                <w:sz w:val="18"/>
                <w:szCs w:val="18"/>
              </w:rPr>
            </w:pPr>
            <w:r>
              <w:rPr>
                <w:rFonts w:hint="eastAsia" w:ascii="宋体" w:hAnsi="宋体" w:cs="宋体"/>
                <w:kern w:val="0"/>
                <w:sz w:val="18"/>
                <w:szCs w:val="18"/>
              </w:rPr>
              <w:t>吊车悬吊</w:t>
            </w:r>
          </w:p>
          <w:p>
            <w:pPr>
              <w:adjustRightInd w:val="0"/>
              <w:snapToGrid w:val="0"/>
              <w:jc w:val="center"/>
              <w:rPr>
                <w:rFonts w:ascii="宋体" w:hAnsi="宋体" w:cs="宋体"/>
                <w:kern w:val="0"/>
                <w:sz w:val="18"/>
                <w:szCs w:val="18"/>
              </w:rPr>
            </w:pPr>
            <w:r>
              <w:rPr>
                <w:rFonts w:hint="eastAsia" w:ascii="宋体" w:hAnsi="宋体" w:cs="宋体"/>
                <w:kern w:val="0"/>
                <w:sz w:val="18"/>
                <w:szCs w:val="18"/>
              </w:rPr>
              <w:t>振动锤</w:t>
            </w:r>
          </w:p>
        </w:tc>
        <w:tc>
          <w:tcPr>
            <w:tcW w:w="1442" w:type="dxa"/>
            <w:vAlign w:val="center"/>
          </w:tcPr>
          <w:p>
            <w:pPr>
              <w:adjustRightInd w:val="0"/>
              <w:snapToGrid w:val="0"/>
              <w:spacing w:after="200" w:line="300" w:lineRule="auto"/>
              <w:jc w:val="center"/>
              <w:rPr>
                <w:rFonts w:ascii="宋体" w:hAnsi="宋体" w:cs="宋体"/>
                <w:kern w:val="0"/>
                <w:sz w:val="18"/>
                <w:szCs w:val="18"/>
              </w:rPr>
            </w:pPr>
            <w:r>
              <w:rPr>
                <w:rFonts w:hint="eastAsia" w:ascii="宋体" w:hAnsi="宋体" w:cs="宋体"/>
                <w:kern w:val="0"/>
                <w:sz w:val="18"/>
                <w:szCs w:val="18"/>
              </w:rPr>
              <w:t>机械手</w:t>
            </w:r>
          </w:p>
        </w:tc>
        <w:tc>
          <w:tcPr>
            <w:tcW w:w="2062" w:type="dxa"/>
            <w:vMerge w:val="continue"/>
            <w:vAlign w:val="center"/>
          </w:tcPr>
          <w:p>
            <w:pPr>
              <w:adjustRightInd w:val="0"/>
              <w:snapToGrid w:val="0"/>
              <w:spacing w:after="200" w:line="300" w:lineRule="auto"/>
              <w:jc w:val="center"/>
              <w:rPr>
                <w:rFonts w:ascii="宋体" w:hAnsi="宋体" w:cs="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0" w:hRule="atLeast"/>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工作原理</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靠柴油动力带动活塞强制桩锤下落</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桩锤的上下振动力</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桩锤的上下振动力，还有机械手施加的辅助力</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通过液压装置将桩压入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设备体量</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小</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噪音</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中</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小</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振动</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小</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耗能</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施工速度</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中</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快</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很快</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优点</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打桩穿透力强</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打桩和拔桩均可</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施工效率高，打桩和拔桩均可</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无噪音和振动，打桩和拔桩均可，可在狭小空间作业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缺点</w:t>
            </w:r>
          </w:p>
        </w:tc>
        <w:tc>
          <w:tcPr>
            <w:tcW w:w="212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噪音和振动较大，有废气污染，施工效率低</w:t>
            </w:r>
          </w:p>
        </w:tc>
        <w:tc>
          <w:tcPr>
            <w:tcW w:w="1276"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噪音和振动较大，需要吊车配合</w:t>
            </w:r>
          </w:p>
        </w:tc>
        <w:tc>
          <w:tcPr>
            <w:tcW w:w="144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大小臂伸展高度有限，桩长不宜超过15m</w:t>
            </w:r>
          </w:p>
        </w:tc>
        <w:tc>
          <w:tcPr>
            <w:tcW w:w="2062" w:type="dxa"/>
            <w:vAlign w:val="center"/>
          </w:tcPr>
          <w:p>
            <w:pPr>
              <w:adjustRightInd w:val="0"/>
              <w:snapToGrid w:val="0"/>
              <w:spacing w:line="280" w:lineRule="exact"/>
              <w:jc w:val="center"/>
              <w:rPr>
                <w:rFonts w:ascii="宋体" w:hAnsi="宋体" w:cs="宋体"/>
                <w:kern w:val="0"/>
                <w:sz w:val="18"/>
                <w:szCs w:val="18"/>
              </w:rPr>
            </w:pPr>
            <w:r>
              <w:rPr>
                <w:rFonts w:hint="eastAsia" w:ascii="宋体" w:hAnsi="宋体" w:cs="宋体"/>
                <w:kern w:val="0"/>
                <w:sz w:val="18"/>
                <w:szCs w:val="18"/>
              </w:rPr>
              <w:t>施工效率低，压桩力小，受地层条件影响大</w:t>
            </w:r>
          </w:p>
        </w:tc>
      </w:tr>
    </w:tbl>
    <w:p>
      <w:pPr>
        <w:adjustRightInd w:val="0"/>
        <w:snapToGrid w:val="0"/>
        <w:spacing w:after="200"/>
        <w:jc w:val="left"/>
        <w:rPr>
          <w:rFonts w:ascii="Tahoma" w:hAnsi="Tahoma" w:eastAsia="微软雅黑" w:cs="宋体"/>
          <w:b/>
          <w:kern w:val="0"/>
          <w:sz w:val="22"/>
          <w:szCs w:val="21"/>
        </w:rPr>
      </w:pPr>
    </w:p>
    <w:p>
      <w:pPr>
        <w:adjustRightInd w:val="0"/>
        <w:snapToGrid w:val="0"/>
        <w:spacing w:after="200"/>
        <w:jc w:val="left"/>
        <w:rPr>
          <w:rFonts w:ascii="Tahoma" w:hAnsi="Tahoma" w:eastAsia="微软雅黑" w:cs="宋体"/>
          <w:kern w:val="0"/>
          <w:sz w:val="22"/>
          <w:szCs w:val="21"/>
        </w:rPr>
      </w:pPr>
      <w:r>
        <w:rPr>
          <w:rFonts w:hint="eastAsia" w:ascii="Tahoma" w:hAnsi="Tahoma" w:eastAsia="微软雅黑" w:cs="宋体"/>
          <w:b/>
          <w:kern w:val="0"/>
          <w:sz w:val="22"/>
          <w:szCs w:val="21"/>
        </w:rPr>
        <w:t>H.0</w:t>
      </w:r>
      <w:r>
        <w:rPr>
          <w:rFonts w:ascii="Tahoma" w:hAnsi="Tahoma" w:eastAsia="微软雅黑" w:cs="宋体"/>
          <w:b/>
          <w:kern w:val="0"/>
          <w:sz w:val="22"/>
          <w:szCs w:val="21"/>
        </w:rPr>
        <w:t>.</w:t>
      </w:r>
      <w:r>
        <w:rPr>
          <w:rFonts w:hint="eastAsia" w:ascii="Tahoma" w:hAnsi="Tahoma" w:eastAsia="微软雅黑" w:cs="宋体"/>
          <w:b/>
          <w:kern w:val="0"/>
          <w:sz w:val="22"/>
          <w:szCs w:val="21"/>
        </w:rPr>
        <w:t>3</w:t>
      </w:r>
      <w:r>
        <w:rPr>
          <w:rFonts w:ascii="Tahoma" w:hAnsi="Tahoma" w:eastAsia="微软雅黑" w:cs="宋体"/>
          <w:b/>
          <w:kern w:val="0"/>
          <w:sz w:val="22"/>
          <w:szCs w:val="21"/>
        </w:rPr>
        <w:t xml:space="preserve">  </w:t>
      </w:r>
      <w:r>
        <w:rPr>
          <w:rFonts w:hint="eastAsia" w:ascii="Tahoma" w:hAnsi="Tahoma" w:eastAsia="微软雅黑" w:cs="宋体"/>
          <w:kern w:val="0"/>
          <w:sz w:val="22"/>
          <w:szCs w:val="21"/>
        </w:rPr>
        <w:t>振动锤锤型和机械手型号可按表H.0</w:t>
      </w:r>
      <w:r>
        <w:rPr>
          <w:rFonts w:ascii="Tahoma" w:hAnsi="Tahoma" w:eastAsia="微软雅黑" w:cs="宋体"/>
          <w:kern w:val="0"/>
          <w:sz w:val="22"/>
          <w:szCs w:val="21"/>
        </w:rPr>
        <w:t>.</w:t>
      </w:r>
      <w:r>
        <w:rPr>
          <w:rFonts w:hint="eastAsia" w:ascii="Tahoma" w:hAnsi="Tahoma" w:eastAsia="微软雅黑" w:cs="宋体"/>
          <w:kern w:val="0"/>
          <w:sz w:val="22"/>
          <w:szCs w:val="21"/>
        </w:rPr>
        <w:t>3选用。</w:t>
      </w:r>
    </w:p>
    <w:p>
      <w:pPr>
        <w:adjustRightInd w:val="0"/>
        <w:snapToGrid w:val="0"/>
        <w:spacing w:after="200"/>
        <w:jc w:val="center"/>
        <w:rPr>
          <w:rFonts w:ascii="Tahoma" w:hAnsi="Tahoma" w:eastAsia="微软雅黑" w:cs="宋体"/>
          <w:b/>
          <w:kern w:val="0"/>
          <w:sz w:val="22"/>
          <w:szCs w:val="21"/>
        </w:rPr>
      </w:pPr>
      <w:r>
        <w:rPr>
          <w:rFonts w:hint="eastAsia" w:ascii="Tahoma" w:hAnsi="Tahoma" w:eastAsia="微软雅黑" w:cs="宋体"/>
          <w:b/>
          <w:kern w:val="0"/>
          <w:sz w:val="22"/>
          <w:szCs w:val="21"/>
        </w:rPr>
        <w:t>表H.0</w:t>
      </w:r>
      <w:r>
        <w:rPr>
          <w:rFonts w:ascii="Tahoma" w:hAnsi="Tahoma" w:eastAsia="微软雅黑" w:cs="宋体"/>
          <w:b/>
          <w:kern w:val="0"/>
          <w:sz w:val="22"/>
          <w:szCs w:val="21"/>
        </w:rPr>
        <w:t>.</w:t>
      </w:r>
      <w:r>
        <w:rPr>
          <w:rFonts w:hint="eastAsia" w:ascii="Tahoma" w:hAnsi="Tahoma" w:eastAsia="微软雅黑" w:cs="宋体"/>
          <w:b/>
          <w:kern w:val="0"/>
          <w:sz w:val="22"/>
          <w:szCs w:val="21"/>
        </w:rPr>
        <w:t>3振动锤锤型和机械手技术性能参数</w:t>
      </w:r>
    </w:p>
    <w:tbl>
      <w:tblPr>
        <w:tblStyle w:val="32"/>
        <w:tblW w:w="91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5"/>
        <w:gridCol w:w="1984"/>
        <w:gridCol w:w="1276"/>
        <w:gridCol w:w="1134"/>
        <w:gridCol w:w="1417"/>
        <w:gridCol w:w="25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序号</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设备型号</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动力</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最大激振力（t）</w:t>
            </w:r>
          </w:p>
        </w:tc>
        <w:tc>
          <w:tcPr>
            <w:tcW w:w="1417"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适用钢板桩长度（m）</w:t>
            </w:r>
          </w:p>
        </w:tc>
        <w:tc>
          <w:tcPr>
            <w:tcW w:w="2513" w:type="dxa"/>
            <w:shd w:val="clear" w:color="auto" w:fill="auto"/>
          </w:tcPr>
          <w:p>
            <w:pPr>
              <w:adjustRightInd w:val="0"/>
              <w:snapToGrid w:val="0"/>
              <w:jc w:val="center"/>
              <w:rPr>
                <w:rFonts w:ascii="宋体" w:hAnsi="宋体"/>
                <w:kern w:val="0"/>
                <w:sz w:val="18"/>
                <w:szCs w:val="18"/>
              </w:rPr>
            </w:pPr>
            <w:r>
              <w:rPr>
                <w:rFonts w:hint="eastAsia" w:ascii="宋体" w:hAnsi="宋体"/>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1</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机械手小松360</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液压</w:t>
            </w:r>
          </w:p>
        </w:tc>
        <w:tc>
          <w:tcPr>
            <w:tcW w:w="1134"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35</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≤12</w:t>
            </w:r>
          </w:p>
        </w:tc>
        <w:tc>
          <w:tcPr>
            <w:tcW w:w="2513" w:type="dxa"/>
            <w:shd w:val="clear" w:color="auto" w:fill="auto"/>
          </w:tcPr>
          <w:p>
            <w:pPr>
              <w:adjustRightInd w:val="0"/>
              <w:snapToGrid w:val="0"/>
              <w:jc w:val="center"/>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2</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机械手日立400</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液压</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40</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 xml:space="preserve">≤12 </w:t>
            </w:r>
          </w:p>
        </w:tc>
        <w:tc>
          <w:tcPr>
            <w:tcW w:w="2513" w:type="dxa"/>
            <w:shd w:val="clear" w:color="auto" w:fill="auto"/>
          </w:tcPr>
          <w:p>
            <w:pPr>
              <w:adjustRightInd w:val="0"/>
              <w:snapToGrid w:val="0"/>
              <w:jc w:val="center"/>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3</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机械手日立450</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液压</w:t>
            </w:r>
          </w:p>
        </w:tc>
        <w:tc>
          <w:tcPr>
            <w:tcW w:w="1134"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45-50</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 xml:space="preserve">≤15 </w:t>
            </w:r>
          </w:p>
        </w:tc>
        <w:tc>
          <w:tcPr>
            <w:tcW w:w="2513" w:type="dxa"/>
            <w:shd w:val="clear" w:color="auto" w:fill="auto"/>
          </w:tcPr>
          <w:p>
            <w:pPr>
              <w:adjustRightInd w:val="0"/>
              <w:snapToGrid w:val="0"/>
              <w:jc w:val="center"/>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4</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机械手住友460</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液压</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50</w:t>
            </w:r>
            <w:r>
              <w:rPr>
                <w:rFonts w:ascii="宋体" w:hAnsi="宋体"/>
                <w:kern w:val="0"/>
                <w:sz w:val="18"/>
                <w:szCs w:val="18"/>
              </w:rPr>
              <w:t>-</w:t>
            </w:r>
            <w:r>
              <w:rPr>
                <w:rFonts w:hint="eastAsia" w:ascii="宋体" w:hAnsi="宋体"/>
                <w:kern w:val="0"/>
                <w:sz w:val="18"/>
                <w:szCs w:val="18"/>
              </w:rPr>
              <w:t>55</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 xml:space="preserve">≤15 </w:t>
            </w:r>
          </w:p>
        </w:tc>
        <w:tc>
          <w:tcPr>
            <w:tcW w:w="2513" w:type="dxa"/>
            <w:shd w:val="clear" w:color="auto" w:fill="auto"/>
          </w:tcPr>
          <w:p>
            <w:pPr>
              <w:adjustRightInd w:val="0"/>
              <w:snapToGrid w:val="0"/>
              <w:jc w:val="center"/>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5</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机械手沃尔沃460</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液压</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55</w:t>
            </w:r>
            <w:r>
              <w:rPr>
                <w:rFonts w:ascii="宋体" w:hAnsi="宋体"/>
                <w:kern w:val="0"/>
                <w:sz w:val="18"/>
                <w:szCs w:val="18"/>
              </w:rPr>
              <w:t>-</w:t>
            </w:r>
            <w:r>
              <w:rPr>
                <w:rFonts w:hint="eastAsia" w:ascii="宋体" w:hAnsi="宋体"/>
                <w:kern w:val="0"/>
                <w:sz w:val="18"/>
                <w:szCs w:val="18"/>
              </w:rPr>
              <w:t>60</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 xml:space="preserve">≤15 </w:t>
            </w:r>
          </w:p>
        </w:tc>
        <w:tc>
          <w:tcPr>
            <w:tcW w:w="2513" w:type="dxa"/>
            <w:shd w:val="clear" w:color="auto" w:fill="auto"/>
          </w:tcPr>
          <w:p>
            <w:pPr>
              <w:adjustRightInd w:val="0"/>
              <w:snapToGrid w:val="0"/>
              <w:jc w:val="center"/>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6</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永安DZ90振动锤</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电动90KV</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65</w:t>
            </w:r>
            <w:r>
              <w:rPr>
                <w:rFonts w:ascii="宋体" w:hAnsi="宋体"/>
                <w:kern w:val="0"/>
                <w:sz w:val="18"/>
                <w:szCs w:val="18"/>
              </w:rPr>
              <w:t>-</w:t>
            </w:r>
            <w:r>
              <w:rPr>
                <w:rFonts w:hint="eastAsia" w:ascii="宋体" w:hAnsi="宋体"/>
                <w:kern w:val="0"/>
                <w:sz w:val="18"/>
                <w:szCs w:val="18"/>
              </w:rPr>
              <w:t>67</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 xml:space="preserve">≤15 </w:t>
            </w:r>
          </w:p>
        </w:tc>
        <w:tc>
          <w:tcPr>
            <w:tcW w:w="2513" w:type="dxa"/>
            <w:shd w:val="clear" w:color="auto" w:fill="auto"/>
          </w:tcPr>
          <w:p>
            <w:pPr>
              <w:adjustRightInd w:val="0"/>
              <w:snapToGrid w:val="0"/>
              <w:jc w:val="center"/>
              <w:rPr>
                <w:rFonts w:ascii="宋体" w:hAnsi="宋体"/>
                <w:kern w:val="0"/>
                <w:sz w:val="18"/>
                <w:szCs w:val="18"/>
              </w:rPr>
            </w:pPr>
            <w:r>
              <w:rPr>
                <w:rFonts w:hint="eastAsia" w:ascii="宋体" w:hAnsi="宋体"/>
                <w:kern w:val="0"/>
                <w:sz w:val="18"/>
                <w:szCs w:val="18"/>
              </w:rPr>
              <w:t>采用50吨履带吊车悬吊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7</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永安DZ120振动锤</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电动120KV</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75</w:t>
            </w:r>
            <w:r>
              <w:rPr>
                <w:rFonts w:ascii="宋体" w:hAnsi="宋体"/>
                <w:kern w:val="0"/>
                <w:sz w:val="18"/>
                <w:szCs w:val="18"/>
              </w:rPr>
              <w:t>-</w:t>
            </w:r>
            <w:r>
              <w:rPr>
                <w:rFonts w:hint="eastAsia" w:ascii="宋体" w:hAnsi="宋体"/>
                <w:kern w:val="0"/>
                <w:sz w:val="18"/>
                <w:szCs w:val="18"/>
              </w:rPr>
              <w:t>77</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 xml:space="preserve">≤18 </w:t>
            </w:r>
          </w:p>
        </w:tc>
        <w:tc>
          <w:tcPr>
            <w:tcW w:w="2513" w:type="dxa"/>
            <w:shd w:val="clear" w:color="auto" w:fill="auto"/>
          </w:tcPr>
          <w:p>
            <w:pPr>
              <w:adjustRightInd w:val="0"/>
              <w:snapToGrid w:val="0"/>
              <w:jc w:val="center"/>
              <w:rPr>
                <w:rFonts w:ascii="宋体" w:hAnsi="宋体"/>
                <w:kern w:val="0"/>
                <w:sz w:val="18"/>
                <w:szCs w:val="18"/>
              </w:rPr>
            </w:pPr>
            <w:r>
              <w:rPr>
                <w:rFonts w:hint="eastAsia" w:ascii="宋体" w:hAnsi="宋体"/>
                <w:kern w:val="0"/>
                <w:sz w:val="18"/>
                <w:szCs w:val="18"/>
              </w:rPr>
              <w:t>采用50吨履带吊车悬吊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805"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8</w:t>
            </w:r>
          </w:p>
        </w:tc>
        <w:tc>
          <w:tcPr>
            <w:tcW w:w="198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永安DZJ180振动锤</w:t>
            </w:r>
          </w:p>
        </w:tc>
        <w:tc>
          <w:tcPr>
            <w:tcW w:w="1276"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电动180KV</w:t>
            </w:r>
          </w:p>
        </w:tc>
        <w:tc>
          <w:tcPr>
            <w:tcW w:w="1134" w:type="dxa"/>
            <w:shd w:val="clear" w:color="auto" w:fill="auto"/>
            <w:vAlign w:val="center"/>
          </w:tcPr>
          <w:p>
            <w:pPr>
              <w:adjustRightInd w:val="0"/>
              <w:snapToGrid w:val="0"/>
              <w:jc w:val="center"/>
              <w:rPr>
                <w:rFonts w:ascii="宋体" w:hAnsi="宋体"/>
                <w:kern w:val="0"/>
                <w:sz w:val="18"/>
                <w:szCs w:val="18"/>
              </w:rPr>
            </w:pPr>
            <w:r>
              <w:rPr>
                <w:rFonts w:hint="eastAsia" w:ascii="宋体" w:hAnsi="宋体"/>
                <w:kern w:val="0"/>
                <w:sz w:val="18"/>
                <w:szCs w:val="18"/>
              </w:rPr>
              <w:t>135-139</w:t>
            </w:r>
          </w:p>
        </w:tc>
        <w:tc>
          <w:tcPr>
            <w:tcW w:w="1417" w:type="dxa"/>
            <w:shd w:val="clear" w:color="auto" w:fill="auto"/>
            <w:vAlign w:val="center"/>
          </w:tcPr>
          <w:p>
            <w:pPr>
              <w:adjustRightInd w:val="0"/>
              <w:snapToGrid w:val="0"/>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24</w:t>
            </w:r>
            <w:r>
              <w:rPr>
                <w:rFonts w:ascii="宋体" w:hAnsi="宋体"/>
                <w:kern w:val="0"/>
                <w:sz w:val="18"/>
                <w:szCs w:val="18"/>
              </w:rPr>
              <w:t xml:space="preserve"> </w:t>
            </w:r>
          </w:p>
        </w:tc>
        <w:tc>
          <w:tcPr>
            <w:tcW w:w="2513" w:type="dxa"/>
            <w:shd w:val="clear" w:color="auto" w:fill="auto"/>
          </w:tcPr>
          <w:p>
            <w:pPr>
              <w:adjustRightInd w:val="0"/>
              <w:snapToGrid w:val="0"/>
              <w:jc w:val="center"/>
              <w:rPr>
                <w:rFonts w:ascii="宋体" w:hAnsi="宋体"/>
                <w:kern w:val="0"/>
                <w:sz w:val="18"/>
                <w:szCs w:val="18"/>
              </w:rPr>
            </w:pPr>
            <w:r>
              <w:rPr>
                <w:rFonts w:hint="eastAsia" w:ascii="宋体" w:hAnsi="宋体"/>
                <w:kern w:val="0"/>
                <w:sz w:val="18"/>
                <w:szCs w:val="18"/>
              </w:rPr>
              <w:t>采用80吨履带吊车悬吊</w:t>
            </w:r>
          </w:p>
        </w:tc>
      </w:tr>
    </w:tbl>
    <w:p>
      <w:pPr>
        <w:rPr>
          <w:rFonts w:ascii="Times New Roman" w:hAnsi="Times New Roman" w:cs="宋体"/>
          <w:sz w:val="32"/>
          <w:szCs w:val="32"/>
          <w:lang w:bidi="ar"/>
        </w:rPr>
        <w:sectPr>
          <w:footerReference r:id="rId4" w:type="default"/>
          <w:pgSz w:w="12240" w:h="15840"/>
          <w:pgMar w:top="1440" w:right="1800" w:bottom="1440" w:left="1800" w:header="720" w:footer="720" w:gutter="0"/>
          <w:cols w:space="425" w:num="1"/>
          <w:docGrid w:type="lines" w:linePitch="312" w:charSpace="0"/>
        </w:sectPr>
      </w:pPr>
      <w:r>
        <w:rPr>
          <w:rFonts w:ascii="Times New Roman" w:hAnsi="Times New Roman" w:cs="宋体"/>
          <w:sz w:val="32"/>
          <w:szCs w:val="32"/>
          <w:lang w:bidi="ar"/>
        </w:rPr>
        <w:br w:type="page"/>
      </w:r>
    </w:p>
    <w:p>
      <w:pPr>
        <w:pStyle w:val="2"/>
        <w:bidi w:val="0"/>
        <w:rPr>
          <w:rFonts w:hint="eastAsia"/>
          <w:sz w:val="36"/>
          <w:szCs w:val="36"/>
        </w:rPr>
      </w:pPr>
      <w:r>
        <w:rPr>
          <w:rFonts w:hint="eastAsia"/>
          <w:sz w:val="36"/>
          <w:szCs w:val="36"/>
        </w:rPr>
        <w:t>附录</w:t>
      </w:r>
      <w:r>
        <w:rPr>
          <w:rFonts w:hint="eastAsia"/>
          <w:sz w:val="36"/>
          <w:szCs w:val="36"/>
          <w:lang w:val="en-US" w:eastAsia="zh-CN"/>
        </w:rPr>
        <w:t>J</w:t>
      </w:r>
      <w:r>
        <w:rPr>
          <w:rFonts w:hint="eastAsia"/>
          <w:sz w:val="36"/>
          <w:szCs w:val="36"/>
        </w:rPr>
        <w:t xml:space="preserve">  型钢水泥土搅拌墙常用规格及计算参数</w:t>
      </w:r>
      <w:bookmarkEnd w:id="1024"/>
      <w:bookmarkEnd w:id="1025"/>
      <w:bookmarkEnd w:id="1026"/>
    </w:p>
    <w:p>
      <w:pPr>
        <w:tabs>
          <w:tab w:val="left" w:pos="658"/>
          <w:tab w:val="left" w:pos="1078"/>
          <w:tab w:val="left" w:pos="1274"/>
          <w:tab w:val="left" w:pos="1620"/>
          <w:tab w:val="left" w:pos="2520"/>
          <w:tab w:val="left" w:pos="4680"/>
          <w:tab w:val="left" w:pos="7020"/>
        </w:tabs>
        <w:spacing w:line="480" w:lineRule="exact"/>
        <w:rPr>
          <w:rFonts w:hint="eastAsia" w:ascii="宋体" w:hAnsi="宋体"/>
          <w:szCs w:val="24"/>
        </w:rPr>
      </w:pPr>
      <w:bookmarkStart w:id="1042" w:name="_Toc4749"/>
      <w:r>
        <w:rPr>
          <w:sz w:val="36"/>
          <w:szCs w:val="36"/>
        </w:rPr>
        <w:drawing>
          <wp:anchor distT="0" distB="0" distL="114300" distR="114300" simplePos="0" relativeHeight="251674624" behindDoc="0" locked="0" layoutInCell="1" allowOverlap="1">
            <wp:simplePos x="0" y="0"/>
            <wp:positionH relativeFrom="column">
              <wp:posOffset>-52705</wp:posOffset>
            </wp:positionH>
            <wp:positionV relativeFrom="paragraph">
              <wp:posOffset>313055</wp:posOffset>
            </wp:positionV>
            <wp:extent cx="8229600" cy="4216400"/>
            <wp:effectExtent l="0" t="0" r="0" b="5080"/>
            <wp:wrapSquare wrapText="bothSides"/>
            <wp:docPr id="603" name="图片 603" descr="附录H_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3" name="图片 603" descr="附录H_00(1)"/>
                    <pic:cNvPicPr>
                      <a:picLocks noChangeAspect="true"/>
                    </pic:cNvPicPr>
                  </pic:nvPicPr>
                  <pic:blipFill>
                    <a:blip r:embed="rId826" cstate="print">
                      <a:extLst>
                        <a:ext uri="{28A0092B-C50C-407E-A947-70E740481C1C}">
                          <a14:useLocalDpi xmlns:a14="http://schemas.microsoft.com/office/drawing/2010/main" val="false"/>
                        </a:ext>
                      </a:extLst>
                    </a:blip>
                    <a:srcRect l="2031" t="21206" r="1538" b="16260"/>
                    <a:stretch>
                      <a:fillRect/>
                    </a:stretch>
                  </pic:blipFill>
                  <pic:spPr>
                    <a:xfrm>
                      <a:off x="0" y="0"/>
                      <a:ext cx="8229600" cy="4216400"/>
                    </a:xfrm>
                    <a:prstGeom prst="rect">
                      <a:avLst/>
                    </a:prstGeom>
                    <a:ln>
                      <a:noFill/>
                    </a:ln>
                  </pic:spPr>
                </pic:pic>
              </a:graphicData>
            </a:graphic>
          </wp:anchor>
        </w:drawing>
      </w:r>
      <w:r>
        <w:rPr>
          <w:rFonts w:hint="eastAsia" w:ascii="Times New Roman" w:hAnsi="Times New Roman"/>
          <w:b/>
          <w:szCs w:val="24"/>
          <w:lang w:val="en-US" w:eastAsia="zh-CN"/>
        </w:rPr>
        <w:t>J.0.1</w:t>
      </w:r>
      <w:r>
        <w:rPr>
          <w:rFonts w:hint="eastAsia" w:ascii="宋体" w:hAnsi="宋体"/>
          <w:szCs w:val="24"/>
          <w:lang w:val="en-US" w:eastAsia="zh-CN"/>
        </w:rPr>
        <w:t>型钢水泥土搅拌墙常用规格及计算参数见表H.0.1。</w:t>
      </w:r>
    </w:p>
    <w:p>
      <w:pPr>
        <w:pStyle w:val="2"/>
        <w:bidi w:val="0"/>
        <w:rPr>
          <w:sz w:val="36"/>
          <w:szCs w:val="36"/>
        </w:rPr>
      </w:pPr>
      <w:bookmarkStart w:id="1043" w:name="_Toc22174"/>
      <w:bookmarkStart w:id="1044" w:name="_Toc15896"/>
      <w:r>
        <w:rPr>
          <w:rFonts w:hint="eastAsia"/>
          <w:sz w:val="36"/>
          <w:szCs w:val="36"/>
        </w:rPr>
        <w:t>附录</w:t>
      </w:r>
      <w:r>
        <w:rPr>
          <w:rFonts w:hint="eastAsia"/>
          <w:sz w:val="36"/>
          <w:szCs w:val="36"/>
          <w:lang w:val="en-US" w:eastAsia="zh-CN"/>
        </w:rPr>
        <w:t>K</w:t>
      </w:r>
      <w:r>
        <w:rPr>
          <w:rFonts w:hint="eastAsia"/>
          <w:sz w:val="36"/>
          <w:szCs w:val="36"/>
        </w:rPr>
        <w:t xml:space="preserve">  常用预应力混凝土预制桩选型</w:t>
      </w:r>
      <w:bookmarkEnd w:id="1042"/>
      <w:bookmarkEnd w:id="1043"/>
      <w:bookmarkEnd w:id="1044"/>
    </w:p>
    <w:p>
      <w:pPr>
        <w:tabs>
          <w:tab w:val="left" w:pos="658"/>
          <w:tab w:val="left" w:pos="1078"/>
          <w:tab w:val="left" w:pos="1274"/>
          <w:tab w:val="left" w:pos="1620"/>
          <w:tab w:val="left" w:pos="2520"/>
          <w:tab w:val="left" w:pos="4680"/>
          <w:tab w:val="left" w:pos="7020"/>
        </w:tabs>
        <w:spacing w:line="480" w:lineRule="exact"/>
      </w:pPr>
      <w:r>
        <w:rPr>
          <w:rFonts w:hint="eastAsia" w:ascii="Times New Roman" w:hAnsi="Times New Roman"/>
          <w:b/>
          <w:szCs w:val="24"/>
          <w:lang w:val="en-US" w:eastAsia="zh-CN"/>
        </w:rPr>
        <w:t>K</w:t>
      </w:r>
      <w:r>
        <w:rPr>
          <w:rFonts w:hint="eastAsia" w:ascii="Times New Roman" w:hAnsi="Times New Roman"/>
          <w:b/>
          <w:szCs w:val="24"/>
        </w:rPr>
        <w:t>.0</w:t>
      </w:r>
      <w:r>
        <w:rPr>
          <w:rFonts w:ascii="Times New Roman" w:hAnsi="Times New Roman"/>
          <w:b/>
          <w:szCs w:val="24"/>
        </w:rPr>
        <w:t>.</w:t>
      </w:r>
      <w:r>
        <w:rPr>
          <w:rFonts w:hint="eastAsia" w:ascii="Times New Roman" w:hAnsi="Times New Roman"/>
          <w:b/>
          <w:szCs w:val="24"/>
        </w:rPr>
        <w:t>1</w:t>
      </w:r>
      <w:r>
        <w:rPr>
          <w:rFonts w:ascii="宋体" w:hAnsi="宋体"/>
          <w:szCs w:val="24"/>
        </w:rPr>
        <w:t xml:space="preserve"> </w:t>
      </w:r>
      <w:r>
        <w:rPr>
          <w:rFonts w:hint="eastAsia" w:ascii="宋体" w:hAnsi="宋体"/>
          <w:szCs w:val="24"/>
        </w:rPr>
        <w:t>PRC管桩的结构形式，配筋及相关参数</w:t>
      </w:r>
      <w:r>
        <w:rPr>
          <w:rFonts w:hint="eastAsia" w:ascii="宋体" w:hAnsi="宋体"/>
          <w:szCs w:val="24"/>
          <w:lang w:val="en-US" w:eastAsia="zh-CN"/>
        </w:rPr>
        <w:t>见</w:t>
      </w:r>
      <w:r>
        <w:rPr>
          <w:rFonts w:hint="eastAsia" w:ascii="宋体" w:hAnsi="宋体"/>
          <w:szCs w:val="24"/>
        </w:rPr>
        <w:t>表</w:t>
      </w:r>
      <w:r>
        <w:rPr>
          <w:rFonts w:hint="eastAsia" w:ascii="宋体" w:hAnsi="宋体"/>
          <w:szCs w:val="24"/>
          <w:lang w:val="en-US" w:eastAsia="zh-CN"/>
        </w:rPr>
        <w:t>K</w:t>
      </w:r>
      <w:r>
        <w:rPr>
          <w:rFonts w:hint="eastAsia" w:ascii="宋体" w:hAnsi="宋体"/>
          <w:szCs w:val="24"/>
        </w:rPr>
        <w:t>.0.1。</w:t>
      </w:r>
    </w:p>
    <w:p>
      <w:pPr>
        <w:spacing w:before="93" w:beforeLines="30" w:after="93" w:afterLines="30" w:line="300" w:lineRule="exact"/>
        <w:jc w:val="center"/>
        <w:rPr>
          <w:b/>
          <w:bCs/>
          <w:szCs w:val="21"/>
        </w:rPr>
      </w:pPr>
      <w:r>
        <w:rPr>
          <w:rFonts w:ascii="Times New Roman" w:hAnsi="Times New Roman"/>
          <w:b/>
          <w:bCs/>
          <w:spacing w:val="-6"/>
          <w:sz w:val="21"/>
          <w:szCs w:val="21"/>
        </w:rPr>
        <w:t>表</w:t>
      </w:r>
      <w:r>
        <w:rPr>
          <w:rFonts w:ascii="Times New Roman" w:hAnsi="Times New Roman"/>
          <w:b/>
          <w:bCs/>
          <w:spacing w:val="-30"/>
          <w:sz w:val="21"/>
          <w:szCs w:val="21"/>
        </w:rPr>
        <w:t xml:space="preserve">  </w:t>
      </w:r>
      <w:r>
        <w:rPr>
          <w:rFonts w:hint="eastAsia" w:ascii="Times New Roman" w:hAnsi="Times New Roman"/>
          <w:b/>
          <w:bCs/>
          <w:spacing w:val="-6"/>
          <w:sz w:val="21"/>
          <w:szCs w:val="21"/>
          <w:lang w:val="en-US" w:eastAsia="zh-CN"/>
        </w:rPr>
        <w:t>K</w:t>
      </w:r>
      <w:r>
        <w:rPr>
          <w:rFonts w:ascii="Times New Roman" w:hAnsi="Times New Roman"/>
          <w:b/>
          <w:bCs/>
          <w:spacing w:val="-6"/>
          <w:sz w:val="21"/>
          <w:szCs w:val="21"/>
        </w:rPr>
        <w:t>.0.1</w:t>
      </w:r>
      <w:r>
        <w:rPr>
          <w:rFonts w:ascii="Times New Roman" w:hAnsi="Times New Roman"/>
          <w:b/>
          <w:bCs/>
          <w:w w:val="101"/>
          <w:sz w:val="21"/>
          <w:szCs w:val="21"/>
        </w:rPr>
        <w:t xml:space="preserve">  </w:t>
      </w:r>
      <w:r>
        <w:rPr>
          <w:rFonts w:ascii="Times New Roman" w:hAnsi="Times New Roman"/>
          <w:b/>
          <w:bCs/>
          <w:spacing w:val="-6"/>
          <w:sz w:val="21"/>
          <w:szCs w:val="21"/>
        </w:rPr>
        <w:t>PRC</w:t>
      </w:r>
      <w:r>
        <w:rPr>
          <w:rFonts w:ascii="Times New Roman" w:hAnsi="Times New Roman"/>
          <w:b/>
          <w:bCs/>
          <w:spacing w:val="12"/>
          <w:sz w:val="21"/>
          <w:szCs w:val="21"/>
        </w:rPr>
        <w:t xml:space="preserve"> </w:t>
      </w:r>
      <w:r>
        <w:rPr>
          <w:rFonts w:ascii="Times New Roman" w:hAnsi="Times New Roman"/>
          <w:b/>
          <w:bCs/>
          <w:spacing w:val="-6"/>
          <w:sz w:val="21"/>
          <w:szCs w:val="21"/>
        </w:rPr>
        <w:t>管桩桩身配筋及相关参数表（</w:t>
      </w:r>
      <w:r>
        <w:rPr>
          <w:rFonts w:hint="eastAsia" w:ascii="Times New Roman" w:hAnsi="Times New Roman"/>
          <w:b/>
          <w:bCs/>
          <w:spacing w:val="-6"/>
          <w:sz w:val="21"/>
          <w:szCs w:val="21"/>
        </w:rPr>
        <w:t>I</w:t>
      </w:r>
      <w:r>
        <w:rPr>
          <w:rFonts w:ascii="Times New Roman" w:hAnsi="Times New Roman"/>
          <w:b/>
          <w:bCs/>
          <w:spacing w:val="-6"/>
          <w:sz w:val="21"/>
          <w:szCs w:val="21"/>
        </w:rPr>
        <w:t>型）</w:t>
      </w:r>
    </w:p>
    <w:tbl>
      <w:tblPr>
        <w:tblStyle w:val="94"/>
        <w:tblW w:w="133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3"/>
        <w:gridCol w:w="658"/>
        <w:gridCol w:w="726"/>
        <w:gridCol w:w="877"/>
        <w:gridCol w:w="785"/>
        <w:gridCol w:w="646"/>
        <w:gridCol w:w="808"/>
        <w:gridCol w:w="784"/>
        <w:gridCol w:w="993"/>
        <w:gridCol w:w="911"/>
        <w:gridCol w:w="875"/>
        <w:gridCol w:w="868"/>
        <w:gridCol w:w="1195"/>
        <w:gridCol w:w="846"/>
        <w:gridCol w:w="819"/>
        <w:gridCol w:w="6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规格</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（代号-外径-壁</w:t>
            </w:r>
            <w:r>
              <w:rPr>
                <w:rFonts w:ascii="Times New Roman" w:hAnsi="Times New Roman" w:eastAsiaTheme="minorEastAsia" w:cstheme="minorBidi"/>
                <w:spacing w:val="6"/>
                <w:w w:val="101"/>
                <w:sz w:val="21"/>
                <w:szCs w:val="21"/>
              </w:rPr>
              <w:t xml:space="preserve"> </w:t>
            </w:r>
            <w:r>
              <w:rPr>
                <w:rFonts w:ascii="Times New Roman" w:hAnsi="Times New Roman" w:eastAsiaTheme="minorEastAsia" w:cstheme="minorBidi"/>
                <w:spacing w:val="-6"/>
                <w:sz w:val="21"/>
                <w:szCs w:val="21"/>
              </w:rPr>
              <w:t>厚）</w:t>
            </w:r>
          </w:p>
        </w:tc>
        <w:tc>
          <w:tcPr>
            <w:tcW w:w="658"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型号</w:t>
            </w:r>
          </w:p>
        </w:tc>
        <w:tc>
          <w:tcPr>
            <w:tcW w:w="726"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单节最大长度</w:t>
            </w:r>
          </w:p>
          <w:p>
            <w:pPr>
              <w:spacing w:line="240" w:lineRule="exact"/>
              <w:jc w:val="center"/>
              <w:rPr>
                <w:rFonts w:eastAsiaTheme="minorEastAsia" w:cstheme="minorBidi"/>
                <w:szCs w:val="21"/>
              </w:rPr>
            </w:pPr>
            <w:r>
              <w:rPr>
                <w:rFonts w:ascii="Times New Roman" w:hAnsi="Times New Roman" w:eastAsiaTheme="minorEastAsia" w:cstheme="minorBidi"/>
                <w:sz w:val="21"/>
                <w:szCs w:val="21"/>
              </w:rPr>
              <w:t>L</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w:t>
            </w:r>
          </w:p>
        </w:tc>
        <w:tc>
          <w:tcPr>
            <w:tcW w:w="877"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预应力钢</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棒数量与</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直径</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785"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非预应</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力钢筋</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数量与</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直径</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646"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螺旋筋直</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径</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808"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 xml:space="preserve">混凝土有效预压应力 </w:t>
            </w:r>
            <w:r>
              <w:rPr>
                <w:rFonts w:ascii="Times New Roman" w:hAnsi="Times New Roman" w:eastAsiaTheme="minorEastAsia" w:cstheme="minorBidi"/>
                <w:i/>
                <w:iCs/>
                <w:spacing w:val="-5"/>
                <w:sz w:val="21"/>
                <w:szCs w:val="21"/>
              </w:rPr>
              <w:t>σ</w:t>
            </w:r>
            <w:r>
              <w:rPr>
                <w:rFonts w:ascii="Times New Roman" w:hAnsi="Times New Roman" w:eastAsiaTheme="minorEastAsia" w:cstheme="minorBidi"/>
                <w:spacing w:val="-5"/>
                <w:sz w:val="21"/>
                <w:szCs w:val="21"/>
                <w:vertAlign w:val="subscript"/>
              </w:rPr>
              <w:t>pc</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(MPa)</w:t>
            </w:r>
          </w:p>
        </w:tc>
        <w:tc>
          <w:tcPr>
            <w:tcW w:w="784"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纵向主</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筋分布</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圆周直</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径</w:t>
            </w:r>
            <w:r>
              <w:rPr>
                <w:rFonts w:ascii="Times New Roman" w:hAnsi="Times New Roman" w:eastAsiaTheme="minorEastAsia" w:cstheme="minorBidi"/>
                <w:spacing w:val="-40"/>
                <w:sz w:val="21"/>
                <w:szCs w:val="21"/>
              </w:rPr>
              <w:t xml:space="preserve"> </w:t>
            </w:r>
            <w:r>
              <w:rPr>
                <w:rFonts w:ascii="Times New Roman" w:hAnsi="Times New Roman" w:eastAsiaTheme="minorEastAsia" w:cstheme="minorBidi"/>
                <w:i/>
                <w:iCs/>
                <w:spacing w:val="-4"/>
                <w:sz w:val="21"/>
                <w:szCs w:val="21"/>
              </w:rPr>
              <w:t>D</w:t>
            </w:r>
            <w:r>
              <w:rPr>
                <w:rFonts w:ascii="Times New Roman" w:hAnsi="Times New Roman" w:eastAsiaTheme="minorEastAsia" w:cstheme="minorBidi"/>
                <w:spacing w:val="-4"/>
                <w:sz w:val="21"/>
                <w:szCs w:val="21"/>
                <w:vertAlign w:val="subscript"/>
              </w:rPr>
              <w:t>p</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993"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换算截面抵抗矩</w:t>
            </w:r>
            <w:r>
              <w:rPr>
                <w:rFonts w:ascii="Times New Roman" w:hAnsi="Times New Roman" w:eastAsiaTheme="minorEastAsia" w:cstheme="minorBidi"/>
                <w:spacing w:val="-42"/>
                <w:sz w:val="21"/>
                <w:szCs w:val="21"/>
              </w:rPr>
              <w:t xml:space="preserve"> </w:t>
            </w:r>
            <w:r>
              <w:rPr>
                <w:rFonts w:ascii="Times New Roman" w:hAnsi="Times New Roman" w:eastAsiaTheme="minorEastAsia" w:cstheme="minorBidi"/>
                <w:spacing w:val="-3"/>
                <w:sz w:val="21"/>
                <w:szCs w:val="21"/>
              </w:rPr>
              <w:t>W</w:t>
            </w:r>
            <w:r>
              <w:rPr>
                <w:rFonts w:ascii="Times New Roman" w:hAnsi="Times New Roman" w:eastAsiaTheme="minorEastAsia" w:cstheme="minorBidi"/>
                <w:spacing w:val="-3"/>
                <w:sz w:val="21"/>
                <w:szCs w:val="21"/>
                <w:vertAlign w:val="subscript"/>
              </w:rPr>
              <w:t>0</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r>
              <w:rPr>
                <w:rFonts w:ascii="Times New Roman" w:hAnsi="Times New Roman" w:eastAsiaTheme="minorEastAsia" w:cstheme="minorBidi"/>
                <w:spacing w:val="-3"/>
                <w:position w:val="5"/>
                <w:sz w:val="21"/>
                <w:szCs w:val="21"/>
              </w:rPr>
              <w:t>3</w:t>
            </w:r>
            <w:r>
              <w:rPr>
                <w:rFonts w:ascii="Times New Roman" w:hAnsi="Times New Roman" w:eastAsiaTheme="minorEastAsia" w:cstheme="minorBidi"/>
                <w:spacing w:val="20"/>
                <w:w w:val="103"/>
                <w:position w:val="5"/>
                <w:sz w:val="21"/>
                <w:szCs w:val="21"/>
              </w:rPr>
              <w:t xml:space="preserve"> </w:t>
            </w:r>
            <w:r>
              <w:rPr>
                <w:rFonts w:ascii="Times New Roman" w:hAnsi="Times New Roman" w:eastAsiaTheme="minorEastAsia" w:cstheme="minorBidi"/>
                <w:spacing w:val="-3"/>
                <w:sz w:val="21"/>
                <w:szCs w:val="21"/>
              </w:rPr>
              <w:t>×10</w:t>
            </w:r>
            <w:r>
              <w:rPr>
                <w:rFonts w:ascii="Times New Roman" w:hAnsi="Times New Roman" w:eastAsiaTheme="minorEastAsia" w:cstheme="minorBidi"/>
                <w:spacing w:val="-3"/>
                <w:position w:val="5"/>
                <w:sz w:val="21"/>
                <w:szCs w:val="21"/>
              </w:rPr>
              <w:t>6</w:t>
            </w:r>
            <w:r>
              <w:rPr>
                <w:rFonts w:ascii="Times New Roman" w:hAnsi="Times New Roman" w:eastAsiaTheme="minorEastAsia" w:cstheme="minorBidi"/>
                <w:spacing w:val="5"/>
                <w:position w:val="5"/>
                <w:sz w:val="21"/>
                <w:szCs w:val="21"/>
              </w:rPr>
              <w:t xml:space="preserve"> </w:t>
            </w:r>
            <w:r>
              <w:rPr>
                <w:rFonts w:ascii="Times New Roman" w:hAnsi="Times New Roman" w:eastAsiaTheme="minorEastAsia" w:cstheme="minorBidi"/>
                <w:spacing w:val="-3"/>
                <w:sz w:val="21"/>
                <w:szCs w:val="21"/>
              </w:rPr>
              <w:t>)</w:t>
            </w:r>
          </w:p>
        </w:tc>
        <w:tc>
          <w:tcPr>
            <w:tcW w:w="911"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桩身受弯</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承载力设</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计值</w:t>
            </w:r>
            <w:r>
              <w:rPr>
                <w:rFonts w:ascii="Times New Roman" w:hAnsi="Times New Roman" w:eastAsiaTheme="minorEastAsia" w:cstheme="minorBidi"/>
                <w:spacing w:val="-2"/>
                <w:sz w:val="21"/>
                <w:szCs w:val="21"/>
              </w:rPr>
              <w:t>[M]</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(kN·m)</w:t>
            </w:r>
          </w:p>
        </w:tc>
        <w:tc>
          <w:tcPr>
            <w:tcW w:w="875"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桩身斜受</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剪承载力</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设计值</w:t>
            </w:r>
            <w:r>
              <w:rPr>
                <w:rFonts w:ascii="Times New Roman" w:hAnsi="Times New Roman" w:eastAsiaTheme="minorEastAsia" w:cstheme="minorBidi"/>
                <w:spacing w:val="-2"/>
                <w:sz w:val="21"/>
                <w:szCs w:val="21"/>
              </w:rPr>
              <w:t>[V]</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w:t>
            </w:r>
          </w:p>
        </w:tc>
        <w:tc>
          <w:tcPr>
            <w:tcW w:w="868"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桩</w:t>
            </w:r>
            <w:r>
              <w:rPr>
                <w:rFonts w:ascii="Times New Roman" w:hAnsi="Times New Roman" w:eastAsiaTheme="minorEastAsia" w:cstheme="minorBidi"/>
                <w:spacing w:val="-4"/>
                <w:sz w:val="21"/>
                <w:szCs w:val="21"/>
              </w:rPr>
              <w:t>身轴心受拉承载力设计值</w:t>
            </w:r>
            <w:r>
              <w:rPr>
                <w:rFonts w:ascii="Times New Roman" w:hAnsi="Times New Roman" w:eastAsiaTheme="minorEastAsia" w:cstheme="minorBidi"/>
                <w:spacing w:val="-2"/>
                <w:sz w:val="21"/>
                <w:szCs w:val="21"/>
              </w:rPr>
              <w:t>[N]</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w:t>
            </w:r>
          </w:p>
        </w:tc>
        <w:tc>
          <w:tcPr>
            <w:tcW w:w="1195"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桩身轴心受压承载力设计值（未考虑压屈影响）</w:t>
            </w:r>
            <w:r>
              <w:rPr>
                <w:rFonts w:ascii="Times New Roman" w:hAnsi="Times New Roman" w:eastAsiaTheme="minorEastAsia" w:cstheme="minorBidi"/>
                <w:spacing w:val="-18"/>
                <w:w w:val="99"/>
                <w:sz w:val="21"/>
                <w:szCs w:val="21"/>
              </w:rPr>
              <w:t>[R]</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w:t>
            </w:r>
          </w:p>
        </w:tc>
        <w:tc>
          <w:tcPr>
            <w:tcW w:w="846"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按标准组合计算的抗裂弯矩</w:t>
            </w:r>
            <w:r>
              <w:rPr>
                <w:rFonts w:ascii="Times New Roman" w:hAnsi="Times New Roman" w:eastAsiaTheme="minorEastAsia" w:cstheme="minorBidi"/>
                <w:i/>
                <w:iCs/>
                <w:spacing w:val="-1"/>
                <w:sz w:val="21"/>
                <w:szCs w:val="21"/>
              </w:rPr>
              <w:t>M</w:t>
            </w:r>
            <w:r>
              <w:rPr>
                <w:rFonts w:ascii="Times New Roman" w:hAnsi="Times New Roman" w:eastAsiaTheme="minorEastAsia" w:cstheme="minorBidi"/>
                <w:spacing w:val="-1"/>
                <w:sz w:val="21"/>
                <w:szCs w:val="21"/>
                <w:vertAlign w:val="subscript"/>
              </w:rPr>
              <w:t>k</w:t>
            </w:r>
            <w:r>
              <w:rPr>
                <w:rFonts w:ascii="Times New Roman" w:hAnsi="Times New Roman" w:eastAsiaTheme="minorEastAsia" w:cstheme="minorBidi"/>
                <w:spacing w:val="-1"/>
                <w:sz w:val="21"/>
                <w:szCs w:val="21"/>
              </w:rPr>
              <w:t>≤</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(kN·m)</w:t>
            </w:r>
          </w:p>
        </w:tc>
        <w:tc>
          <w:tcPr>
            <w:tcW w:w="819" w:type="dxa"/>
            <w:vAlign w:val="center"/>
          </w:tcPr>
          <w:p>
            <w:pPr>
              <w:spacing w:line="240" w:lineRule="exact"/>
              <w:jc w:val="center"/>
              <w:rPr>
                <w:rFonts w:eastAsiaTheme="minorEastAsia" w:cstheme="minorBidi"/>
                <w:spacing w:val="5"/>
                <w:szCs w:val="21"/>
              </w:rPr>
            </w:pPr>
            <w:r>
              <w:rPr>
                <w:rFonts w:ascii="Times New Roman" w:hAnsi="Times New Roman" w:eastAsiaTheme="minorEastAsia" w:cstheme="minorBidi"/>
                <w:spacing w:val="-4"/>
                <w:sz w:val="21"/>
                <w:szCs w:val="21"/>
              </w:rPr>
              <w:t>按标准组合计算的抗裂拉力</w:t>
            </w:r>
            <w:r>
              <w:rPr>
                <w:rFonts w:ascii="Times New Roman" w:hAnsi="Times New Roman" w:eastAsiaTheme="minorEastAsia" w:cstheme="minorBidi"/>
                <w:i/>
                <w:iCs/>
                <w:spacing w:val="5"/>
                <w:sz w:val="21"/>
                <w:szCs w:val="21"/>
              </w:rPr>
              <w:t>N</w:t>
            </w:r>
            <w:r>
              <w:rPr>
                <w:rFonts w:ascii="Times New Roman" w:hAnsi="Times New Roman" w:eastAsiaTheme="minorEastAsia" w:cstheme="minorBidi"/>
                <w:spacing w:val="5"/>
                <w:sz w:val="21"/>
                <w:szCs w:val="21"/>
                <w:vertAlign w:val="subscript"/>
              </w:rPr>
              <w:t>k</w:t>
            </w:r>
            <w:r>
              <w:rPr>
                <w:rFonts w:ascii="Times New Roman" w:hAnsi="Times New Roman" w:eastAsiaTheme="minorEastAsia" w:cstheme="minorBidi"/>
                <w:spacing w:val="5"/>
                <w:sz w:val="21"/>
                <w:szCs w:val="21"/>
              </w:rPr>
              <w:t>≤</w:t>
            </w:r>
          </w:p>
          <w:p>
            <w:pPr>
              <w:spacing w:line="240" w:lineRule="exact"/>
              <w:jc w:val="center"/>
              <w:rPr>
                <w:rFonts w:eastAsiaTheme="minorEastAsia" w:cstheme="minorBidi"/>
                <w:szCs w:val="21"/>
              </w:rPr>
            </w:pPr>
            <w:r>
              <w:rPr>
                <w:rFonts w:ascii="Times New Roman" w:hAnsi="Times New Roman" w:eastAsiaTheme="minorEastAsia" w:cstheme="minorBidi"/>
                <w:spacing w:val="5"/>
                <w:sz w:val="21"/>
                <w:szCs w:val="21"/>
              </w:rPr>
              <w:t>(kN)</w:t>
            </w:r>
          </w:p>
        </w:tc>
        <w:tc>
          <w:tcPr>
            <w:tcW w:w="669"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理论</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重量</w:t>
            </w:r>
          </w:p>
          <w:p>
            <w:pPr>
              <w:spacing w:line="240" w:lineRule="exact"/>
              <w:jc w:val="center"/>
              <w:rPr>
                <w:rFonts w:eastAsiaTheme="minorEastAsia" w:cstheme="minorBidi"/>
                <w:szCs w:val="21"/>
              </w:rPr>
            </w:pPr>
            <w:r>
              <w:rPr>
                <w:rFonts w:ascii="Times New Roman" w:hAnsi="Times New Roman" w:eastAsiaTheme="minorEastAsia" w:cstheme="minorBidi"/>
                <w:spacing w:val="-1"/>
                <w:sz w:val="21"/>
                <w:szCs w:val="21"/>
              </w:rPr>
              <w:t>(kg/m)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restart"/>
            <w:vAlign w:val="center"/>
          </w:tcPr>
          <w:p>
            <w:pPr>
              <w:spacing w:line="274" w:lineRule="exact"/>
              <w:jc w:val="center"/>
              <w:rPr>
                <w:rFonts w:eastAsia="Times New Roman" w:cstheme="minorBidi"/>
                <w:szCs w:val="21"/>
              </w:rPr>
            </w:pPr>
            <w:r>
              <w:rPr>
                <w:rFonts w:eastAsia="Times New Roman" w:cstheme="minorBidi"/>
                <w:spacing w:val="-2"/>
                <w:sz w:val="21"/>
                <w:szCs w:val="21"/>
              </w:rPr>
              <w:t>PRC</w:t>
            </w:r>
            <w:r>
              <w:rPr>
                <w:rFonts w:eastAsia="Times New Roman" w:cstheme="minorBidi"/>
                <w:spacing w:val="8"/>
                <w:w w:val="101"/>
                <w:sz w:val="21"/>
                <w:szCs w:val="21"/>
              </w:rPr>
              <w:t xml:space="preserve"> </w:t>
            </w:r>
            <w:r>
              <w:rPr>
                <w:rFonts w:hint="eastAsia" w:ascii="宋体" w:hAnsi="宋体" w:cs="宋体" w:eastAsiaTheme="minorEastAsia"/>
                <w:spacing w:val="-2"/>
                <w:sz w:val="21"/>
                <w:szCs w:val="21"/>
              </w:rPr>
              <w:t>Ⅰ</w:t>
            </w:r>
            <w:r>
              <w:rPr>
                <w:rFonts w:eastAsia="Times New Roman" w:cstheme="minorBidi"/>
                <w:spacing w:val="8"/>
                <w:w w:val="101"/>
                <w:sz w:val="21"/>
                <w:szCs w:val="21"/>
              </w:rPr>
              <w:t xml:space="preserve"> </w:t>
            </w:r>
            <w:r>
              <w:rPr>
                <w:rFonts w:eastAsia="Times New Roman" w:cstheme="minorBidi"/>
                <w:spacing w:val="-2"/>
                <w:sz w:val="21"/>
                <w:szCs w:val="21"/>
              </w:rPr>
              <w:t>600(110)</w:t>
            </w:r>
          </w:p>
        </w:tc>
        <w:tc>
          <w:tcPr>
            <w:tcW w:w="658" w:type="dxa"/>
            <w:vAlign w:val="center"/>
          </w:tcPr>
          <w:p>
            <w:pPr>
              <w:spacing w:line="274" w:lineRule="exact"/>
              <w:jc w:val="center"/>
              <w:rPr>
                <w:rFonts w:eastAsia="Times New Roman" w:cstheme="minorBidi"/>
                <w:szCs w:val="21"/>
              </w:rPr>
            </w:pPr>
            <w:r>
              <w:rPr>
                <w:rFonts w:eastAsia="Times New Roman" w:cstheme="minorBidi"/>
                <w:sz w:val="21"/>
                <w:szCs w:val="21"/>
              </w:rPr>
              <w:t>AB</w:t>
            </w:r>
          </w:p>
        </w:tc>
        <w:tc>
          <w:tcPr>
            <w:tcW w:w="726" w:type="dxa"/>
            <w:vAlign w:val="center"/>
          </w:tcPr>
          <w:p>
            <w:pPr>
              <w:spacing w:line="274" w:lineRule="exact"/>
              <w:jc w:val="center"/>
              <w:rPr>
                <w:rFonts w:eastAsia="Times New Roman" w:cstheme="minorBidi"/>
                <w:szCs w:val="21"/>
              </w:rPr>
            </w:pPr>
            <w:r>
              <w:rPr>
                <w:rFonts w:eastAsia="Times New Roman" w:cstheme="minorBidi"/>
                <w:spacing w:val="-6"/>
                <w:sz w:val="21"/>
                <w:szCs w:val="21"/>
              </w:rPr>
              <w:t>17</w:t>
            </w:r>
          </w:p>
        </w:tc>
        <w:tc>
          <w:tcPr>
            <w:tcW w:w="877" w:type="dxa"/>
            <w:vAlign w:val="center"/>
          </w:tcPr>
          <w:p>
            <w:pPr>
              <w:spacing w:line="274" w:lineRule="exact"/>
              <w:jc w:val="center"/>
              <w:rPr>
                <w:rFonts w:eastAsia="Times New Roman" w:cstheme="minorBidi"/>
                <w:szCs w:val="21"/>
              </w:rPr>
            </w:pPr>
            <w:r>
              <w:rPr>
                <w:rFonts w:eastAsia="Times New Roman" w:cstheme="minorBidi"/>
                <w:spacing w:val="-3"/>
                <w:sz w:val="21"/>
                <w:szCs w:val="21"/>
              </w:rPr>
              <w:t>14φ10.7</w:t>
            </w:r>
          </w:p>
        </w:tc>
        <w:tc>
          <w:tcPr>
            <w:tcW w:w="785" w:type="dxa"/>
            <w:vAlign w:val="center"/>
          </w:tcPr>
          <w:p>
            <w:pPr>
              <w:spacing w:line="274" w:lineRule="exact"/>
              <w:jc w:val="center"/>
              <w:rPr>
                <w:rFonts w:eastAsia="Times New Roman" w:cstheme="minorBidi"/>
                <w:szCs w:val="21"/>
              </w:rPr>
            </w:pPr>
            <w:r>
              <w:rPr>
                <w:rFonts w:eastAsia="Times New Roman" w:cstheme="minorBidi"/>
                <w:spacing w:val="-10"/>
                <w:sz w:val="21"/>
                <w:szCs w:val="21"/>
              </w:rPr>
              <w:t>14</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restart"/>
            <w:vAlign w:val="center"/>
          </w:tcPr>
          <w:p>
            <w:pPr>
              <w:spacing w:line="274" w:lineRule="exact"/>
              <w:jc w:val="center"/>
              <w:rPr>
                <w:rFonts w:eastAsia="Times New Roman" w:cstheme="minorBidi"/>
                <w:szCs w:val="21"/>
              </w:rPr>
            </w:pPr>
            <w:r>
              <w:rPr>
                <w:rFonts w:eastAsia="Times New Roman" w:cstheme="minorBidi"/>
                <w:sz w:val="21"/>
                <w:szCs w:val="21"/>
              </w:rPr>
              <w:t>5</w:t>
            </w:r>
          </w:p>
        </w:tc>
        <w:tc>
          <w:tcPr>
            <w:tcW w:w="808" w:type="dxa"/>
            <w:vAlign w:val="center"/>
          </w:tcPr>
          <w:p>
            <w:pPr>
              <w:spacing w:line="274" w:lineRule="exact"/>
              <w:jc w:val="center"/>
              <w:rPr>
                <w:rFonts w:eastAsia="Times New Roman" w:cstheme="minorBidi"/>
                <w:szCs w:val="21"/>
              </w:rPr>
            </w:pPr>
            <w:r>
              <w:rPr>
                <w:rFonts w:eastAsia="Times New Roman" w:cstheme="minorBidi"/>
                <w:spacing w:val="-2"/>
                <w:sz w:val="21"/>
                <w:szCs w:val="21"/>
              </w:rPr>
              <w:t>6.31</w:t>
            </w:r>
          </w:p>
        </w:tc>
        <w:tc>
          <w:tcPr>
            <w:tcW w:w="784" w:type="dxa"/>
            <w:vMerge w:val="restart"/>
            <w:vAlign w:val="center"/>
          </w:tcPr>
          <w:p>
            <w:pPr>
              <w:spacing w:line="274" w:lineRule="exact"/>
              <w:jc w:val="center"/>
              <w:rPr>
                <w:rFonts w:eastAsia="Times New Roman" w:cstheme="minorBidi"/>
                <w:szCs w:val="21"/>
              </w:rPr>
            </w:pPr>
            <w:r>
              <w:rPr>
                <w:rFonts w:eastAsia="Times New Roman" w:cstheme="minorBidi"/>
                <w:spacing w:val="-2"/>
                <w:sz w:val="21"/>
                <w:szCs w:val="21"/>
              </w:rPr>
              <w:t>506</w:t>
            </w:r>
          </w:p>
        </w:tc>
        <w:tc>
          <w:tcPr>
            <w:tcW w:w="993" w:type="dxa"/>
            <w:vAlign w:val="center"/>
          </w:tcPr>
          <w:p>
            <w:pPr>
              <w:spacing w:line="274" w:lineRule="exact"/>
              <w:jc w:val="center"/>
              <w:rPr>
                <w:rFonts w:eastAsia="Times New Roman" w:cstheme="minorBidi"/>
                <w:szCs w:val="21"/>
              </w:rPr>
            </w:pPr>
            <w:r>
              <w:rPr>
                <w:rFonts w:eastAsia="Times New Roman" w:cstheme="minorBidi"/>
                <w:spacing w:val="-3"/>
                <w:sz w:val="21"/>
                <w:szCs w:val="21"/>
              </w:rPr>
              <w:t>18.367</w:t>
            </w:r>
          </w:p>
        </w:tc>
        <w:tc>
          <w:tcPr>
            <w:tcW w:w="911" w:type="dxa"/>
            <w:vAlign w:val="center"/>
          </w:tcPr>
          <w:p>
            <w:pPr>
              <w:spacing w:line="274" w:lineRule="exact"/>
              <w:jc w:val="center"/>
              <w:rPr>
                <w:rFonts w:eastAsia="Times New Roman" w:cstheme="minorBidi"/>
                <w:szCs w:val="21"/>
              </w:rPr>
            </w:pPr>
            <w:r>
              <w:rPr>
                <w:rFonts w:eastAsia="Times New Roman" w:cstheme="minorBidi"/>
                <w:spacing w:val="-1"/>
                <w:sz w:val="21"/>
                <w:szCs w:val="21"/>
              </w:rPr>
              <w:t>407</w:t>
            </w:r>
          </w:p>
        </w:tc>
        <w:tc>
          <w:tcPr>
            <w:tcW w:w="875" w:type="dxa"/>
            <w:vAlign w:val="center"/>
          </w:tcPr>
          <w:p>
            <w:pPr>
              <w:spacing w:line="274" w:lineRule="exact"/>
              <w:jc w:val="center"/>
              <w:rPr>
                <w:rFonts w:eastAsia="Times New Roman" w:cstheme="minorBidi"/>
                <w:szCs w:val="21"/>
              </w:rPr>
            </w:pPr>
            <w:r>
              <w:rPr>
                <w:rFonts w:eastAsia="Times New Roman" w:cstheme="minorBidi"/>
                <w:spacing w:val="-2"/>
                <w:sz w:val="21"/>
                <w:szCs w:val="21"/>
              </w:rPr>
              <w:t>336</w:t>
            </w:r>
          </w:p>
        </w:tc>
        <w:tc>
          <w:tcPr>
            <w:tcW w:w="868" w:type="dxa"/>
            <w:vAlign w:val="center"/>
          </w:tcPr>
          <w:p>
            <w:pPr>
              <w:spacing w:line="274" w:lineRule="exact"/>
              <w:jc w:val="center"/>
              <w:rPr>
                <w:rFonts w:eastAsia="Times New Roman" w:cstheme="minorBidi"/>
                <w:szCs w:val="21"/>
              </w:rPr>
            </w:pPr>
            <w:r>
              <w:rPr>
                <w:rFonts w:eastAsia="Times New Roman" w:cstheme="minorBidi"/>
                <w:spacing w:val="-5"/>
                <w:sz w:val="21"/>
                <w:szCs w:val="21"/>
              </w:rPr>
              <w:t>1071</w:t>
            </w:r>
          </w:p>
        </w:tc>
        <w:tc>
          <w:tcPr>
            <w:tcW w:w="1195" w:type="dxa"/>
            <w:vMerge w:val="restart"/>
            <w:vAlign w:val="center"/>
          </w:tcPr>
          <w:p>
            <w:pPr>
              <w:spacing w:line="274" w:lineRule="exact"/>
              <w:jc w:val="center"/>
              <w:rPr>
                <w:rFonts w:eastAsia="Times New Roman" w:cstheme="minorBidi"/>
                <w:szCs w:val="21"/>
              </w:rPr>
            </w:pPr>
            <w:r>
              <w:rPr>
                <w:rFonts w:eastAsia="Times New Roman" w:cstheme="minorBidi"/>
                <w:spacing w:val="-1"/>
                <w:sz w:val="21"/>
                <w:szCs w:val="21"/>
              </w:rPr>
              <w:t>4255</w:t>
            </w:r>
          </w:p>
        </w:tc>
        <w:tc>
          <w:tcPr>
            <w:tcW w:w="846" w:type="dxa"/>
            <w:vAlign w:val="center"/>
          </w:tcPr>
          <w:p>
            <w:pPr>
              <w:spacing w:line="274" w:lineRule="exact"/>
              <w:jc w:val="center"/>
              <w:rPr>
                <w:rFonts w:eastAsia="Times New Roman" w:cstheme="minorBidi"/>
                <w:szCs w:val="21"/>
              </w:rPr>
            </w:pPr>
            <w:r>
              <w:rPr>
                <w:rFonts w:eastAsia="Times New Roman" w:cstheme="minorBidi"/>
                <w:spacing w:val="-1"/>
                <w:sz w:val="21"/>
                <w:szCs w:val="21"/>
              </w:rPr>
              <w:t>230</w:t>
            </w:r>
          </w:p>
        </w:tc>
        <w:tc>
          <w:tcPr>
            <w:tcW w:w="819" w:type="dxa"/>
            <w:vAlign w:val="center"/>
          </w:tcPr>
          <w:p>
            <w:pPr>
              <w:spacing w:line="274" w:lineRule="exact"/>
              <w:jc w:val="center"/>
              <w:rPr>
                <w:rFonts w:eastAsia="Times New Roman" w:cstheme="minorBidi"/>
                <w:szCs w:val="21"/>
              </w:rPr>
            </w:pPr>
            <w:r>
              <w:rPr>
                <w:rFonts w:eastAsia="Times New Roman" w:cstheme="minorBidi"/>
                <w:spacing w:val="-7"/>
                <w:sz w:val="21"/>
                <w:szCs w:val="21"/>
              </w:rPr>
              <w:t>1103</w:t>
            </w:r>
          </w:p>
        </w:tc>
        <w:tc>
          <w:tcPr>
            <w:tcW w:w="669" w:type="dxa"/>
            <w:vMerge w:val="restart"/>
            <w:vAlign w:val="center"/>
          </w:tcPr>
          <w:p>
            <w:pPr>
              <w:spacing w:line="320" w:lineRule="exact"/>
              <w:jc w:val="center"/>
              <w:rPr>
                <w:rFonts w:eastAsia="Times New Roman" w:cstheme="minorBidi"/>
                <w:szCs w:val="21"/>
              </w:rPr>
            </w:pPr>
            <w:r>
              <w:rPr>
                <w:rFonts w:eastAsia="Times New Roman" w:cstheme="minorBidi"/>
                <w:spacing w:val="-1"/>
                <w:sz w:val="21"/>
                <w:szCs w:val="21"/>
              </w:rPr>
              <w:t>440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274" w:lineRule="exact"/>
              <w:jc w:val="center"/>
              <w:rPr>
                <w:rFonts w:eastAsiaTheme="minorEastAsia" w:cstheme="minorBidi"/>
                <w:szCs w:val="21"/>
              </w:rPr>
            </w:pPr>
          </w:p>
        </w:tc>
        <w:tc>
          <w:tcPr>
            <w:tcW w:w="658" w:type="dxa"/>
            <w:vAlign w:val="center"/>
          </w:tcPr>
          <w:p>
            <w:pPr>
              <w:spacing w:line="274" w:lineRule="exact"/>
              <w:jc w:val="center"/>
              <w:rPr>
                <w:rFonts w:eastAsia="Times New Roman" w:cstheme="minorBidi"/>
                <w:szCs w:val="21"/>
              </w:rPr>
            </w:pPr>
            <w:r>
              <w:rPr>
                <w:rFonts w:eastAsia="Times New Roman" w:cstheme="minorBidi"/>
                <w:sz w:val="21"/>
                <w:szCs w:val="21"/>
              </w:rPr>
              <w:t>B</w:t>
            </w:r>
          </w:p>
        </w:tc>
        <w:tc>
          <w:tcPr>
            <w:tcW w:w="726" w:type="dxa"/>
            <w:vAlign w:val="center"/>
          </w:tcPr>
          <w:p>
            <w:pPr>
              <w:spacing w:line="274" w:lineRule="exact"/>
              <w:jc w:val="center"/>
              <w:rPr>
                <w:rFonts w:eastAsia="Times New Roman" w:cstheme="minorBidi"/>
                <w:szCs w:val="21"/>
              </w:rPr>
            </w:pPr>
            <w:r>
              <w:rPr>
                <w:rFonts w:eastAsia="Times New Roman" w:cstheme="minorBidi"/>
                <w:spacing w:val="-6"/>
                <w:sz w:val="21"/>
                <w:szCs w:val="21"/>
              </w:rPr>
              <w:t>18</w:t>
            </w:r>
          </w:p>
        </w:tc>
        <w:tc>
          <w:tcPr>
            <w:tcW w:w="877" w:type="dxa"/>
            <w:vAlign w:val="center"/>
          </w:tcPr>
          <w:p>
            <w:pPr>
              <w:spacing w:line="274" w:lineRule="exact"/>
              <w:jc w:val="center"/>
              <w:rPr>
                <w:rFonts w:eastAsia="Times New Roman" w:cstheme="minorBidi"/>
                <w:szCs w:val="21"/>
              </w:rPr>
            </w:pPr>
            <w:r>
              <w:rPr>
                <w:rFonts w:eastAsia="Times New Roman" w:cstheme="minorBidi"/>
                <w:spacing w:val="-3"/>
                <w:sz w:val="21"/>
                <w:szCs w:val="21"/>
              </w:rPr>
              <w:t>14φ12.6</w:t>
            </w:r>
          </w:p>
        </w:tc>
        <w:tc>
          <w:tcPr>
            <w:tcW w:w="785" w:type="dxa"/>
            <w:vAlign w:val="center"/>
          </w:tcPr>
          <w:p>
            <w:pPr>
              <w:spacing w:line="274" w:lineRule="exact"/>
              <w:jc w:val="center"/>
              <w:rPr>
                <w:rFonts w:eastAsia="Times New Roman" w:cstheme="minorBidi"/>
                <w:szCs w:val="21"/>
              </w:rPr>
            </w:pPr>
            <w:r>
              <w:rPr>
                <w:rFonts w:eastAsia="Times New Roman" w:cstheme="minorBidi"/>
                <w:spacing w:val="-10"/>
                <w:sz w:val="21"/>
                <w:szCs w:val="21"/>
              </w:rPr>
              <w:t>14</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continue"/>
            <w:vAlign w:val="center"/>
          </w:tcPr>
          <w:p>
            <w:pPr>
              <w:spacing w:line="274" w:lineRule="exact"/>
              <w:jc w:val="center"/>
              <w:rPr>
                <w:rFonts w:eastAsiaTheme="minorEastAsia" w:cstheme="minorBidi"/>
                <w:szCs w:val="21"/>
              </w:rPr>
            </w:pPr>
          </w:p>
        </w:tc>
        <w:tc>
          <w:tcPr>
            <w:tcW w:w="808" w:type="dxa"/>
            <w:vAlign w:val="center"/>
          </w:tcPr>
          <w:p>
            <w:pPr>
              <w:spacing w:line="274" w:lineRule="exact"/>
              <w:jc w:val="center"/>
              <w:rPr>
                <w:rFonts w:eastAsia="Times New Roman" w:cstheme="minorBidi"/>
                <w:szCs w:val="21"/>
              </w:rPr>
            </w:pPr>
            <w:r>
              <w:rPr>
                <w:rFonts w:eastAsia="Times New Roman" w:cstheme="minorBidi"/>
                <w:spacing w:val="-2"/>
                <w:sz w:val="21"/>
                <w:szCs w:val="21"/>
              </w:rPr>
              <w:t>8.41</w:t>
            </w:r>
          </w:p>
        </w:tc>
        <w:tc>
          <w:tcPr>
            <w:tcW w:w="784" w:type="dxa"/>
            <w:vMerge w:val="continue"/>
            <w:vAlign w:val="center"/>
          </w:tcPr>
          <w:p>
            <w:pPr>
              <w:spacing w:line="274" w:lineRule="exact"/>
              <w:jc w:val="center"/>
              <w:rPr>
                <w:rFonts w:eastAsiaTheme="minorEastAsia" w:cstheme="minorBidi"/>
                <w:szCs w:val="21"/>
              </w:rPr>
            </w:pPr>
          </w:p>
        </w:tc>
        <w:tc>
          <w:tcPr>
            <w:tcW w:w="993" w:type="dxa"/>
            <w:vAlign w:val="center"/>
          </w:tcPr>
          <w:p>
            <w:pPr>
              <w:spacing w:line="274" w:lineRule="exact"/>
              <w:jc w:val="center"/>
              <w:rPr>
                <w:rFonts w:eastAsia="Times New Roman" w:cstheme="minorBidi"/>
                <w:szCs w:val="21"/>
              </w:rPr>
            </w:pPr>
            <w:r>
              <w:rPr>
                <w:rFonts w:eastAsia="Times New Roman" w:cstheme="minorBidi"/>
                <w:spacing w:val="-3"/>
                <w:sz w:val="21"/>
                <w:szCs w:val="21"/>
              </w:rPr>
              <w:t>18.590</w:t>
            </w:r>
          </w:p>
        </w:tc>
        <w:tc>
          <w:tcPr>
            <w:tcW w:w="911" w:type="dxa"/>
            <w:vAlign w:val="center"/>
          </w:tcPr>
          <w:p>
            <w:pPr>
              <w:spacing w:line="274" w:lineRule="exact"/>
              <w:jc w:val="center"/>
              <w:rPr>
                <w:rFonts w:eastAsia="Times New Roman" w:cstheme="minorBidi"/>
                <w:szCs w:val="21"/>
              </w:rPr>
            </w:pPr>
            <w:r>
              <w:rPr>
                <w:rFonts w:eastAsia="Times New Roman" w:cstheme="minorBidi"/>
                <w:spacing w:val="-1"/>
                <w:sz w:val="21"/>
                <w:szCs w:val="21"/>
              </w:rPr>
              <w:t>491</w:t>
            </w:r>
          </w:p>
        </w:tc>
        <w:tc>
          <w:tcPr>
            <w:tcW w:w="875" w:type="dxa"/>
            <w:vAlign w:val="center"/>
          </w:tcPr>
          <w:p>
            <w:pPr>
              <w:spacing w:line="274" w:lineRule="exact"/>
              <w:jc w:val="center"/>
              <w:rPr>
                <w:rFonts w:eastAsia="Times New Roman" w:cstheme="minorBidi"/>
                <w:szCs w:val="21"/>
              </w:rPr>
            </w:pPr>
            <w:r>
              <w:rPr>
                <w:rFonts w:eastAsia="Times New Roman" w:cstheme="minorBidi"/>
                <w:spacing w:val="-2"/>
                <w:sz w:val="21"/>
                <w:szCs w:val="21"/>
              </w:rPr>
              <w:t>366</w:t>
            </w:r>
          </w:p>
        </w:tc>
        <w:tc>
          <w:tcPr>
            <w:tcW w:w="868" w:type="dxa"/>
            <w:vAlign w:val="center"/>
          </w:tcPr>
          <w:p>
            <w:pPr>
              <w:spacing w:line="274" w:lineRule="exact"/>
              <w:jc w:val="center"/>
              <w:rPr>
                <w:rFonts w:eastAsia="Times New Roman" w:cstheme="minorBidi"/>
                <w:szCs w:val="21"/>
              </w:rPr>
            </w:pPr>
            <w:r>
              <w:rPr>
                <w:rFonts w:eastAsia="Times New Roman" w:cstheme="minorBidi"/>
                <w:spacing w:val="-5"/>
                <w:sz w:val="21"/>
                <w:szCs w:val="21"/>
              </w:rPr>
              <w:t>1488</w:t>
            </w:r>
          </w:p>
        </w:tc>
        <w:tc>
          <w:tcPr>
            <w:tcW w:w="1195" w:type="dxa"/>
            <w:vMerge w:val="continue"/>
            <w:vAlign w:val="center"/>
          </w:tcPr>
          <w:p>
            <w:pPr>
              <w:spacing w:line="274" w:lineRule="exact"/>
              <w:jc w:val="center"/>
              <w:rPr>
                <w:rFonts w:eastAsiaTheme="minorEastAsia" w:cstheme="minorBidi"/>
                <w:szCs w:val="21"/>
              </w:rPr>
            </w:pPr>
          </w:p>
        </w:tc>
        <w:tc>
          <w:tcPr>
            <w:tcW w:w="846" w:type="dxa"/>
            <w:vAlign w:val="center"/>
          </w:tcPr>
          <w:p>
            <w:pPr>
              <w:spacing w:line="274" w:lineRule="exact"/>
              <w:jc w:val="center"/>
              <w:rPr>
                <w:rFonts w:eastAsia="Times New Roman" w:cstheme="minorBidi"/>
                <w:szCs w:val="21"/>
              </w:rPr>
            </w:pPr>
            <w:r>
              <w:rPr>
                <w:rFonts w:eastAsia="Times New Roman" w:cstheme="minorBidi"/>
                <w:spacing w:val="-1"/>
                <w:sz w:val="21"/>
                <w:szCs w:val="21"/>
              </w:rPr>
              <w:t>272</w:t>
            </w:r>
          </w:p>
        </w:tc>
        <w:tc>
          <w:tcPr>
            <w:tcW w:w="819" w:type="dxa"/>
            <w:vAlign w:val="center"/>
          </w:tcPr>
          <w:p>
            <w:pPr>
              <w:spacing w:line="274" w:lineRule="exact"/>
              <w:jc w:val="center"/>
              <w:rPr>
                <w:rFonts w:eastAsia="Times New Roman" w:cstheme="minorBidi"/>
                <w:szCs w:val="21"/>
              </w:rPr>
            </w:pPr>
            <w:r>
              <w:rPr>
                <w:rFonts w:eastAsia="Times New Roman" w:cstheme="minorBidi"/>
                <w:spacing w:val="-5"/>
                <w:sz w:val="21"/>
                <w:szCs w:val="21"/>
              </w:rPr>
              <w:t>1486</w:t>
            </w:r>
          </w:p>
        </w:tc>
        <w:tc>
          <w:tcPr>
            <w:tcW w:w="669" w:type="dxa"/>
            <w:vMerge w:val="continue"/>
            <w:vAlign w:val="center"/>
          </w:tcPr>
          <w:p>
            <w:pPr>
              <w:spacing w:line="32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43" w:type="dxa"/>
            <w:vMerge w:val="continue"/>
            <w:vAlign w:val="center"/>
          </w:tcPr>
          <w:p>
            <w:pPr>
              <w:spacing w:line="274" w:lineRule="exact"/>
              <w:jc w:val="center"/>
              <w:rPr>
                <w:rFonts w:eastAsiaTheme="minorEastAsia" w:cstheme="minorBidi"/>
                <w:szCs w:val="21"/>
              </w:rPr>
            </w:pPr>
          </w:p>
        </w:tc>
        <w:tc>
          <w:tcPr>
            <w:tcW w:w="658" w:type="dxa"/>
            <w:vAlign w:val="center"/>
          </w:tcPr>
          <w:p>
            <w:pPr>
              <w:spacing w:line="274" w:lineRule="exact"/>
              <w:jc w:val="center"/>
              <w:rPr>
                <w:rFonts w:eastAsia="Times New Roman" w:cstheme="minorBidi"/>
                <w:szCs w:val="21"/>
              </w:rPr>
            </w:pPr>
            <w:r>
              <w:rPr>
                <w:rFonts w:eastAsia="Times New Roman" w:cstheme="minorBidi"/>
                <w:sz w:val="21"/>
                <w:szCs w:val="21"/>
              </w:rPr>
              <w:t>C</w:t>
            </w:r>
          </w:p>
        </w:tc>
        <w:tc>
          <w:tcPr>
            <w:tcW w:w="726" w:type="dxa"/>
            <w:vAlign w:val="center"/>
          </w:tcPr>
          <w:p>
            <w:pPr>
              <w:spacing w:line="274" w:lineRule="exact"/>
              <w:jc w:val="center"/>
              <w:rPr>
                <w:rFonts w:eastAsia="Times New Roman" w:cstheme="minorBidi"/>
                <w:szCs w:val="21"/>
              </w:rPr>
            </w:pPr>
            <w:r>
              <w:rPr>
                <w:rFonts w:eastAsia="Times New Roman" w:cstheme="minorBidi"/>
                <w:spacing w:val="-6"/>
                <w:sz w:val="21"/>
                <w:szCs w:val="21"/>
              </w:rPr>
              <w:t>19</w:t>
            </w:r>
          </w:p>
        </w:tc>
        <w:tc>
          <w:tcPr>
            <w:tcW w:w="877" w:type="dxa"/>
            <w:vAlign w:val="center"/>
          </w:tcPr>
          <w:p>
            <w:pPr>
              <w:spacing w:line="274" w:lineRule="exact"/>
              <w:jc w:val="center"/>
              <w:rPr>
                <w:rFonts w:eastAsia="Times New Roman" w:cstheme="minorBidi"/>
                <w:szCs w:val="21"/>
              </w:rPr>
            </w:pPr>
            <w:r>
              <w:rPr>
                <w:rFonts w:eastAsia="Times New Roman" w:cstheme="minorBidi"/>
                <w:spacing w:val="-3"/>
                <w:sz w:val="21"/>
                <w:szCs w:val="21"/>
              </w:rPr>
              <w:t>16φ12.6</w:t>
            </w:r>
          </w:p>
        </w:tc>
        <w:tc>
          <w:tcPr>
            <w:tcW w:w="785" w:type="dxa"/>
            <w:vAlign w:val="center"/>
          </w:tcPr>
          <w:p>
            <w:pPr>
              <w:spacing w:line="274" w:lineRule="exact"/>
              <w:jc w:val="center"/>
              <w:rPr>
                <w:rFonts w:eastAsia="Times New Roman" w:cstheme="minorBidi"/>
                <w:szCs w:val="21"/>
              </w:rPr>
            </w:pPr>
            <w:r>
              <w:rPr>
                <w:rFonts w:eastAsia="Times New Roman" w:cstheme="minorBidi"/>
                <w:spacing w:val="-10"/>
                <w:sz w:val="21"/>
                <w:szCs w:val="21"/>
              </w:rPr>
              <w:t>16</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continue"/>
            <w:vAlign w:val="center"/>
          </w:tcPr>
          <w:p>
            <w:pPr>
              <w:spacing w:line="274" w:lineRule="exact"/>
              <w:jc w:val="center"/>
              <w:rPr>
                <w:rFonts w:eastAsiaTheme="minorEastAsia" w:cstheme="minorBidi"/>
                <w:szCs w:val="21"/>
              </w:rPr>
            </w:pPr>
          </w:p>
        </w:tc>
        <w:tc>
          <w:tcPr>
            <w:tcW w:w="808" w:type="dxa"/>
            <w:vAlign w:val="center"/>
          </w:tcPr>
          <w:p>
            <w:pPr>
              <w:spacing w:line="274" w:lineRule="exact"/>
              <w:jc w:val="center"/>
              <w:rPr>
                <w:rFonts w:eastAsia="Times New Roman" w:cstheme="minorBidi"/>
                <w:szCs w:val="21"/>
              </w:rPr>
            </w:pPr>
            <w:r>
              <w:rPr>
                <w:rFonts w:eastAsia="Times New Roman" w:cstheme="minorBidi"/>
                <w:spacing w:val="-2"/>
                <w:sz w:val="21"/>
                <w:szCs w:val="21"/>
              </w:rPr>
              <w:t>9.42</w:t>
            </w:r>
          </w:p>
        </w:tc>
        <w:tc>
          <w:tcPr>
            <w:tcW w:w="784" w:type="dxa"/>
            <w:vMerge w:val="continue"/>
            <w:vAlign w:val="center"/>
          </w:tcPr>
          <w:p>
            <w:pPr>
              <w:spacing w:line="274" w:lineRule="exact"/>
              <w:jc w:val="center"/>
              <w:rPr>
                <w:rFonts w:eastAsiaTheme="minorEastAsia" w:cstheme="minorBidi"/>
                <w:szCs w:val="21"/>
              </w:rPr>
            </w:pPr>
          </w:p>
        </w:tc>
        <w:tc>
          <w:tcPr>
            <w:tcW w:w="993" w:type="dxa"/>
            <w:vAlign w:val="center"/>
          </w:tcPr>
          <w:p>
            <w:pPr>
              <w:spacing w:line="274" w:lineRule="exact"/>
              <w:jc w:val="center"/>
              <w:rPr>
                <w:rFonts w:eastAsia="Times New Roman" w:cstheme="minorBidi"/>
                <w:szCs w:val="21"/>
              </w:rPr>
            </w:pPr>
            <w:r>
              <w:rPr>
                <w:rFonts w:eastAsia="Times New Roman" w:cstheme="minorBidi"/>
                <w:spacing w:val="-3"/>
                <w:sz w:val="21"/>
                <w:szCs w:val="21"/>
              </w:rPr>
              <w:t>18.704</w:t>
            </w:r>
          </w:p>
        </w:tc>
        <w:tc>
          <w:tcPr>
            <w:tcW w:w="911" w:type="dxa"/>
            <w:vAlign w:val="center"/>
          </w:tcPr>
          <w:p>
            <w:pPr>
              <w:spacing w:line="274" w:lineRule="exact"/>
              <w:jc w:val="center"/>
              <w:rPr>
                <w:rFonts w:eastAsia="Times New Roman" w:cstheme="minorBidi"/>
                <w:szCs w:val="21"/>
              </w:rPr>
            </w:pPr>
            <w:r>
              <w:rPr>
                <w:rFonts w:eastAsia="Times New Roman" w:cstheme="minorBidi"/>
                <w:spacing w:val="-2"/>
                <w:sz w:val="21"/>
                <w:szCs w:val="21"/>
              </w:rPr>
              <w:t>543</w:t>
            </w:r>
          </w:p>
        </w:tc>
        <w:tc>
          <w:tcPr>
            <w:tcW w:w="875" w:type="dxa"/>
            <w:vAlign w:val="center"/>
          </w:tcPr>
          <w:p>
            <w:pPr>
              <w:spacing w:line="274" w:lineRule="exact"/>
              <w:jc w:val="center"/>
              <w:rPr>
                <w:rFonts w:eastAsia="Times New Roman" w:cstheme="minorBidi"/>
                <w:szCs w:val="21"/>
              </w:rPr>
            </w:pPr>
            <w:r>
              <w:rPr>
                <w:rFonts w:eastAsia="Times New Roman" w:cstheme="minorBidi"/>
                <w:spacing w:val="-2"/>
                <w:sz w:val="21"/>
                <w:szCs w:val="21"/>
              </w:rPr>
              <w:t>379</w:t>
            </w:r>
          </w:p>
        </w:tc>
        <w:tc>
          <w:tcPr>
            <w:tcW w:w="868" w:type="dxa"/>
            <w:vAlign w:val="center"/>
          </w:tcPr>
          <w:p>
            <w:pPr>
              <w:spacing w:line="274" w:lineRule="exact"/>
              <w:jc w:val="center"/>
              <w:rPr>
                <w:rFonts w:eastAsia="Times New Roman" w:cstheme="minorBidi"/>
                <w:szCs w:val="21"/>
              </w:rPr>
            </w:pPr>
            <w:r>
              <w:rPr>
                <w:rFonts w:eastAsia="Times New Roman" w:cstheme="minorBidi"/>
                <w:spacing w:val="-5"/>
                <w:sz w:val="21"/>
                <w:szCs w:val="21"/>
              </w:rPr>
              <w:t>1700</w:t>
            </w:r>
          </w:p>
        </w:tc>
        <w:tc>
          <w:tcPr>
            <w:tcW w:w="1195" w:type="dxa"/>
            <w:vMerge w:val="continue"/>
            <w:vAlign w:val="center"/>
          </w:tcPr>
          <w:p>
            <w:pPr>
              <w:spacing w:line="274" w:lineRule="exact"/>
              <w:jc w:val="center"/>
              <w:rPr>
                <w:rFonts w:eastAsiaTheme="minorEastAsia" w:cstheme="minorBidi"/>
                <w:szCs w:val="21"/>
              </w:rPr>
            </w:pPr>
          </w:p>
        </w:tc>
        <w:tc>
          <w:tcPr>
            <w:tcW w:w="846" w:type="dxa"/>
            <w:vAlign w:val="center"/>
          </w:tcPr>
          <w:p>
            <w:pPr>
              <w:spacing w:line="274" w:lineRule="exact"/>
              <w:jc w:val="center"/>
              <w:rPr>
                <w:rFonts w:eastAsia="Times New Roman" w:cstheme="minorBidi"/>
                <w:szCs w:val="21"/>
              </w:rPr>
            </w:pPr>
            <w:r>
              <w:rPr>
                <w:rFonts w:eastAsia="Times New Roman" w:cstheme="minorBidi"/>
                <w:spacing w:val="-1"/>
                <w:sz w:val="21"/>
                <w:szCs w:val="21"/>
              </w:rPr>
              <w:t>292</w:t>
            </w:r>
          </w:p>
        </w:tc>
        <w:tc>
          <w:tcPr>
            <w:tcW w:w="819" w:type="dxa"/>
            <w:vAlign w:val="center"/>
          </w:tcPr>
          <w:p>
            <w:pPr>
              <w:spacing w:line="274" w:lineRule="exact"/>
              <w:jc w:val="center"/>
              <w:rPr>
                <w:rFonts w:eastAsia="Times New Roman" w:cstheme="minorBidi"/>
                <w:szCs w:val="21"/>
              </w:rPr>
            </w:pPr>
            <w:r>
              <w:rPr>
                <w:rFonts w:eastAsia="Times New Roman" w:cstheme="minorBidi"/>
                <w:spacing w:val="-5"/>
                <w:sz w:val="21"/>
                <w:szCs w:val="21"/>
              </w:rPr>
              <w:t>1675</w:t>
            </w:r>
          </w:p>
        </w:tc>
        <w:tc>
          <w:tcPr>
            <w:tcW w:w="669" w:type="dxa"/>
            <w:vMerge w:val="continue"/>
            <w:vAlign w:val="center"/>
          </w:tcPr>
          <w:p>
            <w:pPr>
              <w:spacing w:line="32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274" w:lineRule="exact"/>
              <w:jc w:val="center"/>
              <w:rPr>
                <w:rFonts w:eastAsiaTheme="minorEastAsia" w:cstheme="minorBidi"/>
                <w:szCs w:val="21"/>
              </w:rPr>
            </w:pPr>
          </w:p>
        </w:tc>
        <w:tc>
          <w:tcPr>
            <w:tcW w:w="658" w:type="dxa"/>
            <w:vAlign w:val="center"/>
          </w:tcPr>
          <w:p>
            <w:pPr>
              <w:spacing w:line="274" w:lineRule="exact"/>
              <w:jc w:val="center"/>
              <w:rPr>
                <w:rFonts w:eastAsia="Times New Roman" w:cstheme="minorBidi"/>
                <w:szCs w:val="21"/>
              </w:rPr>
            </w:pPr>
            <w:r>
              <w:rPr>
                <w:rFonts w:eastAsia="Times New Roman" w:cstheme="minorBidi"/>
                <w:sz w:val="21"/>
                <w:szCs w:val="21"/>
              </w:rPr>
              <w:t>D</w:t>
            </w:r>
          </w:p>
        </w:tc>
        <w:tc>
          <w:tcPr>
            <w:tcW w:w="726" w:type="dxa"/>
            <w:vAlign w:val="center"/>
          </w:tcPr>
          <w:p>
            <w:pPr>
              <w:spacing w:line="274" w:lineRule="exact"/>
              <w:jc w:val="center"/>
              <w:rPr>
                <w:rFonts w:eastAsia="Times New Roman" w:cstheme="minorBidi"/>
                <w:szCs w:val="21"/>
              </w:rPr>
            </w:pPr>
            <w:r>
              <w:rPr>
                <w:rFonts w:eastAsia="Times New Roman" w:cstheme="minorBidi"/>
                <w:spacing w:val="-1"/>
                <w:sz w:val="21"/>
                <w:szCs w:val="21"/>
              </w:rPr>
              <w:t>20</w:t>
            </w:r>
          </w:p>
        </w:tc>
        <w:tc>
          <w:tcPr>
            <w:tcW w:w="877" w:type="dxa"/>
            <w:vAlign w:val="center"/>
          </w:tcPr>
          <w:p>
            <w:pPr>
              <w:spacing w:line="274" w:lineRule="exact"/>
              <w:jc w:val="center"/>
              <w:rPr>
                <w:rFonts w:eastAsia="Times New Roman" w:cstheme="minorBidi"/>
                <w:szCs w:val="21"/>
              </w:rPr>
            </w:pPr>
            <w:r>
              <w:rPr>
                <w:rFonts w:eastAsia="Times New Roman" w:cstheme="minorBidi"/>
                <w:spacing w:val="-1"/>
                <w:sz w:val="21"/>
                <w:szCs w:val="21"/>
              </w:rPr>
              <w:t>20φ12.6</w:t>
            </w:r>
          </w:p>
        </w:tc>
        <w:tc>
          <w:tcPr>
            <w:tcW w:w="785" w:type="dxa"/>
            <w:vAlign w:val="center"/>
          </w:tcPr>
          <w:p>
            <w:pPr>
              <w:spacing w:line="274" w:lineRule="exact"/>
              <w:jc w:val="center"/>
              <w:rPr>
                <w:rFonts w:eastAsia="Times New Roman" w:cstheme="minorBidi"/>
                <w:szCs w:val="21"/>
              </w:rPr>
            </w:pPr>
            <w:r>
              <w:rPr>
                <w:rFonts w:eastAsia="Times New Roman" w:cstheme="minorBidi"/>
                <w:spacing w:val="-6"/>
                <w:sz w:val="21"/>
                <w:szCs w:val="21"/>
              </w:rPr>
              <w:t>20</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274" w:lineRule="exact"/>
              <w:jc w:val="center"/>
              <w:rPr>
                <w:rFonts w:eastAsiaTheme="minorEastAsia" w:cstheme="minorBidi"/>
                <w:szCs w:val="21"/>
              </w:rPr>
            </w:pPr>
          </w:p>
        </w:tc>
        <w:tc>
          <w:tcPr>
            <w:tcW w:w="808" w:type="dxa"/>
            <w:vAlign w:val="center"/>
          </w:tcPr>
          <w:p>
            <w:pPr>
              <w:spacing w:line="274" w:lineRule="exact"/>
              <w:jc w:val="center"/>
              <w:rPr>
                <w:rFonts w:eastAsia="Times New Roman" w:cstheme="minorBidi"/>
                <w:szCs w:val="21"/>
              </w:rPr>
            </w:pPr>
            <w:r>
              <w:rPr>
                <w:rFonts w:eastAsia="Times New Roman" w:cstheme="minorBidi"/>
                <w:spacing w:val="-5"/>
                <w:w w:val="99"/>
                <w:sz w:val="21"/>
                <w:szCs w:val="21"/>
              </w:rPr>
              <w:t>11.30</w:t>
            </w:r>
          </w:p>
        </w:tc>
        <w:tc>
          <w:tcPr>
            <w:tcW w:w="784" w:type="dxa"/>
            <w:vMerge w:val="continue"/>
            <w:vAlign w:val="center"/>
          </w:tcPr>
          <w:p>
            <w:pPr>
              <w:spacing w:line="274" w:lineRule="exact"/>
              <w:jc w:val="center"/>
              <w:rPr>
                <w:rFonts w:eastAsiaTheme="minorEastAsia" w:cstheme="minorBidi"/>
                <w:szCs w:val="21"/>
              </w:rPr>
            </w:pPr>
          </w:p>
        </w:tc>
        <w:tc>
          <w:tcPr>
            <w:tcW w:w="993" w:type="dxa"/>
            <w:vAlign w:val="center"/>
          </w:tcPr>
          <w:p>
            <w:pPr>
              <w:spacing w:line="274" w:lineRule="exact"/>
              <w:jc w:val="center"/>
              <w:rPr>
                <w:rFonts w:eastAsia="Times New Roman" w:cstheme="minorBidi"/>
                <w:szCs w:val="21"/>
              </w:rPr>
            </w:pPr>
            <w:r>
              <w:rPr>
                <w:rFonts w:eastAsia="Times New Roman" w:cstheme="minorBidi"/>
                <w:spacing w:val="-3"/>
                <w:sz w:val="21"/>
                <w:szCs w:val="21"/>
              </w:rPr>
              <w:t>18.931</w:t>
            </w:r>
          </w:p>
        </w:tc>
        <w:tc>
          <w:tcPr>
            <w:tcW w:w="911" w:type="dxa"/>
            <w:vAlign w:val="center"/>
          </w:tcPr>
          <w:p>
            <w:pPr>
              <w:spacing w:line="274" w:lineRule="exact"/>
              <w:jc w:val="center"/>
              <w:rPr>
                <w:rFonts w:eastAsia="Times New Roman" w:cstheme="minorBidi"/>
                <w:szCs w:val="21"/>
              </w:rPr>
            </w:pPr>
            <w:r>
              <w:rPr>
                <w:rFonts w:eastAsia="Times New Roman" w:cstheme="minorBidi"/>
                <w:spacing w:val="-2"/>
                <w:sz w:val="21"/>
                <w:szCs w:val="21"/>
              </w:rPr>
              <w:t>637</w:t>
            </w:r>
          </w:p>
        </w:tc>
        <w:tc>
          <w:tcPr>
            <w:tcW w:w="875" w:type="dxa"/>
            <w:vAlign w:val="center"/>
          </w:tcPr>
          <w:p>
            <w:pPr>
              <w:spacing w:line="274" w:lineRule="exact"/>
              <w:jc w:val="center"/>
              <w:rPr>
                <w:rFonts w:eastAsia="Times New Roman" w:cstheme="minorBidi"/>
                <w:szCs w:val="21"/>
              </w:rPr>
            </w:pPr>
            <w:r>
              <w:rPr>
                <w:rFonts w:eastAsia="Times New Roman" w:cstheme="minorBidi"/>
                <w:spacing w:val="-1"/>
                <w:sz w:val="21"/>
                <w:szCs w:val="21"/>
              </w:rPr>
              <w:t>403</w:t>
            </w:r>
          </w:p>
        </w:tc>
        <w:tc>
          <w:tcPr>
            <w:tcW w:w="868" w:type="dxa"/>
            <w:vAlign w:val="center"/>
          </w:tcPr>
          <w:p>
            <w:pPr>
              <w:spacing w:line="274" w:lineRule="exact"/>
              <w:jc w:val="center"/>
              <w:rPr>
                <w:rFonts w:eastAsia="Times New Roman" w:cstheme="minorBidi"/>
                <w:szCs w:val="21"/>
              </w:rPr>
            </w:pPr>
            <w:r>
              <w:rPr>
                <w:rFonts w:eastAsia="Times New Roman" w:cstheme="minorBidi"/>
                <w:spacing w:val="-1"/>
                <w:sz w:val="21"/>
                <w:szCs w:val="21"/>
              </w:rPr>
              <w:t>2125</w:t>
            </w:r>
          </w:p>
        </w:tc>
        <w:tc>
          <w:tcPr>
            <w:tcW w:w="1195" w:type="dxa"/>
            <w:vMerge w:val="continue"/>
            <w:vAlign w:val="center"/>
          </w:tcPr>
          <w:p>
            <w:pPr>
              <w:spacing w:line="274" w:lineRule="exact"/>
              <w:jc w:val="center"/>
              <w:rPr>
                <w:rFonts w:eastAsiaTheme="minorEastAsia" w:cstheme="minorBidi"/>
                <w:szCs w:val="21"/>
              </w:rPr>
            </w:pPr>
          </w:p>
        </w:tc>
        <w:tc>
          <w:tcPr>
            <w:tcW w:w="846" w:type="dxa"/>
            <w:vAlign w:val="center"/>
          </w:tcPr>
          <w:p>
            <w:pPr>
              <w:spacing w:line="274" w:lineRule="exact"/>
              <w:jc w:val="center"/>
              <w:rPr>
                <w:rFonts w:eastAsia="Times New Roman" w:cstheme="minorBidi"/>
                <w:szCs w:val="21"/>
              </w:rPr>
            </w:pPr>
            <w:r>
              <w:rPr>
                <w:rFonts w:eastAsia="Times New Roman" w:cstheme="minorBidi"/>
                <w:spacing w:val="-2"/>
                <w:sz w:val="21"/>
                <w:szCs w:val="21"/>
              </w:rPr>
              <w:t>332</w:t>
            </w:r>
          </w:p>
        </w:tc>
        <w:tc>
          <w:tcPr>
            <w:tcW w:w="819" w:type="dxa"/>
            <w:vAlign w:val="center"/>
          </w:tcPr>
          <w:p>
            <w:pPr>
              <w:spacing w:line="274" w:lineRule="exact"/>
              <w:jc w:val="center"/>
              <w:rPr>
                <w:rFonts w:eastAsia="Times New Roman" w:cstheme="minorBidi"/>
                <w:szCs w:val="21"/>
              </w:rPr>
            </w:pPr>
            <w:r>
              <w:rPr>
                <w:rFonts w:eastAsia="Times New Roman" w:cstheme="minorBidi"/>
                <w:spacing w:val="-1"/>
                <w:sz w:val="21"/>
                <w:szCs w:val="21"/>
              </w:rPr>
              <w:t>2036</w:t>
            </w:r>
          </w:p>
        </w:tc>
        <w:tc>
          <w:tcPr>
            <w:tcW w:w="669" w:type="dxa"/>
            <w:vMerge w:val="continue"/>
            <w:vAlign w:val="center"/>
          </w:tcPr>
          <w:p>
            <w:pPr>
              <w:spacing w:line="32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PRC</w:t>
            </w:r>
            <w:r>
              <w:rPr>
                <w:rFonts w:eastAsia="Times New Roman" w:cstheme="minorBidi"/>
                <w:spacing w:val="14"/>
                <w:w w:val="101"/>
                <w:sz w:val="21"/>
                <w:szCs w:val="21"/>
              </w:rPr>
              <w:t xml:space="preserve"> </w:t>
            </w:r>
            <w:r>
              <w:rPr>
                <w:rFonts w:hint="eastAsia" w:ascii="宋体" w:hAnsi="宋体" w:cs="宋体" w:eastAsiaTheme="minorEastAsia"/>
                <w:spacing w:val="-2"/>
                <w:sz w:val="21"/>
                <w:szCs w:val="21"/>
              </w:rPr>
              <w:t>Ⅰ</w:t>
            </w:r>
            <w:r>
              <w:rPr>
                <w:rFonts w:eastAsia="Times New Roman" w:cstheme="minorBidi"/>
                <w:spacing w:val="8"/>
                <w:w w:val="101"/>
                <w:sz w:val="21"/>
                <w:szCs w:val="21"/>
              </w:rPr>
              <w:t xml:space="preserve"> </w:t>
            </w:r>
            <w:r>
              <w:rPr>
                <w:rFonts w:eastAsia="Times New Roman" w:cstheme="minorBidi"/>
                <w:spacing w:val="-2"/>
                <w:sz w:val="21"/>
                <w:szCs w:val="21"/>
              </w:rPr>
              <w:t>600(130)</w:t>
            </w: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AB</w:t>
            </w:r>
          </w:p>
        </w:tc>
        <w:tc>
          <w:tcPr>
            <w:tcW w:w="726" w:type="dxa"/>
            <w:vAlign w:val="center"/>
          </w:tcPr>
          <w:p>
            <w:pPr>
              <w:spacing w:line="340" w:lineRule="exact"/>
              <w:jc w:val="center"/>
              <w:rPr>
                <w:rFonts w:eastAsia="Times New Roman" w:cstheme="minorBidi"/>
                <w:szCs w:val="21"/>
              </w:rPr>
            </w:pPr>
            <w:r>
              <w:rPr>
                <w:rFonts w:eastAsia="Times New Roman" w:cstheme="minorBidi"/>
                <w:spacing w:val="-6"/>
                <w:sz w:val="21"/>
                <w:szCs w:val="21"/>
              </w:rPr>
              <w:t>16</w:t>
            </w:r>
          </w:p>
        </w:tc>
        <w:tc>
          <w:tcPr>
            <w:tcW w:w="877" w:type="dxa"/>
            <w:vAlign w:val="center"/>
          </w:tcPr>
          <w:p>
            <w:pPr>
              <w:spacing w:line="340" w:lineRule="exact"/>
              <w:jc w:val="center"/>
              <w:rPr>
                <w:rFonts w:eastAsia="Times New Roman" w:cstheme="minorBidi"/>
                <w:szCs w:val="21"/>
              </w:rPr>
            </w:pPr>
            <w:r>
              <w:rPr>
                <w:rFonts w:eastAsia="Times New Roman" w:cstheme="minorBidi"/>
                <w:spacing w:val="-3"/>
                <w:sz w:val="21"/>
                <w:szCs w:val="21"/>
              </w:rPr>
              <w:t>16φ10.7</w:t>
            </w:r>
          </w:p>
        </w:tc>
        <w:tc>
          <w:tcPr>
            <w:tcW w:w="785" w:type="dxa"/>
            <w:vAlign w:val="center"/>
          </w:tcPr>
          <w:p>
            <w:pPr>
              <w:spacing w:line="340" w:lineRule="exact"/>
              <w:jc w:val="center"/>
              <w:rPr>
                <w:rFonts w:eastAsia="Times New Roman" w:cstheme="minorBidi"/>
                <w:szCs w:val="21"/>
              </w:rPr>
            </w:pPr>
            <w:r>
              <w:rPr>
                <w:rFonts w:eastAsia="Times New Roman" w:cstheme="minorBidi"/>
                <w:spacing w:val="-10"/>
                <w:sz w:val="21"/>
                <w:szCs w:val="21"/>
              </w:rPr>
              <w:t>16</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restart"/>
            <w:vAlign w:val="center"/>
          </w:tcPr>
          <w:p>
            <w:pPr>
              <w:spacing w:line="340" w:lineRule="exact"/>
              <w:jc w:val="center"/>
              <w:rPr>
                <w:rFonts w:eastAsia="Times New Roman" w:cstheme="minorBidi"/>
                <w:szCs w:val="21"/>
              </w:rPr>
            </w:pPr>
            <w:r>
              <w:rPr>
                <w:rFonts w:eastAsia="Times New Roman" w:cstheme="minorBidi"/>
                <w:sz w:val="21"/>
                <w:szCs w:val="21"/>
              </w:rPr>
              <w:t>5</w:t>
            </w: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6.36</w:t>
            </w:r>
          </w:p>
        </w:tc>
        <w:tc>
          <w:tcPr>
            <w:tcW w:w="784"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506</w:t>
            </w:r>
          </w:p>
        </w:tc>
        <w:tc>
          <w:tcPr>
            <w:tcW w:w="993" w:type="dxa"/>
            <w:vAlign w:val="center"/>
          </w:tcPr>
          <w:p>
            <w:pPr>
              <w:spacing w:line="340" w:lineRule="exact"/>
              <w:jc w:val="center"/>
              <w:rPr>
                <w:rFonts w:eastAsia="Times New Roman" w:cstheme="minorBidi"/>
                <w:szCs w:val="21"/>
              </w:rPr>
            </w:pPr>
            <w:r>
              <w:rPr>
                <w:rFonts w:eastAsia="Times New Roman" w:cstheme="minorBidi"/>
                <w:spacing w:val="-3"/>
                <w:sz w:val="21"/>
                <w:szCs w:val="21"/>
              </w:rPr>
              <w:t>19.674</w:t>
            </w:r>
          </w:p>
        </w:tc>
        <w:tc>
          <w:tcPr>
            <w:tcW w:w="911" w:type="dxa"/>
            <w:vAlign w:val="center"/>
          </w:tcPr>
          <w:p>
            <w:pPr>
              <w:spacing w:line="340" w:lineRule="exact"/>
              <w:jc w:val="center"/>
              <w:rPr>
                <w:rFonts w:eastAsia="Times New Roman" w:cstheme="minorBidi"/>
                <w:szCs w:val="21"/>
              </w:rPr>
            </w:pPr>
            <w:r>
              <w:rPr>
                <w:rFonts w:eastAsia="Times New Roman" w:cstheme="minorBidi"/>
                <w:spacing w:val="-1"/>
                <w:sz w:val="21"/>
                <w:szCs w:val="21"/>
              </w:rPr>
              <w:t>451</w:t>
            </w:r>
          </w:p>
        </w:tc>
        <w:tc>
          <w:tcPr>
            <w:tcW w:w="875" w:type="dxa"/>
            <w:vAlign w:val="center"/>
          </w:tcPr>
          <w:p>
            <w:pPr>
              <w:spacing w:line="340" w:lineRule="exact"/>
              <w:jc w:val="center"/>
              <w:rPr>
                <w:rFonts w:eastAsia="Times New Roman" w:cstheme="minorBidi"/>
                <w:szCs w:val="21"/>
              </w:rPr>
            </w:pPr>
            <w:r>
              <w:rPr>
                <w:rFonts w:eastAsia="Times New Roman" w:cstheme="minorBidi"/>
                <w:spacing w:val="-2"/>
                <w:sz w:val="21"/>
                <w:szCs w:val="21"/>
              </w:rPr>
              <w:t>375</w:t>
            </w:r>
          </w:p>
        </w:tc>
        <w:tc>
          <w:tcPr>
            <w:tcW w:w="868" w:type="dxa"/>
            <w:vAlign w:val="center"/>
          </w:tcPr>
          <w:p>
            <w:pPr>
              <w:spacing w:line="340" w:lineRule="exact"/>
              <w:jc w:val="center"/>
              <w:rPr>
                <w:rFonts w:eastAsia="Times New Roman" w:cstheme="minorBidi"/>
                <w:szCs w:val="21"/>
              </w:rPr>
            </w:pPr>
            <w:r>
              <w:rPr>
                <w:rFonts w:eastAsia="Times New Roman" w:cstheme="minorBidi"/>
                <w:spacing w:val="-5"/>
                <w:sz w:val="21"/>
                <w:szCs w:val="21"/>
              </w:rPr>
              <w:t>1224</w:t>
            </w:r>
          </w:p>
        </w:tc>
        <w:tc>
          <w:tcPr>
            <w:tcW w:w="1195" w:type="dxa"/>
            <w:vMerge w:val="restart"/>
            <w:vAlign w:val="center"/>
          </w:tcPr>
          <w:p>
            <w:pPr>
              <w:spacing w:line="340" w:lineRule="exact"/>
              <w:jc w:val="center"/>
              <w:rPr>
                <w:rFonts w:eastAsia="Times New Roman" w:cstheme="minorBidi"/>
                <w:szCs w:val="21"/>
              </w:rPr>
            </w:pPr>
            <w:r>
              <w:rPr>
                <w:rFonts w:eastAsia="Times New Roman" w:cstheme="minorBidi"/>
                <w:spacing w:val="-1"/>
                <w:sz w:val="21"/>
                <w:szCs w:val="21"/>
              </w:rPr>
              <w:t>4824</w:t>
            </w:r>
          </w:p>
        </w:tc>
        <w:tc>
          <w:tcPr>
            <w:tcW w:w="846" w:type="dxa"/>
            <w:vAlign w:val="center"/>
          </w:tcPr>
          <w:p>
            <w:pPr>
              <w:spacing w:line="340" w:lineRule="exact"/>
              <w:jc w:val="center"/>
              <w:rPr>
                <w:rFonts w:eastAsia="Times New Roman" w:cstheme="minorBidi"/>
                <w:szCs w:val="21"/>
              </w:rPr>
            </w:pPr>
            <w:r>
              <w:rPr>
                <w:rFonts w:eastAsia="Times New Roman" w:cstheme="minorBidi"/>
                <w:spacing w:val="-1"/>
                <w:sz w:val="21"/>
                <w:szCs w:val="21"/>
              </w:rPr>
              <w:t>247</w:t>
            </w:r>
          </w:p>
        </w:tc>
        <w:tc>
          <w:tcPr>
            <w:tcW w:w="819" w:type="dxa"/>
            <w:vAlign w:val="center"/>
          </w:tcPr>
          <w:p>
            <w:pPr>
              <w:spacing w:line="340" w:lineRule="exact"/>
              <w:jc w:val="center"/>
              <w:rPr>
                <w:rFonts w:eastAsia="Times New Roman" w:cstheme="minorBidi"/>
                <w:szCs w:val="21"/>
              </w:rPr>
            </w:pPr>
            <w:r>
              <w:rPr>
                <w:rFonts w:eastAsia="Times New Roman" w:cstheme="minorBidi"/>
                <w:spacing w:val="-5"/>
                <w:sz w:val="21"/>
                <w:szCs w:val="21"/>
              </w:rPr>
              <w:t>1260</w:t>
            </w:r>
          </w:p>
        </w:tc>
        <w:tc>
          <w:tcPr>
            <w:tcW w:w="669" w:type="dxa"/>
            <w:vMerge w:val="restart"/>
            <w:vAlign w:val="center"/>
          </w:tcPr>
          <w:p>
            <w:pPr>
              <w:spacing w:line="340" w:lineRule="exact"/>
              <w:jc w:val="center"/>
              <w:rPr>
                <w:rFonts w:eastAsia="Times New Roman" w:cstheme="minorBidi"/>
                <w:szCs w:val="21"/>
              </w:rPr>
            </w:pPr>
            <w:r>
              <w:rPr>
                <w:rFonts w:eastAsia="Times New Roman" w:cstheme="minorBidi"/>
                <w:spacing w:val="-1"/>
                <w:sz w:val="21"/>
                <w:szCs w:val="21"/>
              </w:rPr>
              <w:t>499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B</w:t>
            </w:r>
          </w:p>
        </w:tc>
        <w:tc>
          <w:tcPr>
            <w:tcW w:w="726" w:type="dxa"/>
            <w:vAlign w:val="center"/>
          </w:tcPr>
          <w:p>
            <w:pPr>
              <w:spacing w:line="340" w:lineRule="exact"/>
              <w:jc w:val="center"/>
              <w:rPr>
                <w:rFonts w:eastAsia="Times New Roman" w:cstheme="minorBidi"/>
                <w:szCs w:val="21"/>
              </w:rPr>
            </w:pPr>
            <w:r>
              <w:rPr>
                <w:rFonts w:eastAsia="Times New Roman" w:cstheme="minorBidi"/>
                <w:spacing w:val="-6"/>
                <w:sz w:val="21"/>
                <w:szCs w:val="21"/>
              </w:rPr>
              <w:t>18</w:t>
            </w:r>
          </w:p>
        </w:tc>
        <w:tc>
          <w:tcPr>
            <w:tcW w:w="877" w:type="dxa"/>
            <w:vAlign w:val="center"/>
          </w:tcPr>
          <w:p>
            <w:pPr>
              <w:spacing w:line="340" w:lineRule="exact"/>
              <w:jc w:val="center"/>
              <w:rPr>
                <w:rFonts w:eastAsia="Times New Roman" w:cstheme="minorBidi"/>
                <w:szCs w:val="21"/>
              </w:rPr>
            </w:pPr>
            <w:r>
              <w:rPr>
                <w:rFonts w:eastAsia="Times New Roman" w:cstheme="minorBidi"/>
                <w:spacing w:val="-3"/>
                <w:sz w:val="21"/>
                <w:szCs w:val="21"/>
              </w:rPr>
              <w:t>16φ12.6</w:t>
            </w:r>
          </w:p>
        </w:tc>
        <w:tc>
          <w:tcPr>
            <w:tcW w:w="785" w:type="dxa"/>
            <w:vAlign w:val="center"/>
          </w:tcPr>
          <w:p>
            <w:pPr>
              <w:spacing w:line="340" w:lineRule="exact"/>
              <w:jc w:val="center"/>
              <w:rPr>
                <w:rFonts w:eastAsia="Times New Roman" w:cstheme="minorBidi"/>
                <w:szCs w:val="21"/>
              </w:rPr>
            </w:pPr>
            <w:r>
              <w:rPr>
                <w:rFonts w:eastAsia="Times New Roman" w:cstheme="minorBidi"/>
                <w:spacing w:val="-10"/>
                <w:sz w:val="21"/>
                <w:szCs w:val="21"/>
              </w:rPr>
              <w:t>16</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8.47</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3"/>
                <w:sz w:val="21"/>
                <w:szCs w:val="21"/>
              </w:rPr>
              <w:t>19.929</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544</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410</w:t>
            </w:r>
          </w:p>
        </w:tc>
        <w:tc>
          <w:tcPr>
            <w:tcW w:w="868" w:type="dxa"/>
            <w:vAlign w:val="center"/>
          </w:tcPr>
          <w:p>
            <w:pPr>
              <w:spacing w:line="340" w:lineRule="exact"/>
              <w:jc w:val="center"/>
              <w:rPr>
                <w:rFonts w:eastAsia="Times New Roman" w:cstheme="minorBidi"/>
                <w:szCs w:val="21"/>
              </w:rPr>
            </w:pPr>
            <w:r>
              <w:rPr>
                <w:rFonts w:eastAsia="Times New Roman" w:cstheme="minorBidi"/>
                <w:spacing w:val="-5"/>
                <w:sz w:val="21"/>
                <w:szCs w:val="21"/>
              </w:rPr>
              <w:t>1700</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1"/>
                <w:sz w:val="21"/>
                <w:szCs w:val="21"/>
              </w:rPr>
              <w:t>293</w:t>
            </w:r>
          </w:p>
        </w:tc>
        <w:tc>
          <w:tcPr>
            <w:tcW w:w="819" w:type="dxa"/>
            <w:vAlign w:val="center"/>
          </w:tcPr>
          <w:p>
            <w:pPr>
              <w:spacing w:line="340" w:lineRule="exact"/>
              <w:jc w:val="center"/>
              <w:rPr>
                <w:rFonts w:eastAsia="Times New Roman" w:cstheme="minorBidi"/>
                <w:szCs w:val="21"/>
              </w:rPr>
            </w:pPr>
            <w:r>
              <w:rPr>
                <w:rFonts w:eastAsia="Times New Roman" w:cstheme="minorBidi"/>
                <w:spacing w:val="-5"/>
                <w:sz w:val="21"/>
                <w:szCs w:val="21"/>
              </w:rPr>
              <w:t>1697</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C</w:t>
            </w:r>
          </w:p>
        </w:tc>
        <w:tc>
          <w:tcPr>
            <w:tcW w:w="726" w:type="dxa"/>
            <w:vAlign w:val="center"/>
          </w:tcPr>
          <w:p>
            <w:pPr>
              <w:spacing w:line="340" w:lineRule="exact"/>
              <w:jc w:val="center"/>
              <w:rPr>
                <w:rFonts w:eastAsia="Times New Roman" w:cstheme="minorBidi"/>
                <w:szCs w:val="21"/>
              </w:rPr>
            </w:pPr>
            <w:r>
              <w:rPr>
                <w:rFonts w:eastAsia="Times New Roman" w:cstheme="minorBidi"/>
                <w:spacing w:val="-6"/>
                <w:sz w:val="21"/>
                <w:szCs w:val="21"/>
              </w:rPr>
              <w:t>19</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20φ12.6</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20</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5"/>
                <w:sz w:val="21"/>
                <w:szCs w:val="21"/>
              </w:rPr>
              <w:t>10.21</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20.156</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644</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436</w:t>
            </w:r>
          </w:p>
        </w:tc>
        <w:tc>
          <w:tcPr>
            <w:tcW w:w="868" w:type="dxa"/>
            <w:vAlign w:val="center"/>
          </w:tcPr>
          <w:p>
            <w:pPr>
              <w:spacing w:line="340" w:lineRule="exact"/>
              <w:jc w:val="center"/>
              <w:rPr>
                <w:rFonts w:eastAsia="Times New Roman" w:cstheme="minorBidi"/>
                <w:szCs w:val="21"/>
              </w:rPr>
            </w:pPr>
            <w:r>
              <w:rPr>
                <w:rFonts w:eastAsia="Times New Roman" w:cstheme="minorBidi"/>
                <w:spacing w:val="-1"/>
                <w:sz w:val="21"/>
                <w:szCs w:val="21"/>
              </w:rPr>
              <w:t>2125</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2"/>
                <w:sz w:val="21"/>
                <w:szCs w:val="21"/>
              </w:rPr>
              <w:t>331</w:t>
            </w:r>
          </w:p>
        </w:tc>
        <w:tc>
          <w:tcPr>
            <w:tcW w:w="819" w:type="dxa"/>
            <w:vAlign w:val="center"/>
          </w:tcPr>
          <w:p>
            <w:pPr>
              <w:spacing w:line="340" w:lineRule="exact"/>
              <w:jc w:val="center"/>
              <w:rPr>
                <w:rFonts w:eastAsia="Times New Roman" w:cstheme="minorBidi"/>
                <w:szCs w:val="21"/>
              </w:rPr>
            </w:pPr>
            <w:r>
              <w:rPr>
                <w:rFonts w:eastAsia="Times New Roman" w:cstheme="minorBidi"/>
                <w:spacing w:val="-1"/>
                <w:sz w:val="21"/>
                <w:szCs w:val="21"/>
              </w:rPr>
              <w:t>2070</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D</w:t>
            </w:r>
          </w:p>
        </w:tc>
        <w:tc>
          <w:tcPr>
            <w:tcW w:w="726" w:type="dxa"/>
            <w:vAlign w:val="center"/>
          </w:tcPr>
          <w:p>
            <w:pPr>
              <w:spacing w:line="340" w:lineRule="exact"/>
              <w:jc w:val="center"/>
              <w:rPr>
                <w:rFonts w:eastAsia="Times New Roman" w:cstheme="minorBidi"/>
                <w:szCs w:val="21"/>
              </w:rPr>
            </w:pPr>
            <w:r>
              <w:rPr>
                <w:rFonts w:eastAsia="Times New Roman" w:cstheme="minorBidi"/>
                <w:spacing w:val="-1"/>
                <w:sz w:val="21"/>
                <w:szCs w:val="21"/>
              </w:rPr>
              <w:t>20</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20φ14.0</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20</w:t>
            </w:r>
            <w:r>
              <w:rPr>
                <w:rFonts w:hint="eastAsia" w:ascii="SJQY" w:hAnsi="SJQY" w:eastAsia="SJQY" w:cs="SJQY"/>
                <w:spacing w:val="-10"/>
                <w:sz w:val="21"/>
                <w:szCs w:val="21"/>
              </w:rPr>
              <w:t>C</w:t>
            </w:r>
            <w:r>
              <w:rPr>
                <w:rFonts w:eastAsia="Times New Roman" w:cstheme="minorBidi"/>
                <w:spacing w:val="-6"/>
                <w:sz w:val="21"/>
                <w:szCs w:val="21"/>
              </w:rPr>
              <w:t>14</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5"/>
                <w:w w:val="97"/>
                <w:sz w:val="21"/>
                <w:szCs w:val="21"/>
              </w:rPr>
              <w:t>12.10</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20.420</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762</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462</w:t>
            </w:r>
          </w:p>
        </w:tc>
        <w:tc>
          <w:tcPr>
            <w:tcW w:w="868" w:type="dxa"/>
            <w:vAlign w:val="center"/>
          </w:tcPr>
          <w:p>
            <w:pPr>
              <w:spacing w:line="340" w:lineRule="exact"/>
              <w:jc w:val="center"/>
              <w:rPr>
                <w:rFonts w:eastAsia="Times New Roman" w:cstheme="minorBidi"/>
                <w:szCs w:val="21"/>
              </w:rPr>
            </w:pPr>
            <w:r>
              <w:rPr>
                <w:rFonts w:eastAsia="Times New Roman" w:cstheme="minorBidi"/>
                <w:spacing w:val="-1"/>
                <w:sz w:val="21"/>
                <w:szCs w:val="21"/>
              </w:rPr>
              <w:t>2618</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2"/>
                <w:sz w:val="21"/>
                <w:szCs w:val="21"/>
              </w:rPr>
              <w:t>374</w:t>
            </w:r>
          </w:p>
        </w:tc>
        <w:tc>
          <w:tcPr>
            <w:tcW w:w="819" w:type="dxa"/>
            <w:vAlign w:val="center"/>
          </w:tcPr>
          <w:p>
            <w:pPr>
              <w:spacing w:line="340" w:lineRule="exact"/>
              <w:jc w:val="center"/>
              <w:rPr>
                <w:rFonts w:eastAsia="Times New Roman" w:cstheme="minorBidi"/>
                <w:szCs w:val="21"/>
              </w:rPr>
            </w:pPr>
            <w:r>
              <w:rPr>
                <w:rFonts w:eastAsia="Times New Roman" w:cstheme="minorBidi"/>
                <w:spacing w:val="-1"/>
                <w:sz w:val="21"/>
                <w:szCs w:val="21"/>
              </w:rPr>
              <w:t>2482</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PRC</w:t>
            </w:r>
            <w:r>
              <w:rPr>
                <w:rFonts w:eastAsia="Times New Roman" w:cstheme="minorBidi"/>
                <w:spacing w:val="9"/>
                <w:w w:val="101"/>
                <w:sz w:val="21"/>
                <w:szCs w:val="21"/>
              </w:rPr>
              <w:t xml:space="preserve"> </w:t>
            </w:r>
            <w:r>
              <w:rPr>
                <w:rFonts w:hint="eastAsia" w:ascii="宋体" w:hAnsi="宋体" w:cs="宋体" w:eastAsiaTheme="minorEastAsia"/>
                <w:spacing w:val="-2"/>
                <w:sz w:val="21"/>
                <w:szCs w:val="21"/>
              </w:rPr>
              <w:t>Ⅰ</w:t>
            </w:r>
            <w:r>
              <w:rPr>
                <w:rFonts w:eastAsia="Times New Roman" w:cstheme="minorBidi"/>
                <w:spacing w:val="7"/>
                <w:w w:val="101"/>
                <w:sz w:val="21"/>
                <w:szCs w:val="21"/>
              </w:rPr>
              <w:t xml:space="preserve"> </w:t>
            </w:r>
            <w:r>
              <w:rPr>
                <w:rFonts w:eastAsia="Times New Roman" w:cstheme="minorBidi"/>
                <w:spacing w:val="-2"/>
                <w:sz w:val="21"/>
                <w:szCs w:val="21"/>
              </w:rPr>
              <w:t>700(110)</w:t>
            </w: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AB</w:t>
            </w:r>
          </w:p>
        </w:tc>
        <w:tc>
          <w:tcPr>
            <w:tcW w:w="726" w:type="dxa"/>
            <w:vAlign w:val="center"/>
          </w:tcPr>
          <w:p>
            <w:pPr>
              <w:spacing w:line="340" w:lineRule="exact"/>
              <w:jc w:val="center"/>
              <w:rPr>
                <w:rFonts w:eastAsia="Times New Roman" w:cstheme="minorBidi"/>
                <w:szCs w:val="21"/>
              </w:rPr>
            </w:pPr>
            <w:r>
              <w:rPr>
                <w:rFonts w:eastAsia="Times New Roman" w:cstheme="minorBidi"/>
                <w:spacing w:val="-6"/>
                <w:sz w:val="21"/>
                <w:szCs w:val="21"/>
              </w:rPr>
              <w:t>19</w:t>
            </w:r>
          </w:p>
        </w:tc>
        <w:tc>
          <w:tcPr>
            <w:tcW w:w="877" w:type="dxa"/>
            <w:vAlign w:val="center"/>
          </w:tcPr>
          <w:p>
            <w:pPr>
              <w:spacing w:line="340" w:lineRule="exact"/>
              <w:jc w:val="center"/>
              <w:rPr>
                <w:rFonts w:eastAsia="Times New Roman" w:cstheme="minorBidi"/>
                <w:szCs w:val="21"/>
              </w:rPr>
            </w:pPr>
            <w:r>
              <w:rPr>
                <w:rFonts w:eastAsia="Times New Roman" w:cstheme="minorBidi"/>
                <w:spacing w:val="-3"/>
                <w:sz w:val="21"/>
                <w:szCs w:val="21"/>
              </w:rPr>
              <w:t>18φ10.7</w:t>
            </w:r>
          </w:p>
        </w:tc>
        <w:tc>
          <w:tcPr>
            <w:tcW w:w="785" w:type="dxa"/>
            <w:vAlign w:val="center"/>
          </w:tcPr>
          <w:p>
            <w:pPr>
              <w:spacing w:line="340" w:lineRule="exact"/>
              <w:jc w:val="center"/>
              <w:rPr>
                <w:rFonts w:eastAsia="Times New Roman" w:cstheme="minorBidi"/>
                <w:szCs w:val="21"/>
              </w:rPr>
            </w:pPr>
            <w:r>
              <w:rPr>
                <w:rFonts w:eastAsia="Times New Roman" w:cstheme="minorBidi"/>
                <w:spacing w:val="-10"/>
                <w:sz w:val="21"/>
                <w:szCs w:val="21"/>
              </w:rPr>
              <w:t>18</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restart"/>
            <w:vAlign w:val="center"/>
          </w:tcPr>
          <w:p>
            <w:pPr>
              <w:spacing w:line="340" w:lineRule="exact"/>
              <w:jc w:val="center"/>
              <w:rPr>
                <w:rFonts w:eastAsia="Times New Roman" w:cstheme="minorBidi"/>
                <w:szCs w:val="21"/>
              </w:rPr>
            </w:pPr>
            <w:r>
              <w:rPr>
                <w:rFonts w:eastAsia="Times New Roman" w:cstheme="minorBidi"/>
                <w:sz w:val="21"/>
                <w:szCs w:val="21"/>
              </w:rPr>
              <w:t>6</w:t>
            </w: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6.70</w:t>
            </w:r>
          </w:p>
        </w:tc>
        <w:tc>
          <w:tcPr>
            <w:tcW w:w="784"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590</w:t>
            </w: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27.088</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618</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448</w:t>
            </w:r>
          </w:p>
        </w:tc>
        <w:tc>
          <w:tcPr>
            <w:tcW w:w="868" w:type="dxa"/>
            <w:vAlign w:val="center"/>
          </w:tcPr>
          <w:p>
            <w:pPr>
              <w:spacing w:line="340" w:lineRule="exact"/>
              <w:jc w:val="center"/>
              <w:rPr>
                <w:rFonts w:eastAsia="Times New Roman" w:cstheme="minorBidi"/>
                <w:szCs w:val="21"/>
              </w:rPr>
            </w:pPr>
            <w:r>
              <w:rPr>
                <w:rFonts w:eastAsia="Times New Roman" w:cstheme="minorBidi"/>
                <w:spacing w:val="-5"/>
                <w:sz w:val="21"/>
                <w:szCs w:val="21"/>
              </w:rPr>
              <w:t>1377</w:t>
            </w:r>
          </w:p>
        </w:tc>
        <w:tc>
          <w:tcPr>
            <w:tcW w:w="1195"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5124</w:t>
            </w:r>
          </w:p>
        </w:tc>
        <w:tc>
          <w:tcPr>
            <w:tcW w:w="846" w:type="dxa"/>
            <w:vAlign w:val="center"/>
          </w:tcPr>
          <w:p>
            <w:pPr>
              <w:spacing w:line="340" w:lineRule="exact"/>
              <w:jc w:val="center"/>
              <w:rPr>
                <w:rFonts w:eastAsia="Times New Roman" w:cstheme="minorBidi"/>
                <w:szCs w:val="21"/>
              </w:rPr>
            </w:pPr>
            <w:r>
              <w:rPr>
                <w:rFonts w:eastAsia="Times New Roman" w:cstheme="minorBidi"/>
                <w:spacing w:val="-2"/>
                <w:sz w:val="21"/>
                <w:szCs w:val="21"/>
              </w:rPr>
              <w:t>350</w:t>
            </w:r>
          </w:p>
        </w:tc>
        <w:tc>
          <w:tcPr>
            <w:tcW w:w="819" w:type="dxa"/>
            <w:vAlign w:val="center"/>
          </w:tcPr>
          <w:p>
            <w:pPr>
              <w:spacing w:line="340" w:lineRule="exact"/>
              <w:jc w:val="center"/>
              <w:rPr>
                <w:rFonts w:eastAsia="Times New Roman" w:cstheme="minorBidi"/>
                <w:szCs w:val="21"/>
              </w:rPr>
            </w:pPr>
            <w:r>
              <w:rPr>
                <w:rFonts w:eastAsia="Times New Roman" w:cstheme="minorBidi"/>
                <w:spacing w:val="-6"/>
                <w:sz w:val="21"/>
                <w:szCs w:val="21"/>
              </w:rPr>
              <w:t>1411</w:t>
            </w:r>
          </w:p>
        </w:tc>
        <w:tc>
          <w:tcPr>
            <w:tcW w:w="669"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530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B</w:t>
            </w:r>
          </w:p>
        </w:tc>
        <w:tc>
          <w:tcPr>
            <w:tcW w:w="726" w:type="dxa"/>
            <w:vAlign w:val="center"/>
          </w:tcPr>
          <w:p>
            <w:pPr>
              <w:spacing w:line="340" w:lineRule="exact"/>
              <w:jc w:val="center"/>
              <w:rPr>
                <w:rFonts w:eastAsia="Times New Roman" w:cstheme="minorBidi"/>
                <w:szCs w:val="21"/>
              </w:rPr>
            </w:pPr>
            <w:r>
              <w:rPr>
                <w:rFonts w:eastAsia="Times New Roman" w:cstheme="minorBidi"/>
                <w:spacing w:val="-1"/>
                <w:sz w:val="21"/>
                <w:szCs w:val="21"/>
              </w:rPr>
              <w:t>20</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22φ10.7</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22</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7.99</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27.278</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726</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470</w:t>
            </w:r>
          </w:p>
        </w:tc>
        <w:tc>
          <w:tcPr>
            <w:tcW w:w="868" w:type="dxa"/>
            <w:vAlign w:val="center"/>
          </w:tcPr>
          <w:p>
            <w:pPr>
              <w:spacing w:line="340" w:lineRule="exact"/>
              <w:jc w:val="center"/>
              <w:rPr>
                <w:rFonts w:eastAsia="Times New Roman" w:cstheme="minorBidi"/>
                <w:szCs w:val="21"/>
              </w:rPr>
            </w:pPr>
            <w:r>
              <w:rPr>
                <w:rFonts w:eastAsia="Times New Roman" w:cstheme="minorBidi"/>
                <w:spacing w:val="-5"/>
                <w:sz w:val="21"/>
                <w:szCs w:val="21"/>
              </w:rPr>
              <w:t>1683</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2"/>
                <w:sz w:val="21"/>
                <w:szCs w:val="21"/>
              </w:rPr>
              <w:t>388</w:t>
            </w:r>
          </w:p>
        </w:tc>
        <w:tc>
          <w:tcPr>
            <w:tcW w:w="819" w:type="dxa"/>
            <w:vAlign w:val="center"/>
          </w:tcPr>
          <w:p>
            <w:pPr>
              <w:spacing w:line="340" w:lineRule="exact"/>
              <w:jc w:val="center"/>
              <w:rPr>
                <w:rFonts w:eastAsia="Times New Roman" w:cstheme="minorBidi"/>
                <w:szCs w:val="21"/>
              </w:rPr>
            </w:pPr>
            <w:r>
              <w:rPr>
                <w:rFonts w:eastAsia="Times New Roman" w:cstheme="minorBidi"/>
                <w:spacing w:val="-5"/>
                <w:sz w:val="21"/>
                <w:szCs w:val="21"/>
              </w:rPr>
              <w:t>1697</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C</w:t>
            </w:r>
          </w:p>
        </w:tc>
        <w:tc>
          <w:tcPr>
            <w:tcW w:w="726" w:type="dxa"/>
            <w:vAlign w:val="center"/>
          </w:tcPr>
          <w:p>
            <w:pPr>
              <w:spacing w:line="340" w:lineRule="exact"/>
              <w:jc w:val="center"/>
              <w:rPr>
                <w:rFonts w:eastAsia="Times New Roman" w:cstheme="minorBidi"/>
                <w:szCs w:val="21"/>
              </w:rPr>
            </w:pPr>
            <w:r>
              <w:rPr>
                <w:rFonts w:eastAsia="Times New Roman" w:cstheme="minorBidi"/>
                <w:spacing w:val="-1"/>
                <w:sz w:val="21"/>
                <w:szCs w:val="21"/>
              </w:rPr>
              <w:t>21</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20φ12.6</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20</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9.72</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27.554</w:t>
            </w:r>
          </w:p>
        </w:tc>
        <w:tc>
          <w:tcPr>
            <w:tcW w:w="911" w:type="dxa"/>
            <w:vAlign w:val="center"/>
          </w:tcPr>
          <w:p>
            <w:pPr>
              <w:spacing w:line="340" w:lineRule="exact"/>
              <w:jc w:val="center"/>
              <w:rPr>
                <w:rFonts w:eastAsia="Times New Roman" w:cstheme="minorBidi"/>
                <w:szCs w:val="21"/>
              </w:rPr>
            </w:pPr>
            <w:r>
              <w:rPr>
                <w:rFonts w:eastAsia="Times New Roman" w:cstheme="minorBidi"/>
                <w:spacing w:val="-3"/>
                <w:sz w:val="21"/>
                <w:szCs w:val="21"/>
              </w:rPr>
              <w:t>801</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497</w:t>
            </w:r>
          </w:p>
        </w:tc>
        <w:tc>
          <w:tcPr>
            <w:tcW w:w="868" w:type="dxa"/>
            <w:vAlign w:val="center"/>
          </w:tcPr>
          <w:p>
            <w:pPr>
              <w:spacing w:line="340" w:lineRule="exact"/>
              <w:jc w:val="center"/>
              <w:rPr>
                <w:rFonts w:eastAsia="Times New Roman" w:cstheme="minorBidi"/>
                <w:szCs w:val="21"/>
              </w:rPr>
            </w:pPr>
            <w:r>
              <w:rPr>
                <w:rFonts w:eastAsia="Times New Roman" w:cstheme="minorBidi"/>
                <w:spacing w:val="-1"/>
                <w:sz w:val="21"/>
                <w:szCs w:val="21"/>
              </w:rPr>
              <w:t>2125</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1"/>
                <w:sz w:val="21"/>
                <w:szCs w:val="21"/>
              </w:rPr>
              <w:t>439</w:t>
            </w:r>
          </w:p>
        </w:tc>
        <w:tc>
          <w:tcPr>
            <w:tcW w:w="819" w:type="dxa"/>
            <w:vAlign w:val="center"/>
          </w:tcPr>
          <w:p>
            <w:pPr>
              <w:spacing w:line="340" w:lineRule="exact"/>
              <w:jc w:val="center"/>
              <w:rPr>
                <w:rFonts w:eastAsia="Times New Roman" w:cstheme="minorBidi"/>
                <w:szCs w:val="21"/>
              </w:rPr>
            </w:pPr>
            <w:r>
              <w:rPr>
                <w:rFonts w:eastAsia="Times New Roman" w:cstheme="minorBidi"/>
                <w:spacing w:val="-1"/>
                <w:sz w:val="21"/>
                <w:szCs w:val="21"/>
              </w:rPr>
              <w:t>2084</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D</w:t>
            </w:r>
          </w:p>
        </w:tc>
        <w:tc>
          <w:tcPr>
            <w:tcW w:w="726" w:type="dxa"/>
            <w:vAlign w:val="center"/>
          </w:tcPr>
          <w:p>
            <w:pPr>
              <w:spacing w:line="340" w:lineRule="exact"/>
              <w:jc w:val="center"/>
              <w:rPr>
                <w:rFonts w:eastAsia="Times New Roman" w:cstheme="minorBidi"/>
                <w:szCs w:val="21"/>
              </w:rPr>
            </w:pPr>
            <w:r>
              <w:rPr>
                <w:rFonts w:eastAsia="Times New Roman" w:cstheme="minorBidi"/>
                <w:spacing w:val="-1"/>
                <w:sz w:val="21"/>
                <w:szCs w:val="21"/>
              </w:rPr>
              <w:t>22</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24φ12.6</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24</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5"/>
                <w:w w:val="99"/>
                <w:sz w:val="21"/>
                <w:szCs w:val="21"/>
              </w:rPr>
              <w:t>11.28</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27.819</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910</w:t>
            </w:r>
          </w:p>
        </w:tc>
        <w:tc>
          <w:tcPr>
            <w:tcW w:w="875" w:type="dxa"/>
            <w:vAlign w:val="center"/>
          </w:tcPr>
          <w:p>
            <w:pPr>
              <w:spacing w:line="340" w:lineRule="exact"/>
              <w:jc w:val="center"/>
              <w:rPr>
                <w:rFonts w:eastAsia="Times New Roman" w:cstheme="minorBidi"/>
                <w:szCs w:val="21"/>
              </w:rPr>
            </w:pPr>
            <w:r>
              <w:rPr>
                <w:rFonts w:eastAsia="Times New Roman" w:cstheme="minorBidi"/>
                <w:spacing w:val="-2"/>
                <w:sz w:val="21"/>
                <w:szCs w:val="21"/>
              </w:rPr>
              <w:t>520</w:t>
            </w:r>
          </w:p>
        </w:tc>
        <w:tc>
          <w:tcPr>
            <w:tcW w:w="868" w:type="dxa"/>
            <w:vAlign w:val="center"/>
          </w:tcPr>
          <w:p>
            <w:pPr>
              <w:spacing w:line="340" w:lineRule="exact"/>
              <w:jc w:val="center"/>
              <w:rPr>
                <w:rFonts w:eastAsia="Times New Roman" w:cstheme="minorBidi"/>
                <w:szCs w:val="21"/>
              </w:rPr>
            </w:pPr>
            <w:r>
              <w:rPr>
                <w:rFonts w:eastAsia="Times New Roman" w:cstheme="minorBidi"/>
                <w:spacing w:val="-1"/>
                <w:sz w:val="21"/>
                <w:szCs w:val="21"/>
              </w:rPr>
              <w:t>2550</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1"/>
                <w:sz w:val="21"/>
                <w:szCs w:val="21"/>
              </w:rPr>
              <w:t>487</w:t>
            </w:r>
          </w:p>
        </w:tc>
        <w:tc>
          <w:tcPr>
            <w:tcW w:w="819" w:type="dxa"/>
            <w:vAlign w:val="center"/>
          </w:tcPr>
          <w:p>
            <w:pPr>
              <w:spacing w:line="340" w:lineRule="exact"/>
              <w:jc w:val="center"/>
              <w:rPr>
                <w:rFonts w:eastAsia="Times New Roman" w:cstheme="minorBidi"/>
                <w:szCs w:val="21"/>
              </w:rPr>
            </w:pPr>
            <w:r>
              <w:rPr>
                <w:rFonts w:eastAsia="Times New Roman" w:cstheme="minorBidi"/>
                <w:spacing w:val="-1"/>
                <w:sz w:val="21"/>
                <w:szCs w:val="21"/>
              </w:rPr>
              <w:t>2444</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PRC</w:t>
            </w:r>
            <w:r>
              <w:rPr>
                <w:rFonts w:eastAsia="Times New Roman" w:cstheme="minorBidi"/>
                <w:spacing w:val="15"/>
                <w:w w:val="101"/>
                <w:sz w:val="21"/>
                <w:szCs w:val="21"/>
              </w:rPr>
              <w:t xml:space="preserve"> </w:t>
            </w:r>
            <w:r>
              <w:rPr>
                <w:rFonts w:hint="eastAsia" w:ascii="宋体" w:hAnsi="宋体" w:cs="宋体" w:eastAsiaTheme="minorEastAsia"/>
                <w:spacing w:val="-2"/>
                <w:sz w:val="21"/>
                <w:szCs w:val="21"/>
              </w:rPr>
              <w:t>Ⅰ</w:t>
            </w:r>
            <w:r>
              <w:rPr>
                <w:rFonts w:eastAsia="Times New Roman" w:cstheme="minorBidi"/>
                <w:spacing w:val="7"/>
                <w:w w:val="101"/>
                <w:sz w:val="21"/>
                <w:szCs w:val="21"/>
              </w:rPr>
              <w:t xml:space="preserve"> </w:t>
            </w:r>
            <w:r>
              <w:rPr>
                <w:rFonts w:eastAsia="Times New Roman" w:cstheme="minorBidi"/>
                <w:spacing w:val="-2"/>
                <w:sz w:val="21"/>
                <w:szCs w:val="21"/>
              </w:rPr>
              <w:t>700(130)</w:t>
            </w: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AB</w:t>
            </w:r>
          </w:p>
        </w:tc>
        <w:tc>
          <w:tcPr>
            <w:tcW w:w="726" w:type="dxa"/>
            <w:vAlign w:val="center"/>
          </w:tcPr>
          <w:p>
            <w:pPr>
              <w:spacing w:line="340" w:lineRule="exact"/>
              <w:jc w:val="center"/>
              <w:rPr>
                <w:rFonts w:eastAsia="Times New Roman" w:cstheme="minorBidi"/>
                <w:szCs w:val="21"/>
              </w:rPr>
            </w:pPr>
            <w:r>
              <w:rPr>
                <w:rFonts w:eastAsia="Times New Roman" w:cstheme="minorBidi"/>
                <w:spacing w:val="-6"/>
                <w:sz w:val="21"/>
                <w:szCs w:val="21"/>
              </w:rPr>
              <w:t>18</w:t>
            </w:r>
          </w:p>
        </w:tc>
        <w:tc>
          <w:tcPr>
            <w:tcW w:w="877" w:type="dxa"/>
            <w:vAlign w:val="center"/>
          </w:tcPr>
          <w:p>
            <w:pPr>
              <w:spacing w:line="340" w:lineRule="exact"/>
              <w:jc w:val="center"/>
              <w:rPr>
                <w:rFonts w:eastAsia="Times New Roman" w:cstheme="minorBidi"/>
                <w:szCs w:val="21"/>
              </w:rPr>
            </w:pPr>
            <w:r>
              <w:rPr>
                <w:rFonts w:eastAsia="Times New Roman" w:cstheme="minorBidi"/>
                <w:spacing w:val="-3"/>
                <w:sz w:val="21"/>
                <w:szCs w:val="21"/>
              </w:rPr>
              <w:t>18φ10.7</w:t>
            </w:r>
          </w:p>
        </w:tc>
        <w:tc>
          <w:tcPr>
            <w:tcW w:w="785" w:type="dxa"/>
            <w:vAlign w:val="center"/>
          </w:tcPr>
          <w:p>
            <w:pPr>
              <w:spacing w:line="340" w:lineRule="exact"/>
              <w:jc w:val="center"/>
              <w:rPr>
                <w:rFonts w:eastAsia="Times New Roman" w:cstheme="minorBidi"/>
                <w:szCs w:val="21"/>
              </w:rPr>
            </w:pPr>
            <w:r>
              <w:rPr>
                <w:rFonts w:eastAsia="Times New Roman" w:cstheme="minorBidi"/>
                <w:spacing w:val="-10"/>
                <w:sz w:val="21"/>
                <w:szCs w:val="21"/>
              </w:rPr>
              <w:t>18</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restart"/>
            <w:vAlign w:val="center"/>
          </w:tcPr>
          <w:p>
            <w:pPr>
              <w:spacing w:line="340" w:lineRule="exact"/>
              <w:jc w:val="center"/>
              <w:rPr>
                <w:rFonts w:eastAsia="Times New Roman" w:cstheme="minorBidi"/>
                <w:szCs w:val="21"/>
              </w:rPr>
            </w:pPr>
            <w:r>
              <w:rPr>
                <w:rFonts w:eastAsia="Times New Roman" w:cstheme="minorBidi"/>
                <w:sz w:val="21"/>
                <w:szCs w:val="21"/>
              </w:rPr>
              <w:t>6</w:t>
            </w: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5.94</w:t>
            </w:r>
          </w:p>
        </w:tc>
        <w:tc>
          <w:tcPr>
            <w:tcW w:w="784"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590</w:t>
            </w: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29.276</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616</w:t>
            </w:r>
          </w:p>
        </w:tc>
        <w:tc>
          <w:tcPr>
            <w:tcW w:w="875" w:type="dxa"/>
            <w:vAlign w:val="center"/>
          </w:tcPr>
          <w:p>
            <w:pPr>
              <w:spacing w:line="340" w:lineRule="exact"/>
              <w:jc w:val="center"/>
              <w:rPr>
                <w:rFonts w:eastAsia="Times New Roman" w:cstheme="minorBidi"/>
                <w:szCs w:val="21"/>
              </w:rPr>
            </w:pPr>
            <w:r>
              <w:rPr>
                <w:rFonts w:eastAsia="Times New Roman" w:cstheme="minorBidi"/>
                <w:spacing w:val="-1"/>
                <w:sz w:val="21"/>
                <w:szCs w:val="21"/>
              </w:rPr>
              <w:t>480</w:t>
            </w:r>
          </w:p>
        </w:tc>
        <w:tc>
          <w:tcPr>
            <w:tcW w:w="868" w:type="dxa"/>
            <w:vAlign w:val="center"/>
          </w:tcPr>
          <w:p>
            <w:pPr>
              <w:spacing w:line="340" w:lineRule="exact"/>
              <w:jc w:val="center"/>
              <w:rPr>
                <w:rFonts w:eastAsia="Times New Roman" w:cstheme="minorBidi"/>
                <w:szCs w:val="21"/>
              </w:rPr>
            </w:pPr>
            <w:r>
              <w:rPr>
                <w:rFonts w:eastAsia="Times New Roman" w:cstheme="minorBidi"/>
                <w:spacing w:val="-5"/>
                <w:sz w:val="21"/>
                <w:szCs w:val="21"/>
              </w:rPr>
              <w:t>1377</w:t>
            </w:r>
          </w:p>
        </w:tc>
        <w:tc>
          <w:tcPr>
            <w:tcW w:w="1195"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5850</w:t>
            </w:r>
          </w:p>
        </w:tc>
        <w:tc>
          <w:tcPr>
            <w:tcW w:w="846" w:type="dxa"/>
            <w:vAlign w:val="center"/>
          </w:tcPr>
          <w:p>
            <w:pPr>
              <w:spacing w:line="340" w:lineRule="exact"/>
              <w:jc w:val="center"/>
              <w:rPr>
                <w:rFonts w:eastAsia="Times New Roman" w:cstheme="minorBidi"/>
                <w:szCs w:val="21"/>
              </w:rPr>
            </w:pPr>
            <w:r>
              <w:rPr>
                <w:rFonts w:eastAsia="Times New Roman" w:cstheme="minorBidi"/>
                <w:spacing w:val="-2"/>
                <w:sz w:val="21"/>
                <w:szCs w:val="21"/>
              </w:rPr>
              <w:t>356</w:t>
            </w:r>
          </w:p>
        </w:tc>
        <w:tc>
          <w:tcPr>
            <w:tcW w:w="819" w:type="dxa"/>
            <w:vAlign w:val="center"/>
          </w:tcPr>
          <w:p>
            <w:pPr>
              <w:spacing w:line="340" w:lineRule="exact"/>
              <w:jc w:val="center"/>
              <w:rPr>
                <w:rFonts w:eastAsia="Times New Roman" w:cstheme="minorBidi"/>
                <w:szCs w:val="21"/>
              </w:rPr>
            </w:pPr>
            <w:r>
              <w:rPr>
                <w:rFonts w:eastAsia="Times New Roman" w:cstheme="minorBidi"/>
                <w:spacing w:val="-5"/>
                <w:sz w:val="21"/>
                <w:szCs w:val="21"/>
              </w:rPr>
              <w:t>1425</w:t>
            </w:r>
          </w:p>
        </w:tc>
        <w:tc>
          <w:tcPr>
            <w:tcW w:w="669" w:type="dxa"/>
            <w:vMerge w:val="restart"/>
            <w:vAlign w:val="center"/>
          </w:tcPr>
          <w:p>
            <w:pPr>
              <w:spacing w:line="340" w:lineRule="exact"/>
              <w:jc w:val="center"/>
              <w:rPr>
                <w:rFonts w:eastAsia="Times New Roman" w:cstheme="minorBidi"/>
                <w:szCs w:val="21"/>
              </w:rPr>
            </w:pPr>
            <w:r>
              <w:rPr>
                <w:rFonts w:eastAsia="Times New Roman" w:cstheme="minorBidi"/>
                <w:spacing w:val="-2"/>
                <w:sz w:val="21"/>
                <w:szCs w:val="21"/>
              </w:rPr>
              <w:t>605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B</w:t>
            </w:r>
          </w:p>
        </w:tc>
        <w:tc>
          <w:tcPr>
            <w:tcW w:w="726" w:type="dxa"/>
            <w:vAlign w:val="center"/>
          </w:tcPr>
          <w:p>
            <w:pPr>
              <w:spacing w:line="340" w:lineRule="exact"/>
              <w:jc w:val="center"/>
              <w:rPr>
                <w:rFonts w:eastAsia="Times New Roman" w:cstheme="minorBidi"/>
                <w:szCs w:val="21"/>
              </w:rPr>
            </w:pPr>
            <w:r>
              <w:rPr>
                <w:rFonts w:eastAsia="Times New Roman" w:cstheme="minorBidi"/>
                <w:spacing w:val="-6"/>
                <w:sz w:val="21"/>
                <w:szCs w:val="21"/>
              </w:rPr>
              <w:t>19</w:t>
            </w:r>
          </w:p>
        </w:tc>
        <w:tc>
          <w:tcPr>
            <w:tcW w:w="877" w:type="dxa"/>
            <w:vAlign w:val="center"/>
          </w:tcPr>
          <w:p>
            <w:pPr>
              <w:spacing w:line="340" w:lineRule="exact"/>
              <w:jc w:val="center"/>
              <w:rPr>
                <w:rFonts w:eastAsia="Times New Roman" w:cstheme="minorBidi"/>
                <w:szCs w:val="21"/>
              </w:rPr>
            </w:pPr>
            <w:r>
              <w:rPr>
                <w:rFonts w:eastAsia="Times New Roman" w:cstheme="minorBidi"/>
                <w:spacing w:val="-3"/>
                <w:sz w:val="21"/>
                <w:szCs w:val="21"/>
              </w:rPr>
              <w:t>18φ12.6</w:t>
            </w:r>
          </w:p>
        </w:tc>
        <w:tc>
          <w:tcPr>
            <w:tcW w:w="785" w:type="dxa"/>
            <w:vAlign w:val="center"/>
          </w:tcPr>
          <w:p>
            <w:pPr>
              <w:spacing w:line="340" w:lineRule="exact"/>
              <w:jc w:val="center"/>
              <w:rPr>
                <w:rFonts w:eastAsia="Times New Roman" w:cstheme="minorBidi"/>
                <w:szCs w:val="21"/>
              </w:rPr>
            </w:pPr>
            <w:r>
              <w:rPr>
                <w:rFonts w:eastAsia="Times New Roman" w:cstheme="minorBidi"/>
                <w:spacing w:val="-10"/>
                <w:sz w:val="21"/>
                <w:szCs w:val="21"/>
              </w:rPr>
              <w:t>18</w:t>
            </w:r>
            <w:r>
              <w:rPr>
                <w:rFonts w:hint="eastAsia" w:ascii="SJQY" w:hAnsi="SJQY" w:eastAsia="SJQY" w:cs="SJQY"/>
                <w:spacing w:val="-10"/>
                <w:sz w:val="21"/>
                <w:szCs w:val="21"/>
              </w:rPr>
              <w:t>C</w:t>
            </w:r>
            <w:r>
              <w:rPr>
                <w:rFonts w:eastAsia="Times New Roman" w:cstheme="minorBidi"/>
                <w:spacing w:val="-10"/>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7.93</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29.610</w:t>
            </w:r>
          </w:p>
        </w:tc>
        <w:tc>
          <w:tcPr>
            <w:tcW w:w="911" w:type="dxa"/>
            <w:vAlign w:val="center"/>
          </w:tcPr>
          <w:p>
            <w:pPr>
              <w:spacing w:line="340" w:lineRule="exact"/>
              <w:jc w:val="center"/>
              <w:rPr>
                <w:rFonts w:eastAsia="Times New Roman" w:cstheme="minorBidi"/>
                <w:szCs w:val="21"/>
              </w:rPr>
            </w:pPr>
            <w:r>
              <w:rPr>
                <w:rFonts w:eastAsia="Times New Roman" w:cstheme="minorBidi"/>
                <w:spacing w:val="-2"/>
                <w:sz w:val="21"/>
                <w:szCs w:val="21"/>
              </w:rPr>
              <w:t>745</w:t>
            </w:r>
          </w:p>
        </w:tc>
        <w:tc>
          <w:tcPr>
            <w:tcW w:w="875" w:type="dxa"/>
            <w:vAlign w:val="center"/>
          </w:tcPr>
          <w:p>
            <w:pPr>
              <w:spacing w:line="340" w:lineRule="exact"/>
              <w:jc w:val="center"/>
              <w:rPr>
                <w:rFonts w:eastAsia="Times New Roman" w:cstheme="minorBidi"/>
                <w:szCs w:val="21"/>
              </w:rPr>
            </w:pPr>
            <w:r>
              <w:rPr>
                <w:rFonts w:eastAsia="Times New Roman" w:cstheme="minorBidi"/>
                <w:spacing w:val="-2"/>
                <w:sz w:val="21"/>
                <w:szCs w:val="21"/>
              </w:rPr>
              <w:t>520</w:t>
            </w:r>
          </w:p>
        </w:tc>
        <w:tc>
          <w:tcPr>
            <w:tcW w:w="868" w:type="dxa"/>
            <w:vAlign w:val="center"/>
          </w:tcPr>
          <w:p>
            <w:pPr>
              <w:spacing w:line="340" w:lineRule="exact"/>
              <w:jc w:val="center"/>
              <w:rPr>
                <w:rFonts w:eastAsia="Times New Roman" w:cstheme="minorBidi"/>
                <w:szCs w:val="21"/>
              </w:rPr>
            </w:pPr>
            <w:r>
              <w:rPr>
                <w:rFonts w:eastAsia="Times New Roman" w:cstheme="minorBidi"/>
                <w:spacing w:val="-5"/>
                <w:sz w:val="21"/>
                <w:szCs w:val="21"/>
              </w:rPr>
              <w:t>1913</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1"/>
                <w:sz w:val="21"/>
                <w:szCs w:val="21"/>
              </w:rPr>
              <w:t>419</w:t>
            </w:r>
          </w:p>
        </w:tc>
        <w:tc>
          <w:tcPr>
            <w:tcW w:w="819" w:type="dxa"/>
            <w:vAlign w:val="center"/>
          </w:tcPr>
          <w:p>
            <w:pPr>
              <w:spacing w:line="340" w:lineRule="exact"/>
              <w:jc w:val="center"/>
              <w:rPr>
                <w:rFonts w:eastAsia="Times New Roman" w:cstheme="minorBidi"/>
                <w:szCs w:val="21"/>
              </w:rPr>
            </w:pPr>
            <w:r>
              <w:rPr>
                <w:rFonts w:eastAsia="Times New Roman" w:cstheme="minorBidi"/>
                <w:spacing w:val="-5"/>
                <w:sz w:val="21"/>
                <w:szCs w:val="21"/>
              </w:rPr>
              <w:t>1923</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C</w:t>
            </w:r>
          </w:p>
        </w:tc>
        <w:tc>
          <w:tcPr>
            <w:tcW w:w="726" w:type="dxa"/>
            <w:vAlign w:val="center"/>
          </w:tcPr>
          <w:p>
            <w:pPr>
              <w:spacing w:line="340" w:lineRule="exact"/>
              <w:jc w:val="center"/>
              <w:rPr>
                <w:rFonts w:eastAsia="Times New Roman" w:cstheme="minorBidi"/>
                <w:szCs w:val="21"/>
              </w:rPr>
            </w:pPr>
            <w:r>
              <w:rPr>
                <w:rFonts w:eastAsia="Times New Roman" w:cstheme="minorBidi"/>
                <w:spacing w:val="-1"/>
                <w:sz w:val="21"/>
                <w:szCs w:val="21"/>
              </w:rPr>
              <w:t>20</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22φ12.6</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22</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2"/>
                <w:sz w:val="21"/>
                <w:szCs w:val="21"/>
              </w:rPr>
              <w:t>9.42</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29.875</w:t>
            </w:r>
          </w:p>
        </w:tc>
        <w:tc>
          <w:tcPr>
            <w:tcW w:w="911" w:type="dxa"/>
            <w:vAlign w:val="center"/>
          </w:tcPr>
          <w:p>
            <w:pPr>
              <w:spacing w:line="340" w:lineRule="exact"/>
              <w:jc w:val="center"/>
              <w:rPr>
                <w:rFonts w:eastAsia="Times New Roman" w:cstheme="minorBidi"/>
                <w:szCs w:val="21"/>
              </w:rPr>
            </w:pPr>
            <w:r>
              <w:rPr>
                <w:rFonts w:eastAsia="Times New Roman" w:cstheme="minorBidi"/>
                <w:spacing w:val="-3"/>
                <w:sz w:val="21"/>
                <w:szCs w:val="21"/>
              </w:rPr>
              <w:t>870</w:t>
            </w:r>
          </w:p>
        </w:tc>
        <w:tc>
          <w:tcPr>
            <w:tcW w:w="875" w:type="dxa"/>
            <w:vAlign w:val="center"/>
          </w:tcPr>
          <w:p>
            <w:pPr>
              <w:spacing w:line="340" w:lineRule="exact"/>
              <w:jc w:val="center"/>
              <w:rPr>
                <w:rFonts w:eastAsia="Times New Roman" w:cstheme="minorBidi"/>
                <w:szCs w:val="21"/>
              </w:rPr>
            </w:pPr>
            <w:r>
              <w:rPr>
                <w:rFonts w:eastAsia="Times New Roman" w:cstheme="minorBidi"/>
                <w:spacing w:val="-2"/>
                <w:sz w:val="21"/>
                <w:szCs w:val="21"/>
              </w:rPr>
              <w:t>547</w:t>
            </w:r>
          </w:p>
        </w:tc>
        <w:tc>
          <w:tcPr>
            <w:tcW w:w="868" w:type="dxa"/>
            <w:vAlign w:val="center"/>
          </w:tcPr>
          <w:p>
            <w:pPr>
              <w:spacing w:line="340" w:lineRule="exact"/>
              <w:jc w:val="center"/>
              <w:rPr>
                <w:rFonts w:eastAsia="Times New Roman" w:cstheme="minorBidi"/>
                <w:szCs w:val="21"/>
              </w:rPr>
            </w:pPr>
            <w:r>
              <w:rPr>
                <w:rFonts w:eastAsia="Times New Roman" w:cstheme="minorBidi"/>
                <w:spacing w:val="-1"/>
                <w:sz w:val="21"/>
                <w:szCs w:val="21"/>
              </w:rPr>
              <w:t>2338</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1"/>
                <w:sz w:val="21"/>
                <w:szCs w:val="21"/>
              </w:rPr>
              <w:t>467</w:t>
            </w:r>
          </w:p>
        </w:tc>
        <w:tc>
          <w:tcPr>
            <w:tcW w:w="819" w:type="dxa"/>
            <w:vAlign w:val="center"/>
          </w:tcPr>
          <w:p>
            <w:pPr>
              <w:spacing w:line="340" w:lineRule="exact"/>
              <w:jc w:val="center"/>
              <w:rPr>
                <w:rFonts w:eastAsia="Times New Roman" w:cstheme="minorBidi"/>
                <w:szCs w:val="21"/>
              </w:rPr>
            </w:pPr>
            <w:r>
              <w:rPr>
                <w:rFonts w:eastAsia="Times New Roman" w:cstheme="minorBidi"/>
                <w:spacing w:val="-1"/>
                <w:sz w:val="21"/>
                <w:szCs w:val="21"/>
              </w:rPr>
              <w:t>2303</w:t>
            </w:r>
          </w:p>
        </w:tc>
        <w:tc>
          <w:tcPr>
            <w:tcW w:w="669" w:type="dxa"/>
            <w:vMerge w:val="continue"/>
            <w:vAlign w:val="center"/>
          </w:tcPr>
          <w:p>
            <w:pPr>
              <w:spacing w:line="3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340" w:lineRule="exact"/>
              <w:jc w:val="center"/>
              <w:rPr>
                <w:rFonts w:eastAsiaTheme="minorEastAsia" w:cstheme="minorBidi"/>
                <w:szCs w:val="21"/>
              </w:rPr>
            </w:pPr>
          </w:p>
        </w:tc>
        <w:tc>
          <w:tcPr>
            <w:tcW w:w="658" w:type="dxa"/>
            <w:vAlign w:val="center"/>
          </w:tcPr>
          <w:p>
            <w:pPr>
              <w:spacing w:line="340" w:lineRule="exact"/>
              <w:jc w:val="center"/>
              <w:rPr>
                <w:rFonts w:eastAsia="Times New Roman" w:cstheme="minorBidi"/>
                <w:szCs w:val="21"/>
              </w:rPr>
            </w:pPr>
            <w:r>
              <w:rPr>
                <w:rFonts w:eastAsia="Times New Roman" w:cstheme="minorBidi"/>
                <w:sz w:val="21"/>
                <w:szCs w:val="21"/>
              </w:rPr>
              <w:t>D</w:t>
            </w:r>
          </w:p>
        </w:tc>
        <w:tc>
          <w:tcPr>
            <w:tcW w:w="726" w:type="dxa"/>
            <w:vAlign w:val="center"/>
          </w:tcPr>
          <w:p>
            <w:pPr>
              <w:spacing w:line="340" w:lineRule="exact"/>
              <w:jc w:val="center"/>
              <w:rPr>
                <w:rFonts w:eastAsia="Times New Roman" w:cstheme="minorBidi"/>
                <w:szCs w:val="21"/>
              </w:rPr>
            </w:pPr>
            <w:r>
              <w:rPr>
                <w:rFonts w:eastAsia="Times New Roman" w:cstheme="minorBidi"/>
                <w:spacing w:val="-1"/>
                <w:sz w:val="21"/>
                <w:szCs w:val="21"/>
              </w:rPr>
              <w:t>22</w:t>
            </w:r>
          </w:p>
        </w:tc>
        <w:tc>
          <w:tcPr>
            <w:tcW w:w="877" w:type="dxa"/>
            <w:vAlign w:val="center"/>
          </w:tcPr>
          <w:p>
            <w:pPr>
              <w:spacing w:line="340" w:lineRule="exact"/>
              <w:jc w:val="center"/>
              <w:rPr>
                <w:rFonts w:eastAsia="Times New Roman" w:cstheme="minorBidi"/>
                <w:szCs w:val="21"/>
              </w:rPr>
            </w:pPr>
            <w:r>
              <w:rPr>
                <w:rFonts w:eastAsia="Times New Roman" w:cstheme="minorBidi"/>
                <w:spacing w:val="-1"/>
                <w:sz w:val="21"/>
                <w:szCs w:val="21"/>
              </w:rPr>
              <w:t>24φ14.0</w:t>
            </w:r>
          </w:p>
        </w:tc>
        <w:tc>
          <w:tcPr>
            <w:tcW w:w="785" w:type="dxa"/>
            <w:vAlign w:val="center"/>
          </w:tcPr>
          <w:p>
            <w:pPr>
              <w:spacing w:line="340" w:lineRule="exact"/>
              <w:jc w:val="center"/>
              <w:rPr>
                <w:rFonts w:eastAsia="Times New Roman" w:cstheme="minorBidi"/>
                <w:szCs w:val="21"/>
              </w:rPr>
            </w:pPr>
            <w:r>
              <w:rPr>
                <w:rFonts w:eastAsia="Times New Roman" w:cstheme="minorBidi"/>
                <w:spacing w:val="-6"/>
                <w:sz w:val="21"/>
                <w:szCs w:val="21"/>
              </w:rPr>
              <w:t>24</w:t>
            </w:r>
            <w:r>
              <w:rPr>
                <w:rFonts w:hint="eastAsia" w:ascii="SJQY" w:hAnsi="SJQY" w:eastAsia="SJQY" w:cs="SJQY"/>
                <w:spacing w:val="-10"/>
                <w:sz w:val="21"/>
                <w:szCs w:val="21"/>
              </w:rPr>
              <w:t>C</w:t>
            </w:r>
            <w:r>
              <w:rPr>
                <w:rFonts w:eastAsia="Times New Roman" w:cstheme="minorBidi"/>
                <w:spacing w:val="-6"/>
                <w:sz w:val="21"/>
                <w:szCs w:val="21"/>
              </w:rPr>
              <w:t>14</w:t>
            </w:r>
          </w:p>
        </w:tc>
        <w:tc>
          <w:tcPr>
            <w:tcW w:w="646" w:type="dxa"/>
            <w:vMerge w:val="continue"/>
            <w:vAlign w:val="center"/>
          </w:tcPr>
          <w:p>
            <w:pPr>
              <w:spacing w:line="340" w:lineRule="exact"/>
              <w:jc w:val="center"/>
              <w:rPr>
                <w:rFonts w:eastAsiaTheme="minorEastAsia" w:cstheme="minorBidi"/>
                <w:szCs w:val="21"/>
              </w:rPr>
            </w:pPr>
          </w:p>
        </w:tc>
        <w:tc>
          <w:tcPr>
            <w:tcW w:w="808" w:type="dxa"/>
            <w:vAlign w:val="center"/>
          </w:tcPr>
          <w:p>
            <w:pPr>
              <w:spacing w:line="340" w:lineRule="exact"/>
              <w:jc w:val="center"/>
              <w:rPr>
                <w:rFonts w:eastAsia="Times New Roman" w:cstheme="minorBidi"/>
                <w:szCs w:val="21"/>
              </w:rPr>
            </w:pPr>
            <w:r>
              <w:rPr>
                <w:rFonts w:eastAsia="Times New Roman" w:cstheme="minorBidi"/>
                <w:spacing w:val="-4"/>
                <w:sz w:val="21"/>
                <w:szCs w:val="21"/>
              </w:rPr>
              <w:t>12.00</w:t>
            </w:r>
          </w:p>
        </w:tc>
        <w:tc>
          <w:tcPr>
            <w:tcW w:w="784" w:type="dxa"/>
            <w:vMerge w:val="continue"/>
            <w:vAlign w:val="center"/>
          </w:tcPr>
          <w:p>
            <w:pPr>
              <w:spacing w:line="340" w:lineRule="exact"/>
              <w:jc w:val="center"/>
              <w:rPr>
                <w:rFonts w:eastAsiaTheme="minorEastAsia" w:cstheme="minorBidi"/>
                <w:szCs w:val="21"/>
              </w:rPr>
            </w:pPr>
          </w:p>
        </w:tc>
        <w:tc>
          <w:tcPr>
            <w:tcW w:w="993" w:type="dxa"/>
            <w:vAlign w:val="center"/>
          </w:tcPr>
          <w:p>
            <w:pPr>
              <w:spacing w:line="340" w:lineRule="exact"/>
              <w:jc w:val="center"/>
              <w:rPr>
                <w:rFonts w:eastAsia="Times New Roman" w:cstheme="minorBidi"/>
                <w:szCs w:val="21"/>
              </w:rPr>
            </w:pPr>
            <w:r>
              <w:rPr>
                <w:rFonts w:eastAsia="Times New Roman" w:cstheme="minorBidi"/>
                <w:spacing w:val="-1"/>
                <w:sz w:val="21"/>
                <w:szCs w:val="21"/>
              </w:rPr>
              <w:t>30.376</w:t>
            </w:r>
          </w:p>
        </w:tc>
        <w:tc>
          <w:tcPr>
            <w:tcW w:w="911" w:type="dxa"/>
            <w:vAlign w:val="center"/>
          </w:tcPr>
          <w:p>
            <w:pPr>
              <w:spacing w:line="340" w:lineRule="exact"/>
              <w:jc w:val="center"/>
              <w:rPr>
                <w:rFonts w:eastAsia="Times New Roman" w:cstheme="minorBidi"/>
                <w:szCs w:val="21"/>
              </w:rPr>
            </w:pPr>
            <w:r>
              <w:rPr>
                <w:rFonts w:eastAsia="Times New Roman" w:cstheme="minorBidi"/>
                <w:spacing w:val="-5"/>
                <w:sz w:val="21"/>
                <w:szCs w:val="21"/>
              </w:rPr>
              <w:t>1094</w:t>
            </w:r>
          </w:p>
        </w:tc>
        <w:tc>
          <w:tcPr>
            <w:tcW w:w="875" w:type="dxa"/>
            <w:vAlign w:val="center"/>
          </w:tcPr>
          <w:p>
            <w:pPr>
              <w:spacing w:line="340" w:lineRule="exact"/>
              <w:jc w:val="center"/>
              <w:rPr>
                <w:rFonts w:eastAsia="Times New Roman" w:cstheme="minorBidi"/>
                <w:szCs w:val="21"/>
              </w:rPr>
            </w:pPr>
            <w:r>
              <w:rPr>
                <w:rFonts w:eastAsia="Times New Roman" w:cstheme="minorBidi"/>
                <w:spacing w:val="-2"/>
                <w:sz w:val="21"/>
                <w:szCs w:val="21"/>
              </w:rPr>
              <w:t>591</w:t>
            </w:r>
          </w:p>
        </w:tc>
        <w:tc>
          <w:tcPr>
            <w:tcW w:w="868" w:type="dxa"/>
            <w:vAlign w:val="center"/>
          </w:tcPr>
          <w:p>
            <w:pPr>
              <w:spacing w:line="340" w:lineRule="exact"/>
              <w:jc w:val="center"/>
              <w:rPr>
                <w:rFonts w:eastAsia="Times New Roman" w:cstheme="minorBidi"/>
                <w:szCs w:val="21"/>
              </w:rPr>
            </w:pPr>
            <w:r>
              <w:rPr>
                <w:rFonts w:eastAsia="Times New Roman" w:cstheme="minorBidi"/>
                <w:spacing w:val="-2"/>
                <w:sz w:val="21"/>
                <w:szCs w:val="21"/>
              </w:rPr>
              <w:t>3142</w:t>
            </w:r>
          </w:p>
        </w:tc>
        <w:tc>
          <w:tcPr>
            <w:tcW w:w="1195" w:type="dxa"/>
            <w:vMerge w:val="continue"/>
            <w:vAlign w:val="center"/>
          </w:tcPr>
          <w:p>
            <w:pPr>
              <w:spacing w:line="340" w:lineRule="exact"/>
              <w:jc w:val="center"/>
              <w:rPr>
                <w:rFonts w:eastAsiaTheme="minorEastAsia" w:cstheme="minorBidi"/>
                <w:szCs w:val="21"/>
              </w:rPr>
            </w:pPr>
          </w:p>
        </w:tc>
        <w:tc>
          <w:tcPr>
            <w:tcW w:w="846" w:type="dxa"/>
            <w:vAlign w:val="center"/>
          </w:tcPr>
          <w:p>
            <w:pPr>
              <w:spacing w:line="340" w:lineRule="exact"/>
              <w:jc w:val="center"/>
              <w:rPr>
                <w:rFonts w:eastAsia="Times New Roman" w:cstheme="minorBidi"/>
                <w:szCs w:val="21"/>
              </w:rPr>
            </w:pPr>
            <w:r>
              <w:rPr>
                <w:rFonts w:eastAsia="Times New Roman" w:cstheme="minorBidi"/>
                <w:spacing w:val="-2"/>
                <w:sz w:val="21"/>
                <w:szCs w:val="21"/>
              </w:rPr>
              <w:t>553</w:t>
            </w:r>
          </w:p>
        </w:tc>
        <w:tc>
          <w:tcPr>
            <w:tcW w:w="819" w:type="dxa"/>
            <w:vAlign w:val="center"/>
          </w:tcPr>
          <w:p>
            <w:pPr>
              <w:spacing w:line="340" w:lineRule="exact"/>
              <w:jc w:val="center"/>
              <w:rPr>
                <w:rFonts w:eastAsia="Times New Roman" w:cstheme="minorBidi"/>
                <w:szCs w:val="21"/>
              </w:rPr>
            </w:pPr>
            <w:r>
              <w:rPr>
                <w:rFonts w:eastAsia="Times New Roman" w:cstheme="minorBidi"/>
                <w:spacing w:val="-1"/>
                <w:sz w:val="21"/>
                <w:szCs w:val="21"/>
              </w:rPr>
              <w:t>2983</w:t>
            </w:r>
          </w:p>
        </w:tc>
        <w:tc>
          <w:tcPr>
            <w:tcW w:w="669" w:type="dxa"/>
            <w:vMerge w:val="continue"/>
            <w:vAlign w:val="center"/>
          </w:tcPr>
          <w:p>
            <w:pPr>
              <w:spacing w:line="340" w:lineRule="exact"/>
              <w:jc w:val="center"/>
              <w:rPr>
                <w:rFonts w:eastAsiaTheme="minorEastAsia" w:cstheme="minorBidi"/>
                <w:szCs w:val="21"/>
              </w:rPr>
            </w:pPr>
          </w:p>
        </w:tc>
      </w:tr>
    </w:tbl>
    <w:p>
      <w:pPr>
        <w:spacing w:before="93" w:beforeLines="30" w:after="93" w:afterLines="30" w:line="300" w:lineRule="exact"/>
        <w:jc w:val="center"/>
        <w:rPr>
          <w:rFonts w:ascii="Times New Roman" w:hAnsi="Times New Roman"/>
          <w:b/>
          <w:bCs/>
          <w:spacing w:val="-6"/>
          <w:sz w:val="21"/>
          <w:szCs w:val="21"/>
        </w:rPr>
      </w:pPr>
    </w:p>
    <w:p>
      <w:pPr>
        <w:spacing w:before="93" w:beforeLines="30" w:after="93" w:afterLines="30" w:line="300" w:lineRule="exact"/>
        <w:jc w:val="center"/>
        <w:rPr>
          <w:rFonts w:ascii="Times New Roman" w:hAnsi="Times New Roman"/>
          <w:b/>
          <w:bCs/>
          <w:spacing w:val="-6"/>
          <w:sz w:val="21"/>
          <w:szCs w:val="21"/>
        </w:rPr>
      </w:pPr>
    </w:p>
    <w:p>
      <w:pPr>
        <w:spacing w:before="93" w:beforeLines="30" w:after="93" w:afterLines="30" w:line="300" w:lineRule="exact"/>
        <w:jc w:val="center"/>
        <w:rPr>
          <w:b/>
          <w:bCs/>
          <w:szCs w:val="21"/>
        </w:rPr>
      </w:pPr>
      <w:r>
        <w:rPr>
          <w:rFonts w:hint="eastAsia" w:ascii="Times New Roman" w:hAnsi="Times New Roman"/>
          <w:b/>
          <w:bCs/>
          <w:spacing w:val="-6"/>
          <w:sz w:val="21"/>
          <w:szCs w:val="21"/>
          <w:lang w:val="en-US" w:eastAsia="zh-CN"/>
        </w:rPr>
        <w:t>续</w:t>
      </w:r>
      <w:r>
        <w:rPr>
          <w:rFonts w:ascii="Times New Roman" w:hAnsi="Times New Roman"/>
          <w:b/>
          <w:bCs/>
          <w:spacing w:val="-6"/>
          <w:sz w:val="21"/>
          <w:szCs w:val="21"/>
        </w:rPr>
        <w:t>表</w:t>
      </w:r>
      <w:r>
        <w:rPr>
          <w:rFonts w:ascii="Times New Roman" w:hAnsi="Times New Roman"/>
          <w:b/>
          <w:bCs/>
          <w:spacing w:val="-30"/>
          <w:sz w:val="21"/>
          <w:szCs w:val="21"/>
        </w:rPr>
        <w:t xml:space="preserve">  </w:t>
      </w:r>
      <w:r>
        <w:rPr>
          <w:rFonts w:hint="eastAsia" w:ascii="Times New Roman" w:hAnsi="Times New Roman"/>
          <w:b/>
          <w:bCs/>
          <w:spacing w:val="-6"/>
          <w:sz w:val="21"/>
          <w:szCs w:val="21"/>
          <w:lang w:val="en-US" w:eastAsia="zh-CN"/>
        </w:rPr>
        <w:t>K</w:t>
      </w:r>
      <w:r>
        <w:rPr>
          <w:rFonts w:ascii="Times New Roman" w:hAnsi="Times New Roman"/>
          <w:b/>
          <w:bCs/>
          <w:spacing w:val="-6"/>
          <w:sz w:val="21"/>
          <w:szCs w:val="21"/>
        </w:rPr>
        <w:t>.0.1</w:t>
      </w:r>
    </w:p>
    <w:tbl>
      <w:tblPr>
        <w:tblStyle w:val="94"/>
        <w:tblW w:w="133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3"/>
        <w:gridCol w:w="658"/>
        <w:gridCol w:w="726"/>
        <w:gridCol w:w="877"/>
        <w:gridCol w:w="785"/>
        <w:gridCol w:w="646"/>
        <w:gridCol w:w="808"/>
        <w:gridCol w:w="784"/>
        <w:gridCol w:w="993"/>
        <w:gridCol w:w="911"/>
        <w:gridCol w:w="875"/>
        <w:gridCol w:w="868"/>
        <w:gridCol w:w="1195"/>
        <w:gridCol w:w="846"/>
        <w:gridCol w:w="864"/>
        <w:gridCol w:w="6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规格</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（代号-外径-壁</w:t>
            </w:r>
            <w:r>
              <w:rPr>
                <w:rFonts w:ascii="Times New Roman" w:hAnsi="Times New Roman" w:eastAsiaTheme="minorEastAsia" w:cstheme="minorBidi"/>
                <w:spacing w:val="6"/>
                <w:w w:val="101"/>
                <w:sz w:val="21"/>
                <w:szCs w:val="21"/>
              </w:rPr>
              <w:t xml:space="preserve"> </w:t>
            </w:r>
            <w:r>
              <w:rPr>
                <w:rFonts w:ascii="Times New Roman" w:hAnsi="Times New Roman" w:eastAsiaTheme="minorEastAsia" w:cstheme="minorBidi"/>
                <w:spacing w:val="-6"/>
                <w:sz w:val="21"/>
                <w:szCs w:val="21"/>
              </w:rPr>
              <w:t>厚）</w:t>
            </w:r>
          </w:p>
        </w:tc>
        <w:tc>
          <w:tcPr>
            <w:tcW w:w="658"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型号</w:t>
            </w:r>
          </w:p>
        </w:tc>
        <w:tc>
          <w:tcPr>
            <w:tcW w:w="726"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单节最大长度</w:t>
            </w:r>
          </w:p>
          <w:p>
            <w:pPr>
              <w:spacing w:line="240" w:lineRule="exact"/>
              <w:jc w:val="center"/>
              <w:rPr>
                <w:rFonts w:eastAsiaTheme="minorEastAsia" w:cstheme="minorBidi"/>
                <w:szCs w:val="21"/>
              </w:rPr>
            </w:pPr>
            <w:r>
              <w:rPr>
                <w:rFonts w:ascii="Times New Roman" w:hAnsi="Times New Roman" w:eastAsiaTheme="minorEastAsia" w:cstheme="minorBidi"/>
                <w:sz w:val="21"/>
                <w:szCs w:val="21"/>
              </w:rPr>
              <w:t>L</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w:t>
            </w:r>
          </w:p>
        </w:tc>
        <w:tc>
          <w:tcPr>
            <w:tcW w:w="877"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预应力钢</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棒数量与</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直径</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785"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非预应</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力钢筋</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数量与</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直径</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646"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螺旋筋直</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径</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808"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 xml:space="preserve">混凝土有效预压应力 </w:t>
            </w:r>
            <w:r>
              <w:rPr>
                <w:rFonts w:ascii="Times New Roman" w:hAnsi="Times New Roman" w:eastAsiaTheme="minorEastAsia" w:cstheme="minorBidi"/>
                <w:i/>
                <w:iCs/>
                <w:spacing w:val="-5"/>
                <w:sz w:val="21"/>
                <w:szCs w:val="21"/>
              </w:rPr>
              <w:t>σ</w:t>
            </w:r>
            <w:r>
              <w:rPr>
                <w:rFonts w:ascii="Times New Roman" w:hAnsi="Times New Roman" w:eastAsiaTheme="minorEastAsia" w:cstheme="minorBidi"/>
                <w:spacing w:val="-5"/>
                <w:sz w:val="21"/>
                <w:szCs w:val="21"/>
                <w:vertAlign w:val="subscript"/>
              </w:rPr>
              <w:t>pc</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(MPa)</w:t>
            </w:r>
          </w:p>
        </w:tc>
        <w:tc>
          <w:tcPr>
            <w:tcW w:w="784"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纵向主</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筋分布</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圆周直</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径</w:t>
            </w:r>
            <w:r>
              <w:rPr>
                <w:rFonts w:ascii="Times New Roman" w:hAnsi="Times New Roman" w:eastAsiaTheme="minorEastAsia" w:cstheme="minorBidi"/>
                <w:spacing w:val="-40"/>
                <w:sz w:val="21"/>
                <w:szCs w:val="21"/>
              </w:rPr>
              <w:t xml:space="preserve"> </w:t>
            </w:r>
            <w:r>
              <w:rPr>
                <w:rFonts w:ascii="Times New Roman" w:hAnsi="Times New Roman" w:eastAsiaTheme="minorEastAsia" w:cstheme="minorBidi"/>
                <w:i/>
                <w:iCs/>
                <w:spacing w:val="-4"/>
                <w:sz w:val="21"/>
                <w:szCs w:val="21"/>
              </w:rPr>
              <w:t>D</w:t>
            </w:r>
            <w:r>
              <w:rPr>
                <w:rFonts w:ascii="Times New Roman" w:hAnsi="Times New Roman" w:eastAsiaTheme="minorEastAsia" w:cstheme="minorBidi"/>
                <w:spacing w:val="-4"/>
                <w:sz w:val="21"/>
                <w:szCs w:val="21"/>
                <w:vertAlign w:val="subscript"/>
              </w:rPr>
              <w:t>p</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p>
        </w:tc>
        <w:tc>
          <w:tcPr>
            <w:tcW w:w="993"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换算截面抵抗矩</w:t>
            </w:r>
            <w:r>
              <w:rPr>
                <w:rFonts w:ascii="Times New Roman" w:hAnsi="Times New Roman" w:eastAsiaTheme="minorEastAsia" w:cstheme="minorBidi"/>
                <w:spacing w:val="-42"/>
                <w:sz w:val="21"/>
                <w:szCs w:val="21"/>
              </w:rPr>
              <w:t xml:space="preserve"> </w:t>
            </w:r>
            <w:r>
              <w:rPr>
                <w:rFonts w:ascii="Times New Roman" w:hAnsi="Times New Roman" w:eastAsiaTheme="minorEastAsia" w:cstheme="minorBidi"/>
                <w:spacing w:val="-3"/>
                <w:sz w:val="21"/>
                <w:szCs w:val="21"/>
              </w:rPr>
              <w:t>W</w:t>
            </w:r>
            <w:r>
              <w:rPr>
                <w:rFonts w:ascii="Times New Roman" w:hAnsi="Times New Roman" w:eastAsiaTheme="minorEastAsia" w:cstheme="minorBidi"/>
                <w:spacing w:val="-3"/>
                <w:sz w:val="21"/>
                <w:szCs w:val="21"/>
                <w:vertAlign w:val="subscript"/>
              </w:rPr>
              <w:t>0</w:t>
            </w:r>
          </w:p>
          <w:p>
            <w:pPr>
              <w:spacing w:line="240" w:lineRule="exact"/>
              <w:jc w:val="center"/>
              <w:rPr>
                <w:rFonts w:eastAsiaTheme="minorEastAsia" w:cstheme="minorBidi"/>
                <w:szCs w:val="21"/>
              </w:rPr>
            </w:pPr>
            <w:r>
              <w:rPr>
                <w:rFonts w:ascii="Times New Roman" w:hAnsi="Times New Roman" w:eastAsiaTheme="minorEastAsia" w:cstheme="minorBidi"/>
                <w:spacing w:val="-3"/>
                <w:sz w:val="21"/>
                <w:szCs w:val="21"/>
              </w:rPr>
              <w:t>(mm</w:t>
            </w:r>
            <w:r>
              <w:rPr>
                <w:rFonts w:ascii="Times New Roman" w:hAnsi="Times New Roman" w:eastAsiaTheme="minorEastAsia" w:cstheme="minorBidi"/>
                <w:spacing w:val="-3"/>
                <w:position w:val="5"/>
                <w:sz w:val="21"/>
                <w:szCs w:val="21"/>
              </w:rPr>
              <w:t>3</w:t>
            </w:r>
            <w:r>
              <w:rPr>
                <w:rFonts w:ascii="Times New Roman" w:hAnsi="Times New Roman" w:eastAsiaTheme="minorEastAsia" w:cstheme="minorBidi"/>
                <w:spacing w:val="20"/>
                <w:w w:val="103"/>
                <w:position w:val="5"/>
                <w:sz w:val="21"/>
                <w:szCs w:val="21"/>
              </w:rPr>
              <w:t xml:space="preserve"> </w:t>
            </w:r>
            <w:r>
              <w:rPr>
                <w:rFonts w:ascii="Times New Roman" w:hAnsi="Times New Roman" w:eastAsiaTheme="minorEastAsia" w:cstheme="minorBidi"/>
                <w:spacing w:val="-3"/>
                <w:sz w:val="21"/>
                <w:szCs w:val="21"/>
              </w:rPr>
              <w:t>×10</w:t>
            </w:r>
            <w:r>
              <w:rPr>
                <w:rFonts w:ascii="Times New Roman" w:hAnsi="Times New Roman" w:eastAsiaTheme="minorEastAsia" w:cstheme="minorBidi"/>
                <w:spacing w:val="-3"/>
                <w:position w:val="5"/>
                <w:sz w:val="21"/>
                <w:szCs w:val="21"/>
              </w:rPr>
              <w:t>6</w:t>
            </w:r>
            <w:r>
              <w:rPr>
                <w:rFonts w:hint="eastAsia" w:ascii="Times New Roman" w:hAnsi="Times New Roman" w:eastAsiaTheme="minorEastAsia" w:cstheme="minorBidi"/>
                <w:spacing w:val="-3"/>
                <w:position w:val="5"/>
                <w:sz w:val="21"/>
                <w:szCs w:val="21"/>
              </w:rPr>
              <w:t xml:space="preserve"> </w:t>
            </w:r>
            <w:r>
              <w:rPr>
                <w:rFonts w:ascii="Times New Roman" w:hAnsi="Times New Roman" w:eastAsiaTheme="minorEastAsia" w:cstheme="minorBidi"/>
                <w:spacing w:val="-3"/>
                <w:sz w:val="21"/>
                <w:szCs w:val="21"/>
              </w:rPr>
              <w:t>)</w:t>
            </w:r>
          </w:p>
        </w:tc>
        <w:tc>
          <w:tcPr>
            <w:tcW w:w="911"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桩身受弯</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承载力设</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计值</w:t>
            </w:r>
            <w:r>
              <w:rPr>
                <w:rFonts w:ascii="Times New Roman" w:hAnsi="Times New Roman" w:eastAsiaTheme="minorEastAsia" w:cstheme="minorBidi"/>
                <w:spacing w:val="-2"/>
                <w:sz w:val="21"/>
                <w:szCs w:val="21"/>
              </w:rPr>
              <w:t>[M]</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(kN·m)</w:t>
            </w:r>
          </w:p>
        </w:tc>
        <w:tc>
          <w:tcPr>
            <w:tcW w:w="875"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桩身斜受</w:t>
            </w:r>
          </w:p>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剪承载力</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设计值</w:t>
            </w:r>
            <w:r>
              <w:rPr>
                <w:rFonts w:ascii="Times New Roman" w:hAnsi="Times New Roman" w:eastAsiaTheme="minorEastAsia" w:cstheme="minorBidi"/>
                <w:spacing w:val="-2"/>
                <w:sz w:val="21"/>
                <w:szCs w:val="21"/>
              </w:rPr>
              <w:t>[V]</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w:t>
            </w:r>
          </w:p>
        </w:tc>
        <w:tc>
          <w:tcPr>
            <w:tcW w:w="868"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桩</w:t>
            </w:r>
            <w:r>
              <w:rPr>
                <w:rFonts w:ascii="Times New Roman" w:hAnsi="Times New Roman" w:eastAsiaTheme="minorEastAsia" w:cstheme="minorBidi"/>
                <w:spacing w:val="-4"/>
                <w:sz w:val="21"/>
                <w:szCs w:val="21"/>
              </w:rPr>
              <w:t>身轴心受拉承载力设计值</w:t>
            </w:r>
            <w:r>
              <w:rPr>
                <w:rFonts w:ascii="Times New Roman" w:hAnsi="Times New Roman" w:eastAsiaTheme="minorEastAsia" w:cstheme="minorBidi"/>
                <w:spacing w:val="-2"/>
                <w:sz w:val="21"/>
                <w:szCs w:val="21"/>
              </w:rPr>
              <w:t>[N]</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w:t>
            </w:r>
          </w:p>
        </w:tc>
        <w:tc>
          <w:tcPr>
            <w:tcW w:w="1195"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桩身轴心受压承载力设计值（未考虑压屈影响）</w:t>
            </w:r>
            <w:r>
              <w:rPr>
                <w:rFonts w:ascii="Times New Roman" w:hAnsi="Times New Roman" w:eastAsiaTheme="minorEastAsia" w:cstheme="minorBidi"/>
                <w:spacing w:val="-18"/>
                <w:w w:val="99"/>
                <w:sz w:val="21"/>
                <w:szCs w:val="21"/>
              </w:rPr>
              <w:t>[R]</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w:t>
            </w:r>
          </w:p>
        </w:tc>
        <w:tc>
          <w:tcPr>
            <w:tcW w:w="846" w:type="dxa"/>
            <w:vAlign w:val="center"/>
          </w:tcPr>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按标准组合计算的抗裂弯矩</w:t>
            </w:r>
            <w:r>
              <w:rPr>
                <w:rFonts w:ascii="Times New Roman" w:hAnsi="Times New Roman" w:eastAsiaTheme="minorEastAsia" w:cstheme="minorBidi"/>
                <w:i/>
                <w:iCs/>
                <w:spacing w:val="-1"/>
                <w:sz w:val="21"/>
                <w:szCs w:val="21"/>
              </w:rPr>
              <w:t>M</w:t>
            </w:r>
            <w:r>
              <w:rPr>
                <w:rFonts w:ascii="Times New Roman" w:hAnsi="Times New Roman" w:eastAsiaTheme="minorEastAsia" w:cstheme="minorBidi"/>
                <w:spacing w:val="-1"/>
                <w:sz w:val="21"/>
                <w:szCs w:val="21"/>
                <w:vertAlign w:val="subscript"/>
              </w:rPr>
              <w:t>k</w:t>
            </w:r>
            <w:r>
              <w:rPr>
                <w:rFonts w:ascii="Times New Roman" w:hAnsi="Times New Roman" w:eastAsiaTheme="minorEastAsia" w:cstheme="minorBidi"/>
                <w:spacing w:val="-1"/>
                <w:sz w:val="21"/>
                <w:szCs w:val="21"/>
              </w:rPr>
              <w:t>≤</w:t>
            </w:r>
          </w:p>
          <w:p>
            <w:pPr>
              <w:spacing w:line="240" w:lineRule="exact"/>
              <w:jc w:val="center"/>
              <w:rPr>
                <w:rFonts w:eastAsiaTheme="minorEastAsia" w:cstheme="minorBidi"/>
                <w:szCs w:val="21"/>
              </w:rPr>
            </w:pPr>
            <w:r>
              <w:rPr>
                <w:rFonts w:ascii="Times New Roman" w:hAnsi="Times New Roman" w:eastAsiaTheme="minorEastAsia" w:cstheme="minorBidi"/>
                <w:spacing w:val="-2"/>
                <w:sz w:val="21"/>
                <w:szCs w:val="21"/>
              </w:rPr>
              <w:t>(kN·m)</w:t>
            </w:r>
          </w:p>
        </w:tc>
        <w:tc>
          <w:tcPr>
            <w:tcW w:w="864" w:type="dxa"/>
            <w:vAlign w:val="center"/>
          </w:tcPr>
          <w:p>
            <w:pPr>
              <w:spacing w:line="240" w:lineRule="exact"/>
              <w:jc w:val="center"/>
              <w:rPr>
                <w:rFonts w:eastAsiaTheme="minorEastAsia" w:cstheme="minorBidi"/>
                <w:spacing w:val="5"/>
                <w:szCs w:val="21"/>
              </w:rPr>
            </w:pPr>
            <w:r>
              <w:rPr>
                <w:rFonts w:ascii="Times New Roman" w:hAnsi="Times New Roman" w:eastAsiaTheme="minorEastAsia" w:cstheme="minorBidi"/>
                <w:spacing w:val="-4"/>
                <w:sz w:val="21"/>
                <w:szCs w:val="21"/>
              </w:rPr>
              <w:t>按标准组合计算的抗裂拉力</w:t>
            </w:r>
            <w:r>
              <w:rPr>
                <w:rFonts w:ascii="Times New Roman" w:hAnsi="Times New Roman" w:eastAsiaTheme="minorEastAsia" w:cstheme="minorBidi"/>
                <w:i/>
                <w:iCs/>
                <w:spacing w:val="5"/>
                <w:sz w:val="21"/>
                <w:szCs w:val="21"/>
              </w:rPr>
              <w:t>N</w:t>
            </w:r>
            <w:r>
              <w:rPr>
                <w:rFonts w:ascii="Times New Roman" w:hAnsi="Times New Roman" w:eastAsiaTheme="minorEastAsia" w:cstheme="minorBidi"/>
                <w:spacing w:val="5"/>
                <w:sz w:val="21"/>
                <w:szCs w:val="21"/>
                <w:vertAlign w:val="subscript"/>
              </w:rPr>
              <w:t>k</w:t>
            </w:r>
            <w:r>
              <w:rPr>
                <w:rFonts w:ascii="Times New Roman" w:hAnsi="Times New Roman" w:eastAsiaTheme="minorEastAsia" w:cstheme="minorBidi"/>
                <w:spacing w:val="5"/>
                <w:sz w:val="21"/>
                <w:szCs w:val="21"/>
              </w:rPr>
              <w:t>≤</w:t>
            </w:r>
          </w:p>
          <w:p>
            <w:pPr>
              <w:spacing w:line="240" w:lineRule="exact"/>
              <w:jc w:val="center"/>
              <w:rPr>
                <w:rFonts w:eastAsiaTheme="minorEastAsia" w:cstheme="minorBidi"/>
                <w:szCs w:val="21"/>
              </w:rPr>
            </w:pPr>
            <w:r>
              <w:rPr>
                <w:rFonts w:ascii="Times New Roman" w:hAnsi="Times New Roman" w:eastAsiaTheme="minorEastAsia" w:cstheme="minorBidi"/>
                <w:spacing w:val="5"/>
                <w:sz w:val="21"/>
                <w:szCs w:val="21"/>
              </w:rPr>
              <w:t>(kN)</w:t>
            </w:r>
          </w:p>
        </w:tc>
        <w:tc>
          <w:tcPr>
            <w:tcW w:w="624" w:type="dxa"/>
            <w:vAlign w:val="center"/>
          </w:tcPr>
          <w:p>
            <w:pPr>
              <w:spacing w:line="240" w:lineRule="exact"/>
              <w:jc w:val="center"/>
              <w:rPr>
                <w:rFonts w:eastAsiaTheme="minorEastAsia" w:cstheme="minorBidi"/>
                <w:spacing w:val="-4"/>
                <w:szCs w:val="21"/>
              </w:rPr>
            </w:pPr>
            <w:r>
              <w:rPr>
                <w:rFonts w:ascii="Times New Roman" w:hAnsi="Times New Roman" w:eastAsiaTheme="minorEastAsia" w:cstheme="minorBidi"/>
                <w:spacing w:val="-4"/>
                <w:sz w:val="21"/>
                <w:szCs w:val="21"/>
              </w:rPr>
              <w:t>理论</w:t>
            </w:r>
          </w:p>
          <w:p>
            <w:pPr>
              <w:spacing w:line="240" w:lineRule="exact"/>
              <w:jc w:val="center"/>
              <w:rPr>
                <w:rFonts w:eastAsiaTheme="minorEastAsia" w:cstheme="minorBidi"/>
                <w:szCs w:val="21"/>
              </w:rPr>
            </w:pPr>
            <w:r>
              <w:rPr>
                <w:rFonts w:ascii="Times New Roman" w:hAnsi="Times New Roman" w:eastAsiaTheme="minorEastAsia" w:cstheme="minorBidi"/>
                <w:spacing w:val="-4"/>
                <w:sz w:val="21"/>
                <w:szCs w:val="21"/>
              </w:rPr>
              <w:t>重量</w:t>
            </w:r>
          </w:p>
          <w:p>
            <w:pPr>
              <w:spacing w:line="240" w:lineRule="exact"/>
              <w:jc w:val="center"/>
              <w:rPr>
                <w:rFonts w:eastAsiaTheme="minorEastAsia" w:cstheme="minorBidi"/>
                <w:szCs w:val="21"/>
              </w:rPr>
            </w:pPr>
            <w:r>
              <w:rPr>
                <w:rFonts w:ascii="Times New Roman" w:hAnsi="Times New Roman" w:eastAsiaTheme="minorEastAsia" w:cstheme="minorBidi"/>
                <w:spacing w:val="-1"/>
                <w:sz w:val="21"/>
                <w:szCs w:val="21"/>
              </w:rPr>
              <w:t>(kg/m)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restart"/>
            <w:vAlign w:val="center"/>
          </w:tcPr>
          <w:p>
            <w:pPr>
              <w:spacing w:line="240" w:lineRule="exact"/>
              <w:jc w:val="center"/>
              <w:rPr>
                <w:rFonts w:eastAsia="Times New Roman" w:cstheme="minorBidi"/>
                <w:szCs w:val="21"/>
              </w:rPr>
            </w:pPr>
            <w:r>
              <w:rPr>
                <w:rFonts w:eastAsia="Times New Roman" w:cstheme="minorBidi"/>
                <w:spacing w:val="-3"/>
                <w:sz w:val="21"/>
                <w:szCs w:val="21"/>
              </w:rPr>
              <w:t>PRC</w:t>
            </w:r>
            <w:r>
              <w:rPr>
                <w:rFonts w:eastAsia="Times New Roman" w:cstheme="minorBidi"/>
                <w:spacing w:val="16"/>
                <w:w w:val="101"/>
                <w:sz w:val="21"/>
                <w:szCs w:val="21"/>
              </w:rPr>
              <w:t xml:space="preserve"> </w:t>
            </w:r>
            <w:r>
              <w:rPr>
                <w:rFonts w:hint="eastAsia" w:ascii="宋体" w:hAnsi="宋体" w:cs="宋体" w:eastAsiaTheme="minorEastAsia"/>
                <w:spacing w:val="-3"/>
                <w:sz w:val="21"/>
                <w:szCs w:val="21"/>
              </w:rPr>
              <w:t>Ⅰ</w:t>
            </w:r>
            <w:r>
              <w:rPr>
                <w:rFonts w:eastAsia="Times New Roman" w:cstheme="minorBidi"/>
                <w:spacing w:val="12"/>
                <w:w w:val="101"/>
                <w:sz w:val="21"/>
                <w:szCs w:val="21"/>
              </w:rPr>
              <w:t xml:space="preserve"> </w:t>
            </w:r>
            <w:r>
              <w:rPr>
                <w:rFonts w:eastAsia="Times New Roman" w:cstheme="minorBidi"/>
                <w:spacing w:val="-3"/>
                <w:sz w:val="21"/>
                <w:szCs w:val="21"/>
              </w:rPr>
              <w:t>800(110)</w:t>
            </w:r>
          </w:p>
        </w:tc>
        <w:tc>
          <w:tcPr>
            <w:tcW w:w="658" w:type="dxa"/>
            <w:vAlign w:val="center"/>
          </w:tcPr>
          <w:p>
            <w:pPr>
              <w:spacing w:line="240" w:lineRule="exact"/>
              <w:jc w:val="center"/>
              <w:rPr>
                <w:rFonts w:eastAsia="Times New Roman" w:cstheme="minorBidi"/>
                <w:szCs w:val="21"/>
              </w:rPr>
            </w:pPr>
            <w:r>
              <w:rPr>
                <w:rFonts w:eastAsia="Times New Roman" w:cstheme="minorBidi"/>
                <w:sz w:val="21"/>
                <w:szCs w:val="21"/>
              </w:rPr>
              <w:t>B</w:t>
            </w:r>
          </w:p>
        </w:tc>
        <w:tc>
          <w:tcPr>
            <w:tcW w:w="726" w:type="dxa"/>
            <w:vAlign w:val="center"/>
          </w:tcPr>
          <w:p>
            <w:pPr>
              <w:spacing w:line="240" w:lineRule="exact"/>
              <w:jc w:val="center"/>
              <w:rPr>
                <w:rFonts w:eastAsia="Times New Roman" w:cstheme="minorBidi"/>
                <w:szCs w:val="21"/>
              </w:rPr>
            </w:pPr>
            <w:r>
              <w:rPr>
                <w:rFonts w:eastAsia="Times New Roman" w:cstheme="minorBidi"/>
                <w:spacing w:val="-1"/>
                <w:sz w:val="21"/>
                <w:szCs w:val="21"/>
              </w:rPr>
              <w:t>21</w:t>
            </w:r>
          </w:p>
        </w:tc>
        <w:tc>
          <w:tcPr>
            <w:tcW w:w="877" w:type="dxa"/>
            <w:vAlign w:val="center"/>
          </w:tcPr>
          <w:p>
            <w:pPr>
              <w:spacing w:line="240" w:lineRule="exact"/>
              <w:jc w:val="center"/>
              <w:rPr>
                <w:rFonts w:eastAsia="Times New Roman" w:cstheme="minorBidi"/>
                <w:szCs w:val="21"/>
              </w:rPr>
            </w:pPr>
            <w:r>
              <w:rPr>
                <w:rFonts w:eastAsia="Times New Roman" w:cstheme="minorBidi"/>
                <w:spacing w:val="-1"/>
                <w:sz w:val="21"/>
                <w:szCs w:val="21"/>
              </w:rPr>
              <w:t>24φ10.7</w:t>
            </w:r>
          </w:p>
        </w:tc>
        <w:tc>
          <w:tcPr>
            <w:tcW w:w="785" w:type="dxa"/>
            <w:vAlign w:val="center"/>
          </w:tcPr>
          <w:p>
            <w:pPr>
              <w:spacing w:line="240" w:lineRule="exact"/>
              <w:jc w:val="center"/>
              <w:rPr>
                <w:rFonts w:eastAsia="Times New Roman" w:cstheme="minorBidi"/>
                <w:szCs w:val="21"/>
              </w:rPr>
            </w:pPr>
            <w:r>
              <w:rPr>
                <w:rFonts w:eastAsia="Times New Roman" w:cstheme="minorBidi"/>
                <w:spacing w:val="-6"/>
                <w:sz w:val="21"/>
                <w:szCs w:val="21"/>
              </w:rPr>
              <w:t>24</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restart"/>
            <w:vAlign w:val="center"/>
          </w:tcPr>
          <w:p>
            <w:pPr>
              <w:spacing w:line="240" w:lineRule="exact"/>
              <w:jc w:val="center"/>
              <w:rPr>
                <w:rFonts w:eastAsia="Times New Roman" w:cstheme="minorBidi"/>
                <w:szCs w:val="21"/>
              </w:rPr>
            </w:pPr>
            <w:r>
              <w:rPr>
                <w:rFonts w:eastAsia="Times New Roman" w:cstheme="minorBidi"/>
                <w:sz w:val="21"/>
                <w:szCs w:val="21"/>
              </w:rPr>
              <w:t>6</w:t>
            </w:r>
          </w:p>
        </w:tc>
        <w:tc>
          <w:tcPr>
            <w:tcW w:w="808" w:type="dxa"/>
            <w:vAlign w:val="center"/>
          </w:tcPr>
          <w:p>
            <w:pPr>
              <w:spacing w:line="240" w:lineRule="exact"/>
              <w:jc w:val="center"/>
              <w:rPr>
                <w:rFonts w:eastAsia="Times New Roman" w:cstheme="minorBidi"/>
                <w:szCs w:val="21"/>
              </w:rPr>
            </w:pPr>
            <w:r>
              <w:rPr>
                <w:rFonts w:eastAsia="Times New Roman" w:cstheme="minorBidi"/>
                <w:spacing w:val="-2"/>
                <w:sz w:val="21"/>
                <w:szCs w:val="21"/>
              </w:rPr>
              <w:t>7.52</w:t>
            </w:r>
          </w:p>
        </w:tc>
        <w:tc>
          <w:tcPr>
            <w:tcW w:w="784" w:type="dxa"/>
            <w:vMerge w:val="restart"/>
            <w:vAlign w:val="center"/>
          </w:tcPr>
          <w:p>
            <w:pPr>
              <w:spacing w:line="240" w:lineRule="exact"/>
              <w:jc w:val="center"/>
              <w:rPr>
                <w:rFonts w:eastAsia="Times New Roman" w:cstheme="minorBidi"/>
                <w:szCs w:val="21"/>
              </w:rPr>
            </w:pPr>
            <w:r>
              <w:rPr>
                <w:rFonts w:eastAsia="Times New Roman" w:cstheme="minorBidi"/>
                <w:spacing w:val="-2"/>
                <w:sz w:val="21"/>
                <w:szCs w:val="21"/>
              </w:rPr>
              <w:t>690</w:t>
            </w:r>
          </w:p>
        </w:tc>
        <w:tc>
          <w:tcPr>
            <w:tcW w:w="993" w:type="dxa"/>
            <w:vAlign w:val="center"/>
          </w:tcPr>
          <w:p>
            <w:pPr>
              <w:spacing w:line="240" w:lineRule="exact"/>
              <w:jc w:val="center"/>
              <w:rPr>
                <w:rFonts w:eastAsia="Times New Roman" w:cstheme="minorBidi"/>
                <w:szCs w:val="21"/>
              </w:rPr>
            </w:pPr>
            <w:r>
              <w:rPr>
                <w:rFonts w:eastAsia="Times New Roman" w:cstheme="minorBidi"/>
                <w:spacing w:val="-1"/>
                <w:sz w:val="21"/>
                <w:szCs w:val="21"/>
              </w:rPr>
              <w:t>37.748</w:t>
            </w:r>
          </w:p>
        </w:tc>
        <w:tc>
          <w:tcPr>
            <w:tcW w:w="911" w:type="dxa"/>
            <w:vAlign w:val="center"/>
          </w:tcPr>
          <w:p>
            <w:pPr>
              <w:spacing w:line="240" w:lineRule="exact"/>
              <w:jc w:val="center"/>
              <w:rPr>
                <w:rFonts w:eastAsia="Times New Roman" w:cstheme="minorBidi"/>
                <w:szCs w:val="21"/>
              </w:rPr>
            </w:pPr>
            <w:r>
              <w:rPr>
                <w:rFonts w:eastAsia="Times New Roman" w:cstheme="minorBidi"/>
                <w:spacing w:val="-2"/>
                <w:sz w:val="21"/>
                <w:szCs w:val="21"/>
              </w:rPr>
              <w:t>940</w:t>
            </w:r>
          </w:p>
        </w:tc>
        <w:tc>
          <w:tcPr>
            <w:tcW w:w="875" w:type="dxa"/>
            <w:vAlign w:val="center"/>
          </w:tcPr>
          <w:p>
            <w:pPr>
              <w:spacing w:line="240" w:lineRule="exact"/>
              <w:jc w:val="center"/>
              <w:rPr>
                <w:rFonts w:eastAsia="Times New Roman" w:cstheme="minorBidi"/>
                <w:szCs w:val="21"/>
              </w:rPr>
            </w:pPr>
            <w:r>
              <w:rPr>
                <w:rFonts w:eastAsia="Times New Roman" w:cstheme="minorBidi"/>
                <w:spacing w:val="-2"/>
                <w:sz w:val="21"/>
                <w:szCs w:val="21"/>
              </w:rPr>
              <w:t>535</w:t>
            </w:r>
          </w:p>
        </w:tc>
        <w:tc>
          <w:tcPr>
            <w:tcW w:w="868" w:type="dxa"/>
            <w:vAlign w:val="center"/>
          </w:tcPr>
          <w:p>
            <w:pPr>
              <w:spacing w:line="240" w:lineRule="exact"/>
              <w:jc w:val="center"/>
              <w:rPr>
                <w:rFonts w:eastAsia="Times New Roman" w:cstheme="minorBidi"/>
                <w:szCs w:val="21"/>
              </w:rPr>
            </w:pPr>
            <w:r>
              <w:rPr>
                <w:rFonts w:eastAsia="Times New Roman" w:cstheme="minorBidi"/>
                <w:spacing w:val="-5"/>
                <w:sz w:val="21"/>
                <w:szCs w:val="21"/>
              </w:rPr>
              <w:t>1836</w:t>
            </w:r>
          </w:p>
        </w:tc>
        <w:tc>
          <w:tcPr>
            <w:tcW w:w="1195" w:type="dxa"/>
            <w:vMerge w:val="restart"/>
            <w:vAlign w:val="center"/>
          </w:tcPr>
          <w:p>
            <w:pPr>
              <w:spacing w:line="240" w:lineRule="exact"/>
              <w:jc w:val="center"/>
              <w:rPr>
                <w:rFonts w:eastAsia="Times New Roman" w:cstheme="minorBidi"/>
                <w:szCs w:val="21"/>
              </w:rPr>
            </w:pPr>
            <w:r>
              <w:rPr>
                <w:rFonts w:eastAsia="Times New Roman" w:cstheme="minorBidi"/>
                <w:spacing w:val="-2"/>
                <w:sz w:val="21"/>
                <w:szCs w:val="21"/>
              </w:rPr>
              <w:t>5992</w:t>
            </w:r>
          </w:p>
        </w:tc>
        <w:tc>
          <w:tcPr>
            <w:tcW w:w="846" w:type="dxa"/>
            <w:vAlign w:val="center"/>
          </w:tcPr>
          <w:p>
            <w:pPr>
              <w:spacing w:line="240" w:lineRule="exact"/>
              <w:jc w:val="center"/>
              <w:rPr>
                <w:rFonts w:eastAsia="Times New Roman" w:cstheme="minorBidi"/>
                <w:szCs w:val="21"/>
              </w:rPr>
            </w:pPr>
            <w:r>
              <w:rPr>
                <w:rFonts w:eastAsia="Times New Roman" w:cstheme="minorBidi"/>
                <w:spacing w:val="-2"/>
                <w:sz w:val="21"/>
                <w:szCs w:val="21"/>
              </w:rPr>
              <w:t>519</w:t>
            </w:r>
          </w:p>
        </w:tc>
        <w:tc>
          <w:tcPr>
            <w:tcW w:w="864" w:type="dxa"/>
            <w:vAlign w:val="center"/>
          </w:tcPr>
          <w:p>
            <w:pPr>
              <w:spacing w:line="240" w:lineRule="exact"/>
              <w:jc w:val="center"/>
              <w:rPr>
                <w:rFonts w:eastAsia="Times New Roman" w:cstheme="minorBidi"/>
                <w:szCs w:val="21"/>
              </w:rPr>
            </w:pPr>
            <w:r>
              <w:rPr>
                <w:rFonts w:eastAsia="Times New Roman" w:cstheme="minorBidi"/>
                <w:spacing w:val="-5"/>
                <w:sz w:val="21"/>
                <w:szCs w:val="21"/>
              </w:rPr>
              <w:t>1862</w:t>
            </w:r>
          </w:p>
        </w:tc>
        <w:tc>
          <w:tcPr>
            <w:tcW w:w="624" w:type="dxa"/>
            <w:vMerge w:val="restart"/>
            <w:vAlign w:val="center"/>
          </w:tcPr>
          <w:p>
            <w:pPr>
              <w:spacing w:line="240" w:lineRule="exact"/>
              <w:jc w:val="center"/>
              <w:rPr>
                <w:rFonts w:eastAsia="Times New Roman" w:cstheme="minorBidi"/>
                <w:szCs w:val="21"/>
              </w:rPr>
            </w:pPr>
            <w:r>
              <w:rPr>
                <w:rFonts w:eastAsia="Times New Roman" w:cstheme="minorBidi"/>
                <w:spacing w:val="-2"/>
                <w:sz w:val="21"/>
                <w:szCs w:val="21"/>
              </w:rPr>
              <w:t>620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240" w:lineRule="exact"/>
              <w:jc w:val="center"/>
              <w:rPr>
                <w:rFonts w:eastAsiaTheme="minorEastAsia" w:cstheme="minorBidi"/>
                <w:szCs w:val="21"/>
              </w:rPr>
            </w:pPr>
          </w:p>
        </w:tc>
        <w:tc>
          <w:tcPr>
            <w:tcW w:w="658" w:type="dxa"/>
            <w:vAlign w:val="center"/>
          </w:tcPr>
          <w:p>
            <w:pPr>
              <w:spacing w:line="240" w:lineRule="exact"/>
              <w:jc w:val="center"/>
              <w:rPr>
                <w:rFonts w:eastAsia="Times New Roman" w:cstheme="minorBidi"/>
                <w:szCs w:val="21"/>
              </w:rPr>
            </w:pPr>
            <w:r>
              <w:rPr>
                <w:rFonts w:eastAsia="Times New Roman" w:cstheme="minorBidi"/>
                <w:sz w:val="21"/>
                <w:szCs w:val="21"/>
              </w:rPr>
              <w:t>C</w:t>
            </w:r>
          </w:p>
        </w:tc>
        <w:tc>
          <w:tcPr>
            <w:tcW w:w="726" w:type="dxa"/>
            <w:vAlign w:val="center"/>
          </w:tcPr>
          <w:p>
            <w:pPr>
              <w:spacing w:line="240" w:lineRule="exact"/>
              <w:jc w:val="center"/>
              <w:rPr>
                <w:rFonts w:eastAsia="Times New Roman" w:cstheme="minorBidi"/>
                <w:szCs w:val="21"/>
              </w:rPr>
            </w:pPr>
            <w:r>
              <w:rPr>
                <w:rFonts w:eastAsia="Times New Roman" w:cstheme="minorBidi"/>
                <w:spacing w:val="-1"/>
                <w:sz w:val="21"/>
                <w:szCs w:val="21"/>
              </w:rPr>
              <w:t>23</w:t>
            </w:r>
          </w:p>
        </w:tc>
        <w:tc>
          <w:tcPr>
            <w:tcW w:w="877" w:type="dxa"/>
            <w:vAlign w:val="center"/>
          </w:tcPr>
          <w:p>
            <w:pPr>
              <w:spacing w:line="240" w:lineRule="exact"/>
              <w:jc w:val="center"/>
              <w:rPr>
                <w:rFonts w:eastAsia="Times New Roman" w:cstheme="minorBidi"/>
                <w:szCs w:val="21"/>
              </w:rPr>
            </w:pPr>
            <w:r>
              <w:rPr>
                <w:rFonts w:eastAsia="Times New Roman" w:cstheme="minorBidi"/>
                <w:spacing w:val="-1"/>
                <w:sz w:val="21"/>
                <w:szCs w:val="21"/>
              </w:rPr>
              <w:t>24φ12.6</w:t>
            </w:r>
          </w:p>
        </w:tc>
        <w:tc>
          <w:tcPr>
            <w:tcW w:w="785" w:type="dxa"/>
            <w:vAlign w:val="center"/>
          </w:tcPr>
          <w:p>
            <w:pPr>
              <w:spacing w:line="240" w:lineRule="exact"/>
              <w:jc w:val="center"/>
              <w:rPr>
                <w:rFonts w:eastAsia="Times New Roman" w:cstheme="minorBidi"/>
                <w:szCs w:val="21"/>
              </w:rPr>
            </w:pPr>
            <w:r>
              <w:rPr>
                <w:rFonts w:eastAsia="Times New Roman" w:cstheme="minorBidi"/>
                <w:spacing w:val="-6"/>
                <w:sz w:val="21"/>
                <w:szCs w:val="21"/>
              </w:rPr>
              <w:t>24</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240" w:lineRule="exact"/>
              <w:jc w:val="center"/>
              <w:rPr>
                <w:rFonts w:eastAsiaTheme="minorEastAsia" w:cstheme="minorBidi"/>
                <w:szCs w:val="21"/>
              </w:rPr>
            </w:pPr>
          </w:p>
        </w:tc>
        <w:tc>
          <w:tcPr>
            <w:tcW w:w="808" w:type="dxa"/>
            <w:vAlign w:val="center"/>
          </w:tcPr>
          <w:p>
            <w:pPr>
              <w:spacing w:line="240" w:lineRule="exact"/>
              <w:jc w:val="center"/>
              <w:rPr>
                <w:rFonts w:eastAsia="Times New Roman" w:cstheme="minorBidi"/>
                <w:szCs w:val="21"/>
              </w:rPr>
            </w:pPr>
            <w:r>
              <w:rPr>
                <w:rFonts w:eastAsia="Times New Roman" w:cstheme="minorBidi"/>
                <w:spacing w:val="-2"/>
                <w:sz w:val="21"/>
                <w:szCs w:val="21"/>
              </w:rPr>
              <w:t>9.93</w:t>
            </w:r>
          </w:p>
        </w:tc>
        <w:tc>
          <w:tcPr>
            <w:tcW w:w="784" w:type="dxa"/>
            <w:vMerge w:val="continue"/>
            <w:vAlign w:val="center"/>
          </w:tcPr>
          <w:p>
            <w:pPr>
              <w:spacing w:line="240" w:lineRule="exact"/>
              <w:jc w:val="center"/>
              <w:rPr>
                <w:rFonts w:eastAsiaTheme="minorEastAsia" w:cstheme="minorBidi"/>
                <w:szCs w:val="21"/>
              </w:rPr>
            </w:pPr>
          </w:p>
        </w:tc>
        <w:tc>
          <w:tcPr>
            <w:tcW w:w="993" w:type="dxa"/>
            <w:vAlign w:val="center"/>
          </w:tcPr>
          <w:p>
            <w:pPr>
              <w:spacing w:line="240" w:lineRule="exact"/>
              <w:jc w:val="center"/>
              <w:rPr>
                <w:rFonts w:eastAsia="Times New Roman" w:cstheme="minorBidi"/>
                <w:szCs w:val="21"/>
              </w:rPr>
            </w:pPr>
            <w:r>
              <w:rPr>
                <w:rFonts w:eastAsia="Times New Roman" w:cstheme="minorBidi"/>
                <w:spacing w:val="-1"/>
                <w:sz w:val="21"/>
                <w:szCs w:val="21"/>
              </w:rPr>
              <w:t>38.281</w:t>
            </w:r>
          </w:p>
        </w:tc>
        <w:tc>
          <w:tcPr>
            <w:tcW w:w="911" w:type="dxa"/>
            <w:vAlign w:val="center"/>
          </w:tcPr>
          <w:p>
            <w:pPr>
              <w:spacing w:line="240" w:lineRule="exact"/>
              <w:jc w:val="center"/>
              <w:rPr>
                <w:rFonts w:eastAsia="Times New Roman" w:cstheme="minorBidi"/>
                <w:szCs w:val="21"/>
              </w:rPr>
            </w:pPr>
            <w:r>
              <w:rPr>
                <w:rFonts w:eastAsia="Times New Roman" w:cstheme="minorBidi"/>
                <w:spacing w:val="-9"/>
                <w:sz w:val="21"/>
                <w:szCs w:val="21"/>
              </w:rPr>
              <w:t>1116</w:t>
            </w:r>
          </w:p>
        </w:tc>
        <w:tc>
          <w:tcPr>
            <w:tcW w:w="875" w:type="dxa"/>
            <w:vAlign w:val="center"/>
          </w:tcPr>
          <w:p>
            <w:pPr>
              <w:spacing w:line="240" w:lineRule="exact"/>
              <w:jc w:val="center"/>
              <w:rPr>
                <w:rFonts w:eastAsia="Times New Roman" w:cstheme="minorBidi"/>
                <w:szCs w:val="21"/>
              </w:rPr>
            </w:pPr>
            <w:r>
              <w:rPr>
                <w:rFonts w:eastAsia="Times New Roman" w:cstheme="minorBidi"/>
                <w:spacing w:val="-2"/>
                <w:sz w:val="21"/>
                <w:szCs w:val="21"/>
              </w:rPr>
              <w:t>579</w:t>
            </w:r>
          </w:p>
        </w:tc>
        <w:tc>
          <w:tcPr>
            <w:tcW w:w="868" w:type="dxa"/>
            <w:vAlign w:val="center"/>
          </w:tcPr>
          <w:p>
            <w:pPr>
              <w:spacing w:line="240" w:lineRule="exact"/>
              <w:jc w:val="center"/>
              <w:rPr>
                <w:rFonts w:eastAsia="Times New Roman" w:cstheme="minorBidi"/>
                <w:szCs w:val="21"/>
              </w:rPr>
            </w:pPr>
            <w:r>
              <w:rPr>
                <w:rFonts w:eastAsia="Times New Roman" w:cstheme="minorBidi"/>
                <w:spacing w:val="-1"/>
                <w:sz w:val="21"/>
                <w:szCs w:val="21"/>
              </w:rPr>
              <w:t>2550</w:t>
            </w:r>
          </w:p>
        </w:tc>
        <w:tc>
          <w:tcPr>
            <w:tcW w:w="1195" w:type="dxa"/>
            <w:vMerge w:val="continue"/>
            <w:vAlign w:val="center"/>
          </w:tcPr>
          <w:p>
            <w:pPr>
              <w:spacing w:line="240" w:lineRule="exact"/>
              <w:jc w:val="center"/>
              <w:rPr>
                <w:rFonts w:eastAsiaTheme="minorEastAsia" w:cstheme="minorBidi"/>
                <w:szCs w:val="21"/>
              </w:rPr>
            </w:pPr>
          </w:p>
        </w:tc>
        <w:tc>
          <w:tcPr>
            <w:tcW w:w="846" w:type="dxa"/>
            <w:vAlign w:val="center"/>
          </w:tcPr>
          <w:p>
            <w:pPr>
              <w:spacing w:line="240" w:lineRule="exact"/>
              <w:jc w:val="center"/>
              <w:rPr>
                <w:rFonts w:eastAsia="Times New Roman" w:cstheme="minorBidi"/>
                <w:szCs w:val="21"/>
              </w:rPr>
            </w:pPr>
            <w:r>
              <w:rPr>
                <w:rFonts w:eastAsia="Times New Roman" w:cstheme="minorBidi"/>
                <w:spacing w:val="-2"/>
                <w:sz w:val="21"/>
                <w:szCs w:val="21"/>
              </w:rPr>
              <w:t>618</w:t>
            </w:r>
          </w:p>
        </w:tc>
        <w:tc>
          <w:tcPr>
            <w:tcW w:w="864" w:type="dxa"/>
            <w:vAlign w:val="center"/>
          </w:tcPr>
          <w:p>
            <w:pPr>
              <w:spacing w:line="240" w:lineRule="exact"/>
              <w:jc w:val="center"/>
              <w:rPr>
                <w:rFonts w:eastAsia="Times New Roman" w:cstheme="minorBidi"/>
                <w:szCs w:val="21"/>
              </w:rPr>
            </w:pPr>
            <w:r>
              <w:rPr>
                <w:rFonts w:eastAsia="Times New Roman" w:cstheme="minorBidi"/>
                <w:spacing w:val="-1"/>
                <w:sz w:val="21"/>
                <w:szCs w:val="21"/>
              </w:rPr>
              <w:t>2494</w:t>
            </w:r>
          </w:p>
        </w:tc>
        <w:tc>
          <w:tcPr>
            <w:tcW w:w="624" w:type="dxa"/>
            <w:vMerge w:val="continue"/>
            <w:vAlign w:val="center"/>
          </w:tcPr>
          <w:p>
            <w:pPr>
              <w:spacing w:line="240" w:lineRule="exact"/>
              <w:jc w:val="center"/>
              <w:rPr>
                <w:rFonts w:eastAsiaTheme="minorEastAsia" w:cstheme="minorBidi"/>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43" w:type="dxa"/>
            <w:vMerge w:val="restart"/>
            <w:vAlign w:val="center"/>
          </w:tcPr>
          <w:p>
            <w:pPr>
              <w:spacing w:line="240" w:lineRule="exact"/>
              <w:jc w:val="center"/>
              <w:rPr>
                <w:rFonts w:eastAsia="Times New Roman" w:cstheme="minorBidi"/>
                <w:szCs w:val="21"/>
              </w:rPr>
            </w:pPr>
            <w:r>
              <w:rPr>
                <w:rFonts w:eastAsia="Times New Roman" w:cstheme="minorBidi"/>
                <w:spacing w:val="-2"/>
                <w:sz w:val="21"/>
                <w:szCs w:val="21"/>
              </w:rPr>
              <w:t>PRC</w:t>
            </w:r>
            <w:r>
              <w:rPr>
                <w:rFonts w:eastAsia="Times New Roman" w:cstheme="minorBidi"/>
                <w:spacing w:val="10"/>
                <w:w w:val="101"/>
                <w:sz w:val="21"/>
                <w:szCs w:val="21"/>
              </w:rPr>
              <w:t xml:space="preserve"> </w:t>
            </w:r>
            <w:r>
              <w:rPr>
                <w:rFonts w:hint="eastAsia" w:ascii="宋体" w:hAnsi="宋体" w:cs="宋体" w:eastAsiaTheme="minorEastAsia"/>
                <w:spacing w:val="-2"/>
                <w:sz w:val="21"/>
                <w:szCs w:val="21"/>
              </w:rPr>
              <w:t>Ⅰ</w:t>
            </w:r>
            <w:r>
              <w:rPr>
                <w:rFonts w:eastAsia="Times New Roman" w:cstheme="minorBidi"/>
                <w:spacing w:val="12"/>
                <w:w w:val="101"/>
                <w:sz w:val="21"/>
                <w:szCs w:val="21"/>
              </w:rPr>
              <w:t xml:space="preserve"> </w:t>
            </w:r>
            <w:r>
              <w:rPr>
                <w:rFonts w:eastAsia="Times New Roman" w:cstheme="minorBidi"/>
                <w:spacing w:val="-2"/>
                <w:sz w:val="21"/>
                <w:szCs w:val="21"/>
              </w:rPr>
              <w:t>800(130)</w:t>
            </w:r>
          </w:p>
        </w:tc>
        <w:tc>
          <w:tcPr>
            <w:tcW w:w="658" w:type="dxa"/>
            <w:vAlign w:val="center"/>
          </w:tcPr>
          <w:p>
            <w:pPr>
              <w:spacing w:line="240" w:lineRule="exact"/>
              <w:jc w:val="center"/>
              <w:rPr>
                <w:rFonts w:eastAsia="Times New Roman" w:cstheme="minorBidi"/>
                <w:szCs w:val="21"/>
              </w:rPr>
            </w:pPr>
            <w:r>
              <w:rPr>
                <w:rFonts w:eastAsia="Times New Roman" w:cstheme="minorBidi"/>
                <w:sz w:val="21"/>
                <w:szCs w:val="21"/>
              </w:rPr>
              <w:t>B</w:t>
            </w:r>
          </w:p>
        </w:tc>
        <w:tc>
          <w:tcPr>
            <w:tcW w:w="726" w:type="dxa"/>
            <w:vAlign w:val="center"/>
          </w:tcPr>
          <w:p>
            <w:pPr>
              <w:spacing w:line="240" w:lineRule="exact"/>
              <w:jc w:val="center"/>
              <w:rPr>
                <w:rFonts w:eastAsia="Times New Roman" w:cstheme="minorBidi"/>
                <w:szCs w:val="21"/>
              </w:rPr>
            </w:pPr>
            <w:r>
              <w:rPr>
                <w:rFonts w:eastAsia="Times New Roman" w:cstheme="minorBidi"/>
                <w:spacing w:val="-1"/>
                <w:sz w:val="21"/>
                <w:szCs w:val="21"/>
              </w:rPr>
              <w:t>21</w:t>
            </w:r>
          </w:p>
        </w:tc>
        <w:tc>
          <w:tcPr>
            <w:tcW w:w="877" w:type="dxa"/>
            <w:vAlign w:val="center"/>
          </w:tcPr>
          <w:p>
            <w:pPr>
              <w:spacing w:line="240" w:lineRule="exact"/>
              <w:jc w:val="center"/>
              <w:rPr>
                <w:rFonts w:eastAsia="Times New Roman" w:cstheme="minorBidi"/>
                <w:szCs w:val="21"/>
              </w:rPr>
            </w:pPr>
            <w:r>
              <w:rPr>
                <w:rFonts w:eastAsia="Times New Roman" w:cstheme="minorBidi"/>
                <w:spacing w:val="-1"/>
                <w:sz w:val="21"/>
                <w:szCs w:val="21"/>
              </w:rPr>
              <w:t>28φ10.7</w:t>
            </w:r>
          </w:p>
        </w:tc>
        <w:tc>
          <w:tcPr>
            <w:tcW w:w="785" w:type="dxa"/>
            <w:vAlign w:val="center"/>
          </w:tcPr>
          <w:p>
            <w:pPr>
              <w:spacing w:line="240" w:lineRule="exact"/>
              <w:jc w:val="center"/>
              <w:rPr>
                <w:rFonts w:eastAsia="Times New Roman" w:cstheme="minorBidi"/>
                <w:szCs w:val="21"/>
              </w:rPr>
            </w:pPr>
            <w:r>
              <w:rPr>
                <w:rFonts w:eastAsia="Times New Roman" w:cstheme="minorBidi"/>
                <w:spacing w:val="-6"/>
                <w:sz w:val="21"/>
                <w:szCs w:val="21"/>
              </w:rPr>
              <w:t>28</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restart"/>
            <w:vAlign w:val="center"/>
          </w:tcPr>
          <w:p>
            <w:pPr>
              <w:spacing w:line="240" w:lineRule="exact"/>
              <w:jc w:val="center"/>
              <w:rPr>
                <w:rFonts w:eastAsia="Times New Roman" w:cstheme="minorBidi"/>
                <w:szCs w:val="21"/>
              </w:rPr>
            </w:pPr>
            <w:r>
              <w:rPr>
                <w:rFonts w:eastAsia="Times New Roman" w:cstheme="minorBidi"/>
                <w:sz w:val="21"/>
                <w:szCs w:val="21"/>
              </w:rPr>
              <w:t>6</w:t>
            </w:r>
          </w:p>
        </w:tc>
        <w:tc>
          <w:tcPr>
            <w:tcW w:w="808" w:type="dxa"/>
            <w:vAlign w:val="center"/>
          </w:tcPr>
          <w:p>
            <w:pPr>
              <w:spacing w:line="240" w:lineRule="exact"/>
              <w:jc w:val="center"/>
              <w:rPr>
                <w:rFonts w:eastAsia="Times New Roman" w:cstheme="minorBidi"/>
                <w:szCs w:val="21"/>
              </w:rPr>
            </w:pPr>
            <w:r>
              <w:rPr>
                <w:rFonts w:eastAsia="Times New Roman" w:cstheme="minorBidi"/>
                <w:spacing w:val="-1"/>
                <w:sz w:val="21"/>
                <w:szCs w:val="21"/>
              </w:rPr>
              <w:t>7.63</w:t>
            </w:r>
          </w:p>
        </w:tc>
        <w:tc>
          <w:tcPr>
            <w:tcW w:w="784" w:type="dxa"/>
            <w:vMerge w:val="restart"/>
            <w:vAlign w:val="center"/>
          </w:tcPr>
          <w:p>
            <w:pPr>
              <w:spacing w:line="240" w:lineRule="exact"/>
              <w:jc w:val="center"/>
              <w:rPr>
                <w:rFonts w:eastAsia="Times New Roman" w:cstheme="minorBidi"/>
                <w:szCs w:val="21"/>
              </w:rPr>
            </w:pPr>
            <w:r>
              <w:rPr>
                <w:rFonts w:eastAsia="Times New Roman" w:cstheme="minorBidi"/>
                <w:spacing w:val="-2"/>
                <w:sz w:val="21"/>
                <w:szCs w:val="21"/>
              </w:rPr>
              <w:t>690</w:t>
            </w:r>
          </w:p>
        </w:tc>
        <w:tc>
          <w:tcPr>
            <w:tcW w:w="993" w:type="dxa"/>
            <w:vAlign w:val="center"/>
          </w:tcPr>
          <w:p>
            <w:pPr>
              <w:spacing w:line="240" w:lineRule="exact"/>
              <w:jc w:val="center"/>
              <w:rPr>
                <w:rFonts w:eastAsia="Times New Roman" w:cstheme="minorBidi"/>
                <w:szCs w:val="21"/>
              </w:rPr>
            </w:pPr>
            <w:r>
              <w:rPr>
                <w:rFonts w:eastAsia="Times New Roman" w:cstheme="minorBidi"/>
                <w:spacing w:val="-1"/>
                <w:sz w:val="21"/>
                <w:szCs w:val="21"/>
              </w:rPr>
              <w:t>41.429</w:t>
            </w:r>
          </w:p>
        </w:tc>
        <w:tc>
          <w:tcPr>
            <w:tcW w:w="911" w:type="dxa"/>
            <w:vAlign w:val="center"/>
          </w:tcPr>
          <w:p>
            <w:pPr>
              <w:spacing w:line="240" w:lineRule="exact"/>
              <w:jc w:val="center"/>
              <w:rPr>
                <w:rFonts w:eastAsia="Times New Roman" w:cstheme="minorBidi"/>
                <w:szCs w:val="21"/>
              </w:rPr>
            </w:pPr>
            <w:r>
              <w:rPr>
                <w:rFonts w:eastAsia="Times New Roman" w:cstheme="minorBidi"/>
                <w:spacing w:val="-5"/>
                <w:sz w:val="21"/>
                <w:szCs w:val="21"/>
              </w:rPr>
              <w:t>1071</w:t>
            </w:r>
          </w:p>
        </w:tc>
        <w:tc>
          <w:tcPr>
            <w:tcW w:w="875" w:type="dxa"/>
            <w:vAlign w:val="center"/>
          </w:tcPr>
          <w:p>
            <w:pPr>
              <w:spacing w:line="240" w:lineRule="exact"/>
              <w:jc w:val="center"/>
              <w:rPr>
                <w:rFonts w:eastAsia="Times New Roman" w:cstheme="minorBidi"/>
                <w:szCs w:val="21"/>
              </w:rPr>
            </w:pPr>
            <w:r>
              <w:rPr>
                <w:rFonts w:eastAsia="Times New Roman" w:cstheme="minorBidi"/>
                <w:spacing w:val="-2"/>
                <w:sz w:val="21"/>
                <w:szCs w:val="21"/>
              </w:rPr>
              <w:t>596</w:t>
            </w:r>
          </w:p>
        </w:tc>
        <w:tc>
          <w:tcPr>
            <w:tcW w:w="868" w:type="dxa"/>
            <w:vAlign w:val="center"/>
          </w:tcPr>
          <w:p>
            <w:pPr>
              <w:spacing w:line="240" w:lineRule="exact"/>
              <w:jc w:val="center"/>
              <w:rPr>
                <w:rFonts w:eastAsia="Times New Roman" w:cstheme="minorBidi"/>
                <w:szCs w:val="21"/>
              </w:rPr>
            </w:pPr>
            <w:r>
              <w:rPr>
                <w:rFonts w:eastAsia="Times New Roman" w:cstheme="minorBidi"/>
                <w:spacing w:val="-1"/>
                <w:sz w:val="21"/>
                <w:szCs w:val="21"/>
              </w:rPr>
              <w:t>2142</w:t>
            </w:r>
          </w:p>
        </w:tc>
        <w:tc>
          <w:tcPr>
            <w:tcW w:w="1195" w:type="dxa"/>
            <w:vMerge w:val="restart"/>
            <w:vAlign w:val="center"/>
          </w:tcPr>
          <w:p>
            <w:pPr>
              <w:spacing w:line="240" w:lineRule="exact"/>
              <w:jc w:val="center"/>
              <w:rPr>
                <w:rFonts w:eastAsia="Times New Roman" w:cstheme="minorBidi"/>
                <w:szCs w:val="21"/>
              </w:rPr>
            </w:pPr>
            <w:r>
              <w:rPr>
                <w:rFonts w:eastAsia="Times New Roman" w:cstheme="minorBidi"/>
                <w:spacing w:val="-2"/>
                <w:sz w:val="21"/>
                <w:szCs w:val="21"/>
              </w:rPr>
              <w:t>6876</w:t>
            </w:r>
          </w:p>
        </w:tc>
        <w:tc>
          <w:tcPr>
            <w:tcW w:w="846" w:type="dxa"/>
            <w:vAlign w:val="center"/>
          </w:tcPr>
          <w:p>
            <w:pPr>
              <w:spacing w:line="240" w:lineRule="exact"/>
              <w:jc w:val="center"/>
              <w:rPr>
                <w:rFonts w:eastAsia="Times New Roman" w:cstheme="minorBidi"/>
                <w:szCs w:val="21"/>
              </w:rPr>
            </w:pPr>
            <w:r>
              <w:rPr>
                <w:rFonts w:eastAsia="Times New Roman" w:cstheme="minorBidi"/>
                <w:spacing w:val="-2"/>
                <w:sz w:val="21"/>
                <w:szCs w:val="21"/>
              </w:rPr>
              <w:t>574</w:t>
            </w:r>
          </w:p>
        </w:tc>
        <w:tc>
          <w:tcPr>
            <w:tcW w:w="864" w:type="dxa"/>
            <w:vAlign w:val="center"/>
          </w:tcPr>
          <w:p>
            <w:pPr>
              <w:spacing w:line="240" w:lineRule="exact"/>
              <w:jc w:val="center"/>
              <w:rPr>
                <w:rFonts w:eastAsia="Times New Roman" w:cstheme="minorBidi"/>
                <w:szCs w:val="21"/>
              </w:rPr>
            </w:pPr>
            <w:r>
              <w:rPr>
                <w:rFonts w:eastAsia="Times New Roman" w:cstheme="minorBidi"/>
                <w:spacing w:val="-1"/>
                <w:sz w:val="21"/>
                <w:szCs w:val="21"/>
              </w:rPr>
              <w:t>2169</w:t>
            </w:r>
          </w:p>
        </w:tc>
        <w:tc>
          <w:tcPr>
            <w:tcW w:w="624" w:type="dxa"/>
            <w:vMerge w:val="restart"/>
            <w:vAlign w:val="center"/>
          </w:tcPr>
          <w:p>
            <w:pPr>
              <w:spacing w:line="240" w:lineRule="exact"/>
              <w:jc w:val="center"/>
              <w:rPr>
                <w:rFonts w:eastAsia="Times New Roman" w:cstheme="minorBidi"/>
                <w:szCs w:val="21"/>
              </w:rPr>
            </w:pPr>
            <w:r>
              <w:rPr>
                <w:rFonts w:eastAsia="Times New Roman" w:cstheme="minorBidi"/>
                <w:spacing w:val="-3"/>
                <w:sz w:val="21"/>
                <w:szCs w:val="21"/>
              </w:rPr>
              <w:t>711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3" w:type="dxa"/>
            <w:vMerge w:val="continue"/>
            <w:vAlign w:val="center"/>
          </w:tcPr>
          <w:p>
            <w:pPr>
              <w:spacing w:line="240" w:lineRule="exact"/>
              <w:jc w:val="center"/>
              <w:rPr>
                <w:rFonts w:eastAsiaTheme="minorEastAsia" w:cstheme="minorBidi"/>
                <w:szCs w:val="21"/>
              </w:rPr>
            </w:pPr>
          </w:p>
        </w:tc>
        <w:tc>
          <w:tcPr>
            <w:tcW w:w="658" w:type="dxa"/>
            <w:vAlign w:val="center"/>
          </w:tcPr>
          <w:p>
            <w:pPr>
              <w:spacing w:line="240" w:lineRule="exact"/>
              <w:jc w:val="center"/>
              <w:rPr>
                <w:rFonts w:eastAsia="Times New Roman" w:cstheme="minorBidi"/>
                <w:szCs w:val="21"/>
              </w:rPr>
            </w:pPr>
            <w:r>
              <w:rPr>
                <w:rFonts w:eastAsia="Times New Roman" w:cstheme="minorBidi"/>
                <w:sz w:val="21"/>
                <w:szCs w:val="21"/>
              </w:rPr>
              <w:t>C</w:t>
            </w:r>
          </w:p>
        </w:tc>
        <w:tc>
          <w:tcPr>
            <w:tcW w:w="726" w:type="dxa"/>
            <w:vAlign w:val="center"/>
          </w:tcPr>
          <w:p>
            <w:pPr>
              <w:spacing w:line="240" w:lineRule="exact"/>
              <w:jc w:val="center"/>
              <w:rPr>
                <w:rFonts w:eastAsia="Times New Roman" w:cstheme="minorBidi"/>
                <w:szCs w:val="21"/>
              </w:rPr>
            </w:pPr>
            <w:r>
              <w:rPr>
                <w:rFonts w:eastAsia="Times New Roman" w:cstheme="minorBidi"/>
                <w:spacing w:val="-1"/>
                <w:sz w:val="21"/>
                <w:szCs w:val="21"/>
              </w:rPr>
              <w:t>23</w:t>
            </w:r>
          </w:p>
        </w:tc>
        <w:tc>
          <w:tcPr>
            <w:tcW w:w="877" w:type="dxa"/>
            <w:vAlign w:val="center"/>
          </w:tcPr>
          <w:p>
            <w:pPr>
              <w:spacing w:line="240" w:lineRule="exact"/>
              <w:jc w:val="center"/>
              <w:rPr>
                <w:rFonts w:eastAsia="Times New Roman" w:cstheme="minorBidi"/>
                <w:szCs w:val="21"/>
              </w:rPr>
            </w:pPr>
            <w:r>
              <w:rPr>
                <w:rFonts w:eastAsia="Times New Roman" w:cstheme="minorBidi"/>
                <w:spacing w:val="-1"/>
                <w:sz w:val="21"/>
                <w:szCs w:val="21"/>
              </w:rPr>
              <w:t>28φ12.6</w:t>
            </w:r>
          </w:p>
        </w:tc>
        <w:tc>
          <w:tcPr>
            <w:tcW w:w="785" w:type="dxa"/>
            <w:vAlign w:val="center"/>
          </w:tcPr>
          <w:p>
            <w:pPr>
              <w:spacing w:line="240" w:lineRule="exact"/>
              <w:jc w:val="center"/>
              <w:rPr>
                <w:rFonts w:eastAsia="Times New Roman" w:cstheme="minorBidi"/>
                <w:szCs w:val="21"/>
              </w:rPr>
            </w:pPr>
            <w:r>
              <w:rPr>
                <w:rFonts w:eastAsia="Times New Roman" w:cstheme="minorBidi"/>
                <w:spacing w:val="-6"/>
                <w:sz w:val="21"/>
                <w:szCs w:val="21"/>
              </w:rPr>
              <w:t>28</w:t>
            </w:r>
            <w:r>
              <w:rPr>
                <w:rFonts w:hint="eastAsia" w:ascii="SJQY" w:hAnsi="SJQY" w:eastAsia="SJQY" w:cs="SJQY"/>
                <w:spacing w:val="-10"/>
                <w:sz w:val="21"/>
                <w:szCs w:val="21"/>
              </w:rPr>
              <w:t>C</w:t>
            </w:r>
            <w:r>
              <w:rPr>
                <w:rFonts w:eastAsia="Times New Roman" w:cstheme="minorBidi"/>
                <w:spacing w:val="-6"/>
                <w:sz w:val="21"/>
                <w:szCs w:val="21"/>
              </w:rPr>
              <w:t>12</w:t>
            </w:r>
          </w:p>
        </w:tc>
        <w:tc>
          <w:tcPr>
            <w:tcW w:w="646" w:type="dxa"/>
            <w:vMerge w:val="continue"/>
            <w:vAlign w:val="center"/>
          </w:tcPr>
          <w:p>
            <w:pPr>
              <w:spacing w:line="240" w:lineRule="exact"/>
              <w:jc w:val="center"/>
              <w:rPr>
                <w:rFonts w:eastAsiaTheme="minorEastAsia" w:cstheme="minorBidi"/>
                <w:szCs w:val="21"/>
              </w:rPr>
            </w:pPr>
          </w:p>
        </w:tc>
        <w:tc>
          <w:tcPr>
            <w:tcW w:w="808" w:type="dxa"/>
            <w:vAlign w:val="center"/>
          </w:tcPr>
          <w:p>
            <w:pPr>
              <w:spacing w:line="240" w:lineRule="exact"/>
              <w:jc w:val="center"/>
              <w:rPr>
                <w:rFonts w:eastAsia="Times New Roman" w:cstheme="minorBidi"/>
                <w:szCs w:val="21"/>
              </w:rPr>
            </w:pPr>
            <w:r>
              <w:rPr>
                <w:rFonts w:eastAsia="Times New Roman" w:cstheme="minorBidi"/>
                <w:spacing w:val="-4"/>
                <w:sz w:val="21"/>
                <w:szCs w:val="21"/>
              </w:rPr>
              <w:t>10.06</w:t>
            </w:r>
          </w:p>
        </w:tc>
        <w:tc>
          <w:tcPr>
            <w:tcW w:w="784" w:type="dxa"/>
            <w:vMerge w:val="continue"/>
            <w:vAlign w:val="center"/>
          </w:tcPr>
          <w:p>
            <w:pPr>
              <w:spacing w:line="240" w:lineRule="exact"/>
              <w:jc w:val="center"/>
              <w:rPr>
                <w:rFonts w:eastAsiaTheme="minorEastAsia" w:cstheme="minorBidi"/>
                <w:szCs w:val="21"/>
              </w:rPr>
            </w:pPr>
          </w:p>
        </w:tc>
        <w:tc>
          <w:tcPr>
            <w:tcW w:w="993" w:type="dxa"/>
            <w:vAlign w:val="center"/>
          </w:tcPr>
          <w:p>
            <w:pPr>
              <w:spacing w:line="240" w:lineRule="exact"/>
              <w:jc w:val="center"/>
              <w:rPr>
                <w:rFonts w:eastAsia="Times New Roman" w:cstheme="minorBidi"/>
                <w:szCs w:val="21"/>
              </w:rPr>
            </w:pPr>
            <w:r>
              <w:rPr>
                <w:rFonts w:eastAsia="Times New Roman" w:cstheme="minorBidi"/>
                <w:sz w:val="21"/>
                <w:szCs w:val="21"/>
              </w:rPr>
              <w:t>42.051</w:t>
            </w:r>
          </w:p>
        </w:tc>
        <w:tc>
          <w:tcPr>
            <w:tcW w:w="911" w:type="dxa"/>
            <w:vAlign w:val="center"/>
          </w:tcPr>
          <w:p>
            <w:pPr>
              <w:spacing w:line="240" w:lineRule="exact"/>
              <w:jc w:val="center"/>
              <w:rPr>
                <w:rFonts w:eastAsia="Times New Roman" w:cstheme="minorBidi"/>
                <w:szCs w:val="21"/>
              </w:rPr>
            </w:pPr>
            <w:r>
              <w:rPr>
                <w:rFonts w:eastAsia="Times New Roman" w:cstheme="minorBidi"/>
                <w:spacing w:val="-5"/>
                <w:sz w:val="21"/>
                <w:szCs w:val="21"/>
              </w:rPr>
              <w:t>1271</w:t>
            </w:r>
          </w:p>
        </w:tc>
        <w:tc>
          <w:tcPr>
            <w:tcW w:w="875" w:type="dxa"/>
            <w:vAlign w:val="center"/>
          </w:tcPr>
          <w:p>
            <w:pPr>
              <w:spacing w:line="240" w:lineRule="exact"/>
              <w:jc w:val="center"/>
              <w:rPr>
                <w:rFonts w:eastAsia="Times New Roman" w:cstheme="minorBidi"/>
                <w:szCs w:val="21"/>
              </w:rPr>
            </w:pPr>
            <w:r>
              <w:rPr>
                <w:rFonts w:eastAsia="Times New Roman" w:cstheme="minorBidi"/>
                <w:spacing w:val="-2"/>
                <w:sz w:val="21"/>
                <w:szCs w:val="21"/>
              </w:rPr>
              <w:t>647</w:t>
            </w:r>
          </w:p>
        </w:tc>
        <w:tc>
          <w:tcPr>
            <w:tcW w:w="868" w:type="dxa"/>
            <w:vAlign w:val="center"/>
          </w:tcPr>
          <w:p>
            <w:pPr>
              <w:spacing w:line="240" w:lineRule="exact"/>
              <w:jc w:val="center"/>
              <w:rPr>
                <w:rFonts w:eastAsia="Times New Roman" w:cstheme="minorBidi"/>
                <w:szCs w:val="21"/>
              </w:rPr>
            </w:pPr>
            <w:r>
              <w:rPr>
                <w:rFonts w:eastAsia="Times New Roman" w:cstheme="minorBidi"/>
                <w:spacing w:val="-1"/>
                <w:sz w:val="21"/>
                <w:szCs w:val="21"/>
              </w:rPr>
              <w:t>2975</w:t>
            </w:r>
          </w:p>
        </w:tc>
        <w:tc>
          <w:tcPr>
            <w:tcW w:w="1195" w:type="dxa"/>
            <w:vMerge w:val="continue"/>
            <w:vAlign w:val="center"/>
          </w:tcPr>
          <w:p>
            <w:pPr>
              <w:spacing w:line="240" w:lineRule="exact"/>
              <w:jc w:val="center"/>
              <w:rPr>
                <w:rFonts w:eastAsiaTheme="minorEastAsia" w:cstheme="minorBidi"/>
                <w:szCs w:val="21"/>
              </w:rPr>
            </w:pPr>
          </w:p>
        </w:tc>
        <w:tc>
          <w:tcPr>
            <w:tcW w:w="846" w:type="dxa"/>
            <w:vAlign w:val="center"/>
          </w:tcPr>
          <w:p>
            <w:pPr>
              <w:spacing w:line="240" w:lineRule="exact"/>
              <w:jc w:val="center"/>
              <w:rPr>
                <w:rFonts w:eastAsia="Times New Roman" w:cstheme="minorBidi"/>
                <w:szCs w:val="21"/>
              </w:rPr>
            </w:pPr>
            <w:r>
              <w:rPr>
                <w:rFonts w:eastAsia="Times New Roman" w:cstheme="minorBidi"/>
                <w:spacing w:val="-2"/>
                <w:sz w:val="21"/>
                <w:szCs w:val="21"/>
              </w:rPr>
              <w:t>685</w:t>
            </w:r>
          </w:p>
        </w:tc>
        <w:tc>
          <w:tcPr>
            <w:tcW w:w="864" w:type="dxa"/>
            <w:vAlign w:val="center"/>
          </w:tcPr>
          <w:p>
            <w:pPr>
              <w:spacing w:line="240" w:lineRule="exact"/>
              <w:jc w:val="center"/>
              <w:rPr>
                <w:rFonts w:eastAsia="Times New Roman" w:cstheme="minorBidi"/>
                <w:szCs w:val="21"/>
              </w:rPr>
            </w:pPr>
            <w:r>
              <w:rPr>
                <w:rFonts w:eastAsia="Times New Roman" w:cstheme="minorBidi"/>
                <w:spacing w:val="-1"/>
                <w:sz w:val="21"/>
                <w:szCs w:val="21"/>
              </w:rPr>
              <w:t>2904</w:t>
            </w:r>
          </w:p>
        </w:tc>
        <w:tc>
          <w:tcPr>
            <w:tcW w:w="624" w:type="dxa"/>
            <w:vMerge w:val="continue"/>
            <w:vAlign w:val="center"/>
          </w:tcPr>
          <w:p>
            <w:pPr>
              <w:spacing w:line="240" w:lineRule="exact"/>
              <w:jc w:val="center"/>
              <w:rPr>
                <w:rFonts w:eastAsiaTheme="minorEastAsia" w:cstheme="minorBidi"/>
                <w:szCs w:val="21"/>
              </w:rPr>
            </w:pPr>
          </w:p>
        </w:tc>
      </w:tr>
    </w:tbl>
    <w:p>
      <w:pPr>
        <w:pStyle w:val="13"/>
        <w:ind w:firstLine="309" w:firstLineChars="150"/>
        <w:rPr>
          <w:rFonts w:ascii="Times New Roman" w:eastAsia="方正书宋简体"/>
          <w:sz w:val="21"/>
          <w:szCs w:val="21"/>
        </w:rPr>
      </w:pPr>
      <w:r>
        <w:rPr>
          <w:rFonts w:ascii="Times New Roman" w:hAnsi="Times New Roman" w:eastAsia="方正书宋简体"/>
          <w:bCs/>
          <w:spacing w:val="-2"/>
          <w:sz w:val="21"/>
          <w:szCs w:val="21"/>
        </w:rPr>
        <w:t>注：表中</w:t>
      </w:r>
      <w:r>
        <w:rPr>
          <w:rFonts w:ascii="Times New Roman" w:hAnsi="Times New Roman" w:eastAsia="方正书宋简体"/>
          <w:bCs/>
          <w:spacing w:val="-27"/>
          <w:sz w:val="21"/>
          <w:szCs w:val="21"/>
        </w:rPr>
        <w:t xml:space="preserve"> </w:t>
      </w:r>
      <w:r>
        <w:rPr>
          <w:rFonts w:ascii="Times New Roman" w:hAnsi="Times New Roman" w:eastAsia="方正书宋简体"/>
          <w:bCs/>
          <w:spacing w:val="-2"/>
          <w:sz w:val="21"/>
          <w:szCs w:val="21"/>
        </w:rPr>
        <w:t>PRC</w:t>
      </w:r>
      <w:r>
        <w:rPr>
          <w:rFonts w:ascii="Times New Roman" w:hAnsi="Times New Roman" w:eastAsia="方正书宋简体"/>
          <w:bCs/>
          <w:spacing w:val="15"/>
          <w:sz w:val="21"/>
          <w:szCs w:val="21"/>
        </w:rPr>
        <w:t xml:space="preserve"> </w:t>
      </w:r>
      <w:r>
        <w:rPr>
          <w:rFonts w:ascii="Times New Roman" w:hAnsi="Times New Roman" w:eastAsia="方正书宋简体"/>
          <w:bCs/>
          <w:spacing w:val="-2"/>
          <w:sz w:val="21"/>
          <w:szCs w:val="21"/>
        </w:rPr>
        <w:t>管桩（Ⅰ型）的混凝土强度等级为</w:t>
      </w:r>
      <w:r>
        <w:rPr>
          <w:rFonts w:ascii="Times New Roman" w:hAnsi="Times New Roman" w:eastAsia="方正书宋简体"/>
          <w:bCs/>
          <w:spacing w:val="-47"/>
          <w:sz w:val="21"/>
          <w:szCs w:val="21"/>
        </w:rPr>
        <w:t xml:space="preserve"> </w:t>
      </w:r>
      <w:r>
        <w:rPr>
          <w:rFonts w:ascii="Times New Roman" w:hAnsi="Times New Roman" w:eastAsia="方正书宋简体"/>
          <w:bCs/>
          <w:spacing w:val="-2"/>
          <w:sz w:val="21"/>
          <w:szCs w:val="21"/>
        </w:rPr>
        <w:t>C80。</w:t>
      </w:r>
    </w:p>
    <w:p>
      <w:pPr>
        <w:jc w:val="left"/>
        <w:rPr>
          <w:rFonts w:ascii="Times New Roman" w:hAnsi="Times New Roman" w:cs="宋体"/>
          <w:sz w:val="32"/>
          <w:szCs w:val="32"/>
          <w:lang w:bidi="ar"/>
        </w:rPr>
      </w:pPr>
    </w:p>
    <w:p>
      <w:pPr>
        <w:jc w:val="left"/>
        <w:rPr>
          <w:rFonts w:ascii="Times New Roman" w:hAnsi="Times New Roman" w:cs="宋体"/>
          <w:sz w:val="32"/>
          <w:szCs w:val="32"/>
          <w:lang w:bidi="ar"/>
        </w:rPr>
        <w:sectPr>
          <w:pgSz w:w="15840" w:h="12240" w:orient="landscape"/>
          <w:pgMar w:top="1797" w:right="1440" w:bottom="1797" w:left="1440" w:header="720" w:footer="720" w:gutter="0"/>
          <w:pgNumType w:fmt="decimal"/>
          <w:cols w:space="425" w:num="1"/>
          <w:docGrid w:type="linesAndChars" w:linePitch="312" w:charSpace="0"/>
        </w:sectPr>
      </w:pPr>
      <w:r>
        <w:rPr>
          <w:rFonts w:ascii="Times New Roman" w:hAnsi="Times New Roman" w:cs="宋体"/>
          <w:sz w:val="32"/>
          <w:szCs w:val="32"/>
          <w:lang w:bidi="ar"/>
        </w:rPr>
        <w:br w:type="page"/>
      </w:r>
    </w:p>
    <w:p>
      <w:pPr>
        <w:pStyle w:val="2"/>
        <w:bidi w:val="0"/>
        <w:rPr>
          <w:sz w:val="36"/>
          <w:szCs w:val="36"/>
        </w:rPr>
      </w:pPr>
      <w:bookmarkStart w:id="1045" w:name="_Toc26320"/>
      <w:bookmarkStart w:id="1046" w:name="_Toc25594"/>
      <w:bookmarkStart w:id="1047" w:name="_Toc32498"/>
      <w:r>
        <w:rPr>
          <w:sz w:val="36"/>
          <w:szCs w:val="36"/>
        </w:rPr>
        <w:t>附录</w:t>
      </w:r>
      <w:r>
        <w:rPr>
          <w:rFonts w:hint="eastAsia"/>
          <w:sz w:val="36"/>
          <w:szCs w:val="36"/>
          <w:lang w:val="en-US" w:eastAsia="zh-CN"/>
        </w:rPr>
        <w:t>L</w:t>
      </w:r>
      <w:r>
        <w:rPr>
          <w:sz w:val="36"/>
          <w:szCs w:val="36"/>
        </w:rPr>
        <w:t xml:space="preserve">  锚杆杆体材料力学性能</w:t>
      </w:r>
      <w:bookmarkEnd w:id="1045"/>
      <w:bookmarkEnd w:id="1046"/>
      <w:bookmarkEnd w:id="1047"/>
    </w:p>
    <w:p>
      <w:pPr>
        <w:widowControl w:val="0"/>
        <w:rPr>
          <w:rFonts w:ascii="Times New Roman" w:hAnsi="Times New Roman"/>
          <w:szCs w:val="24"/>
        </w:rPr>
      </w:pPr>
      <w:r>
        <w:rPr>
          <w:rFonts w:hint="eastAsia" w:ascii="Times New Roman" w:hAnsi="Times New Roman"/>
          <w:b/>
          <w:bCs/>
          <w:szCs w:val="24"/>
          <w:lang w:val="en-US" w:eastAsia="zh-CN"/>
        </w:rPr>
        <w:t>L</w:t>
      </w:r>
      <w:r>
        <w:rPr>
          <w:rFonts w:ascii="Times New Roman" w:hAnsi="Times New Roman"/>
          <w:b/>
          <w:bCs/>
          <w:szCs w:val="24"/>
        </w:rPr>
        <w:t>.0.1</w:t>
      </w:r>
      <w:r>
        <w:rPr>
          <w:rFonts w:ascii="Times New Roman" w:hAnsi="Times New Roman"/>
          <w:szCs w:val="24"/>
        </w:rPr>
        <w:t xml:space="preserve">   钢绞线抗拉强度标准值、设计值应符合表</w:t>
      </w:r>
      <w:r>
        <w:rPr>
          <w:rFonts w:hint="eastAsia" w:ascii="Times New Roman" w:hAnsi="Times New Roman"/>
          <w:szCs w:val="24"/>
          <w:lang w:val="en-US" w:eastAsia="zh-CN"/>
        </w:rPr>
        <w:t>L</w:t>
      </w:r>
      <w:r>
        <w:rPr>
          <w:rFonts w:ascii="Times New Roman" w:hAnsi="Times New Roman"/>
          <w:szCs w:val="24"/>
        </w:rPr>
        <w:t>.0.1的规定：</w:t>
      </w:r>
    </w:p>
    <w:p>
      <w:pPr>
        <w:widowControl w:val="0"/>
        <w:spacing w:before="120"/>
        <w:jc w:val="center"/>
        <w:rPr>
          <w:rFonts w:ascii="Times New Roman" w:hAnsi="Times New Roman"/>
        </w:rPr>
      </w:pPr>
      <w:r>
        <w:rPr>
          <w:rFonts w:ascii="Times New Roman" w:hAnsi="Times New Roman"/>
          <w:b/>
          <w:bCs/>
        </w:rPr>
        <w:t>表</w:t>
      </w:r>
      <w:r>
        <w:rPr>
          <w:rFonts w:hint="eastAsia" w:ascii="Times New Roman" w:hAnsi="Times New Roman"/>
          <w:b/>
          <w:bCs/>
          <w:lang w:val="en-US" w:eastAsia="zh-CN"/>
        </w:rPr>
        <w:t>L</w:t>
      </w:r>
      <w:r>
        <w:rPr>
          <w:rFonts w:ascii="Times New Roman" w:hAnsi="Times New Roman"/>
          <w:b/>
          <w:bCs/>
        </w:rPr>
        <w:t>.0.1  钢绞线抗拉强度标准值、设计值</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925"/>
        <w:gridCol w:w="1638"/>
        <w:gridCol w:w="1850"/>
        <w:gridCol w:w="1875"/>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widowControl w:val="0"/>
              <w:jc w:val="center"/>
              <w:rPr>
                <w:rFonts w:ascii="Times New Roman" w:hAnsi="Times New Roman"/>
              </w:rPr>
            </w:pPr>
            <w:r>
              <w:rPr>
                <w:rFonts w:ascii="Times New Roman" w:hAnsi="Times New Roman"/>
              </w:rPr>
              <w:t>种类</w:t>
            </w:r>
          </w:p>
        </w:tc>
        <w:tc>
          <w:tcPr>
            <w:tcW w:w="925" w:type="dxa"/>
            <w:vAlign w:val="center"/>
          </w:tcPr>
          <w:p>
            <w:pPr>
              <w:widowControl w:val="0"/>
              <w:jc w:val="center"/>
              <w:rPr>
                <w:rFonts w:ascii="Times New Roman" w:hAnsi="Times New Roman"/>
              </w:rPr>
            </w:pPr>
            <w:r>
              <w:rPr>
                <w:rFonts w:ascii="Times New Roman" w:hAnsi="Times New Roman"/>
              </w:rPr>
              <w:t>符号</w:t>
            </w:r>
          </w:p>
        </w:tc>
        <w:tc>
          <w:tcPr>
            <w:tcW w:w="1638" w:type="dxa"/>
            <w:vAlign w:val="center"/>
          </w:tcPr>
          <w:p>
            <w:pPr>
              <w:widowControl w:val="0"/>
              <w:jc w:val="center"/>
              <w:rPr>
                <w:rFonts w:ascii="Times New Roman" w:hAnsi="Times New Roman"/>
              </w:rPr>
            </w:pPr>
            <w:r>
              <w:rPr>
                <w:rFonts w:ascii="Times New Roman" w:hAnsi="Times New Roman"/>
              </w:rPr>
              <w:t>直径</w:t>
            </w:r>
            <w:r>
              <w:rPr>
                <w:rFonts w:ascii="Times New Roman" w:hAnsi="Times New Roman"/>
                <w:i/>
                <w:iCs/>
              </w:rPr>
              <w:t>d</w:t>
            </w:r>
            <w:r>
              <w:rPr>
                <w:rFonts w:ascii="Times New Roman" w:hAnsi="Times New Roman"/>
              </w:rPr>
              <w:t>（mm）</w:t>
            </w:r>
          </w:p>
        </w:tc>
        <w:tc>
          <w:tcPr>
            <w:tcW w:w="1850" w:type="dxa"/>
            <w:vAlign w:val="center"/>
          </w:tcPr>
          <w:p>
            <w:pPr>
              <w:widowControl w:val="0"/>
              <w:jc w:val="center"/>
              <w:rPr>
                <w:rFonts w:ascii="Times New Roman" w:hAnsi="Times New Roman"/>
              </w:rPr>
            </w:pPr>
            <w:r>
              <w:rPr>
                <w:rFonts w:ascii="Times New Roman" w:hAnsi="Times New Roman"/>
              </w:rPr>
              <w:t>抗拉强度标准值</w:t>
            </w:r>
            <w:r>
              <w:rPr>
                <w:rFonts w:ascii="Times New Roman" w:hAnsi="Times New Roman"/>
                <w:i/>
                <w:iCs/>
              </w:rPr>
              <w:t>f</w:t>
            </w:r>
            <w:r>
              <w:rPr>
                <w:rFonts w:ascii="Times New Roman" w:hAnsi="Times New Roman"/>
                <w:vertAlign w:val="subscript"/>
              </w:rPr>
              <w:t>ptk</w:t>
            </w:r>
            <w:r>
              <w:rPr>
                <w:rFonts w:ascii="Times New Roman" w:hAnsi="Times New Roman"/>
              </w:rPr>
              <w:t>（N/mm²）</w:t>
            </w:r>
          </w:p>
        </w:tc>
        <w:tc>
          <w:tcPr>
            <w:tcW w:w="1875" w:type="dxa"/>
            <w:vAlign w:val="center"/>
          </w:tcPr>
          <w:p>
            <w:pPr>
              <w:widowControl w:val="0"/>
              <w:jc w:val="center"/>
              <w:rPr>
                <w:rFonts w:ascii="Times New Roman" w:hAnsi="Times New Roman"/>
              </w:rPr>
            </w:pPr>
            <w:r>
              <w:rPr>
                <w:rFonts w:ascii="Times New Roman" w:hAnsi="Times New Roman"/>
              </w:rPr>
              <w:t>抗拉强度设计值</w:t>
            </w:r>
            <w:r>
              <w:rPr>
                <w:rFonts w:ascii="Times New Roman" w:hAnsi="Times New Roman"/>
                <w:i/>
                <w:iCs/>
              </w:rPr>
              <w:t>f</w:t>
            </w:r>
            <w:r>
              <w:rPr>
                <w:rFonts w:ascii="Times New Roman" w:hAnsi="Times New Roman"/>
                <w:vertAlign w:val="subscript"/>
              </w:rPr>
              <w:t>py</w:t>
            </w:r>
            <w:r>
              <w:rPr>
                <w:rFonts w:ascii="Times New Roman" w:hAnsi="Times New Roman"/>
              </w:rPr>
              <w:t>（N/mm²）</w:t>
            </w:r>
          </w:p>
        </w:tc>
        <w:tc>
          <w:tcPr>
            <w:tcW w:w="1236" w:type="dxa"/>
            <w:vAlign w:val="center"/>
          </w:tcPr>
          <w:p>
            <w:pPr>
              <w:widowControl w:val="0"/>
              <w:jc w:val="center"/>
              <w:rPr>
                <w:rFonts w:ascii="Times New Roman" w:hAnsi="Times New Roman"/>
              </w:rPr>
            </w:pPr>
            <w:r>
              <w:rPr>
                <w:rFonts w:ascii="Times New Roman" w:hAnsi="Times New Roman"/>
              </w:rPr>
              <w:t>弹性模量</w:t>
            </w:r>
            <w:r>
              <w:rPr>
                <w:rFonts w:ascii="Times New Roman" w:hAnsi="Times New Roman"/>
                <w:i/>
                <w:iCs/>
              </w:rPr>
              <w:t>E</w:t>
            </w:r>
            <w:r>
              <w:rPr>
                <w:rFonts w:ascii="Times New Roman" w:hAnsi="Times New Roman"/>
                <w:vertAlign w:val="subscript"/>
              </w:rPr>
              <w:t>s</w:t>
            </w:r>
            <w:r>
              <w:rPr>
                <w:rFonts w:ascii="Times New Roman" w:hAnsi="Times New Roman"/>
              </w:rPr>
              <w:t>（N/mm²）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Merge w:val="restart"/>
            <w:vAlign w:val="center"/>
          </w:tcPr>
          <w:p>
            <w:pPr>
              <w:widowControl w:val="0"/>
              <w:jc w:val="center"/>
              <w:rPr>
                <w:rFonts w:ascii="Times New Roman" w:hAnsi="Times New Roman"/>
              </w:rPr>
            </w:pPr>
            <w:r>
              <w:rPr>
                <w:rFonts w:ascii="Times New Roman" w:hAnsi="Times New Roman"/>
              </w:rPr>
              <w:t>7股</w:t>
            </w:r>
          </w:p>
        </w:tc>
        <w:tc>
          <w:tcPr>
            <w:tcW w:w="925" w:type="dxa"/>
            <w:vMerge w:val="restart"/>
            <w:vAlign w:val="center"/>
          </w:tcPr>
          <w:p>
            <w:pPr>
              <w:widowControl w:val="0"/>
              <w:jc w:val="center"/>
              <w:rPr>
                <w:rFonts w:ascii="Times New Roman" w:hAnsi="Times New Roman"/>
              </w:rPr>
            </w:pPr>
            <w:r>
              <w:rPr>
                <w:rFonts w:hint="eastAsia" w:ascii="SJQY" w:hAnsi="SJQY" w:eastAsia="SJQY" w:cs="SJQY"/>
                <w:i/>
                <w:iCs/>
              </w:rPr>
              <w:t>A</w:t>
            </w:r>
            <w:r>
              <w:rPr>
                <w:rFonts w:ascii="Times New Roman" w:hAnsi="Times New Roman"/>
                <w:vertAlign w:val="superscript"/>
              </w:rPr>
              <w:t>s</w:t>
            </w:r>
          </w:p>
        </w:tc>
        <w:tc>
          <w:tcPr>
            <w:tcW w:w="1638" w:type="dxa"/>
            <w:vMerge w:val="restart"/>
            <w:vAlign w:val="center"/>
          </w:tcPr>
          <w:p>
            <w:pPr>
              <w:widowControl w:val="0"/>
              <w:jc w:val="center"/>
              <w:rPr>
                <w:rFonts w:ascii="Times New Roman" w:hAnsi="Times New Roman"/>
              </w:rPr>
            </w:pPr>
            <w:r>
              <w:rPr>
                <w:rFonts w:ascii="Times New Roman" w:hAnsi="Times New Roman"/>
              </w:rPr>
              <w:t>9.5、12.7、15.2</w:t>
            </w:r>
          </w:p>
        </w:tc>
        <w:tc>
          <w:tcPr>
            <w:tcW w:w="1850" w:type="dxa"/>
            <w:vAlign w:val="center"/>
          </w:tcPr>
          <w:p>
            <w:pPr>
              <w:widowControl w:val="0"/>
              <w:jc w:val="center"/>
              <w:rPr>
                <w:rFonts w:ascii="Times New Roman" w:hAnsi="Times New Roman"/>
              </w:rPr>
            </w:pPr>
            <w:r>
              <w:rPr>
                <w:rFonts w:ascii="Times New Roman" w:hAnsi="Times New Roman"/>
              </w:rPr>
              <w:t>1720</w:t>
            </w:r>
          </w:p>
        </w:tc>
        <w:tc>
          <w:tcPr>
            <w:tcW w:w="1875" w:type="dxa"/>
            <w:vAlign w:val="center"/>
          </w:tcPr>
          <w:p>
            <w:pPr>
              <w:widowControl w:val="0"/>
              <w:jc w:val="center"/>
              <w:rPr>
                <w:rFonts w:ascii="Times New Roman" w:hAnsi="Times New Roman"/>
              </w:rPr>
            </w:pPr>
            <w:r>
              <w:rPr>
                <w:rFonts w:ascii="Times New Roman" w:hAnsi="Times New Roman"/>
              </w:rPr>
              <w:t>1220</w:t>
            </w:r>
          </w:p>
        </w:tc>
        <w:tc>
          <w:tcPr>
            <w:tcW w:w="1236" w:type="dxa"/>
            <w:vMerge w:val="restart"/>
            <w:vAlign w:val="center"/>
          </w:tcPr>
          <w:p>
            <w:pPr>
              <w:widowControl w:val="0"/>
              <w:jc w:val="center"/>
              <w:rPr>
                <w:rFonts w:ascii="Times New Roman" w:hAnsi="Times New Roman"/>
              </w:rPr>
            </w:pPr>
            <w:r>
              <w:rPr>
                <w:rFonts w:ascii="Times New Roman" w:hAnsi="Times New Roman"/>
              </w:rPr>
              <w:t>1.95×10</w:t>
            </w:r>
            <w:r>
              <w:rPr>
                <w:rFonts w:ascii="Times New Roman" w:hAnsi="Times New Roman"/>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Merge w:val="continue"/>
            <w:vAlign w:val="center"/>
          </w:tcPr>
          <w:p>
            <w:pPr>
              <w:widowControl w:val="0"/>
              <w:jc w:val="center"/>
              <w:rPr>
                <w:rFonts w:ascii="Times New Roman" w:hAnsi="Times New Roman"/>
              </w:rPr>
            </w:pPr>
          </w:p>
        </w:tc>
        <w:tc>
          <w:tcPr>
            <w:tcW w:w="925" w:type="dxa"/>
            <w:vMerge w:val="continue"/>
            <w:vAlign w:val="center"/>
          </w:tcPr>
          <w:p>
            <w:pPr>
              <w:widowControl w:val="0"/>
              <w:jc w:val="center"/>
              <w:rPr>
                <w:rFonts w:ascii="Times New Roman" w:hAnsi="Times New Roman"/>
              </w:rPr>
            </w:pPr>
          </w:p>
        </w:tc>
        <w:tc>
          <w:tcPr>
            <w:tcW w:w="1638" w:type="dxa"/>
            <w:vMerge w:val="continue"/>
            <w:vAlign w:val="center"/>
          </w:tcPr>
          <w:p>
            <w:pPr>
              <w:widowControl w:val="0"/>
              <w:jc w:val="center"/>
              <w:rPr>
                <w:rFonts w:ascii="Times New Roman" w:hAnsi="Times New Roman"/>
              </w:rPr>
            </w:pPr>
          </w:p>
        </w:tc>
        <w:tc>
          <w:tcPr>
            <w:tcW w:w="1850" w:type="dxa"/>
            <w:vAlign w:val="center"/>
          </w:tcPr>
          <w:p>
            <w:pPr>
              <w:widowControl w:val="0"/>
              <w:jc w:val="center"/>
              <w:rPr>
                <w:rFonts w:ascii="Times New Roman" w:hAnsi="Times New Roman"/>
              </w:rPr>
            </w:pPr>
            <w:r>
              <w:rPr>
                <w:rFonts w:ascii="Times New Roman" w:hAnsi="Times New Roman"/>
              </w:rPr>
              <w:t>1860</w:t>
            </w:r>
          </w:p>
        </w:tc>
        <w:tc>
          <w:tcPr>
            <w:tcW w:w="1875" w:type="dxa"/>
            <w:vAlign w:val="center"/>
          </w:tcPr>
          <w:p>
            <w:pPr>
              <w:widowControl w:val="0"/>
              <w:jc w:val="center"/>
              <w:rPr>
                <w:rFonts w:ascii="Times New Roman" w:hAnsi="Times New Roman"/>
              </w:rPr>
            </w:pPr>
            <w:r>
              <w:rPr>
                <w:rFonts w:ascii="Times New Roman" w:hAnsi="Times New Roman"/>
              </w:rPr>
              <w:t>1320</w:t>
            </w:r>
          </w:p>
        </w:tc>
        <w:tc>
          <w:tcPr>
            <w:tcW w:w="1236" w:type="dxa"/>
            <w:vMerge w:val="continue"/>
          </w:tcPr>
          <w:p>
            <w:pPr>
              <w:widowControl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vMerge w:val="continue"/>
            <w:vAlign w:val="center"/>
          </w:tcPr>
          <w:p>
            <w:pPr>
              <w:widowControl w:val="0"/>
              <w:jc w:val="center"/>
              <w:rPr>
                <w:rFonts w:ascii="Times New Roman" w:hAnsi="Times New Roman"/>
              </w:rPr>
            </w:pPr>
          </w:p>
        </w:tc>
        <w:tc>
          <w:tcPr>
            <w:tcW w:w="925" w:type="dxa"/>
            <w:vMerge w:val="continue"/>
            <w:vAlign w:val="center"/>
          </w:tcPr>
          <w:p>
            <w:pPr>
              <w:widowControl w:val="0"/>
              <w:jc w:val="center"/>
              <w:rPr>
                <w:rFonts w:ascii="Times New Roman" w:hAnsi="Times New Roman"/>
              </w:rPr>
            </w:pPr>
          </w:p>
        </w:tc>
        <w:tc>
          <w:tcPr>
            <w:tcW w:w="1638" w:type="dxa"/>
            <w:vMerge w:val="continue"/>
            <w:vAlign w:val="center"/>
          </w:tcPr>
          <w:p>
            <w:pPr>
              <w:widowControl w:val="0"/>
              <w:jc w:val="center"/>
              <w:rPr>
                <w:rFonts w:ascii="Times New Roman" w:hAnsi="Times New Roman"/>
              </w:rPr>
            </w:pPr>
          </w:p>
        </w:tc>
        <w:tc>
          <w:tcPr>
            <w:tcW w:w="1850" w:type="dxa"/>
            <w:vAlign w:val="center"/>
          </w:tcPr>
          <w:p>
            <w:pPr>
              <w:widowControl w:val="0"/>
              <w:jc w:val="center"/>
              <w:rPr>
                <w:rFonts w:ascii="Times New Roman" w:hAnsi="Times New Roman"/>
              </w:rPr>
            </w:pPr>
            <w:r>
              <w:rPr>
                <w:rFonts w:ascii="Times New Roman" w:hAnsi="Times New Roman"/>
              </w:rPr>
              <w:t>1960</w:t>
            </w:r>
          </w:p>
        </w:tc>
        <w:tc>
          <w:tcPr>
            <w:tcW w:w="1875" w:type="dxa"/>
            <w:vAlign w:val="center"/>
          </w:tcPr>
          <w:p>
            <w:pPr>
              <w:widowControl w:val="0"/>
              <w:jc w:val="center"/>
              <w:rPr>
                <w:rFonts w:ascii="Times New Roman" w:hAnsi="Times New Roman"/>
              </w:rPr>
            </w:pPr>
            <w:r>
              <w:rPr>
                <w:rFonts w:ascii="Times New Roman" w:hAnsi="Times New Roman"/>
              </w:rPr>
              <w:t>1390</w:t>
            </w:r>
          </w:p>
        </w:tc>
        <w:tc>
          <w:tcPr>
            <w:tcW w:w="1236" w:type="dxa"/>
            <w:vMerge w:val="continue"/>
          </w:tcPr>
          <w:p>
            <w:pPr>
              <w:widowControl w:val="0"/>
              <w:rPr>
                <w:rFonts w:ascii="Times New Roman" w:hAnsi="Times New Roman"/>
              </w:rPr>
            </w:pPr>
          </w:p>
        </w:tc>
      </w:tr>
    </w:tbl>
    <w:p>
      <w:pPr>
        <w:widowControl w:val="0"/>
        <w:spacing w:before="240"/>
        <w:rPr>
          <w:rFonts w:ascii="Times New Roman" w:hAnsi="Times New Roman"/>
          <w:szCs w:val="24"/>
        </w:rPr>
      </w:pPr>
      <w:r>
        <w:rPr>
          <w:rFonts w:hint="eastAsia" w:ascii="Times New Roman" w:hAnsi="Times New Roman"/>
          <w:b/>
          <w:bCs/>
          <w:szCs w:val="24"/>
          <w:lang w:val="en-US" w:eastAsia="zh-CN"/>
        </w:rPr>
        <w:t>L</w:t>
      </w:r>
      <w:r>
        <w:rPr>
          <w:rFonts w:ascii="Times New Roman" w:hAnsi="Times New Roman"/>
          <w:b/>
          <w:bCs/>
          <w:szCs w:val="24"/>
        </w:rPr>
        <w:t>.0.2</w:t>
      </w:r>
      <w:r>
        <w:rPr>
          <w:rFonts w:ascii="Times New Roman" w:hAnsi="Times New Roman"/>
          <w:szCs w:val="24"/>
        </w:rPr>
        <w:t xml:space="preserve">   精轧螺纹钢筋抗拉强度标准值、设计值应符合表</w:t>
      </w:r>
      <w:r>
        <w:rPr>
          <w:rFonts w:hint="eastAsia" w:ascii="Times New Roman" w:hAnsi="Times New Roman"/>
          <w:szCs w:val="24"/>
          <w:lang w:val="en-US" w:eastAsia="zh-CN"/>
        </w:rPr>
        <w:t>L</w:t>
      </w:r>
      <w:r>
        <w:rPr>
          <w:rFonts w:ascii="Times New Roman" w:hAnsi="Times New Roman"/>
          <w:szCs w:val="24"/>
        </w:rPr>
        <w:t>.0.2的规定：</w:t>
      </w:r>
    </w:p>
    <w:p>
      <w:pPr>
        <w:widowControl w:val="0"/>
        <w:spacing w:before="120"/>
        <w:jc w:val="center"/>
        <w:rPr>
          <w:rFonts w:ascii="Times New Roman" w:hAnsi="Times New Roman"/>
        </w:rPr>
      </w:pPr>
      <w:r>
        <w:rPr>
          <w:rFonts w:ascii="Times New Roman" w:hAnsi="Times New Roman"/>
          <w:b/>
          <w:bCs/>
        </w:rPr>
        <w:t>表</w:t>
      </w:r>
      <w:r>
        <w:rPr>
          <w:rFonts w:hint="eastAsia" w:ascii="Times New Roman" w:hAnsi="Times New Roman"/>
          <w:b/>
          <w:bCs/>
          <w:lang w:val="en-US" w:eastAsia="zh-CN"/>
        </w:rPr>
        <w:t>L</w:t>
      </w:r>
      <w:r>
        <w:rPr>
          <w:rFonts w:ascii="Times New Roman" w:hAnsi="Times New Roman"/>
          <w:b/>
          <w:bCs/>
        </w:rPr>
        <w:t>.0.2  精轧螺纹钢筋抗拉强度标准值、设计值</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913"/>
        <w:gridCol w:w="1637"/>
        <w:gridCol w:w="1863"/>
        <w:gridCol w:w="187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widowControl w:val="0"/>
              <w:jc w:val="center"/>
              <w:rPr>
                <w:rFonts w:ascii="Times New Roman" w:hAnsi="Times New Roman"/>
                <w:sz w:val="21"/>
                <w:szCs w:val="24"/>
              </w:rPr>
            </w:pPr>
            <w:r>
              <w:rPr>
                <w:rFonts w:ascii="Times New Roman" w:hAnsi="Times New Roman"/>
              </w:rPr>
              <w:t>种类</w:t>
            </w:r>
          </w:p>
        </w:tc>
        <w:tc>
          <w:tcPr>
            <w:tcW w:w="913" w:type="dxa"/>
            <w:vAlign w:val="center"/>
          </w:tcPr>
          <w:p>
            <w:pPr>
              <w:widowControl w:val="0"/>
              <w:jc w:val="center"/>
              <w:rPr>
                <w:rFonts w:ascii="Times New Roman" w:hAnsi="Times New Roman"/>
                <w:sz w:val="21"/>
                <w:szCs w:val="24"/>
              </w:rPr>
            </w:pPr>
            <w:r>
              <w:rPr>
                <w:rFonts w:ascii="Times New Roman" w:hAnsi="Times New Roman"/>
              </w:rPr>
              <w:t>符号</w:t>
            </w:r>
          </w:p>
        </w:tc>
        <w:tc>
          <w:tcPr>
            <w:tcW w:w="1637" w:type="dxa"/>
            <w:vAlign w:val="center"/>
          </w:tcPr>
          <w:p>
            <w:pPr>
              <w:widowControl w:val="0"/>
              <w:jc w:val="center"/>
              <w:rPr>
                <w:rFonts w:ascii="Times New Roman" w:hAnsi="Times New Roman"/>
                <w:sz w:val="21"/>
                <w:szCs w:val="24"/>
              </w:rPr>
            </w:pPr>
            <w:r>
              <w:rPr>
                <w:rFonts w:ascii="Times New Roman" w:hAnsi="Times New Roman"/>
              </w:rPr>
              <w:t>直径</w:t>
            </w:r>
            <w:r>
              <w:rPr>
                <w:rFonts w:ascii="Times New Roman" w:hAnsi="Times New Roman"/>
                <w:i/>
                <w:iCs/>
              </w:rPr>
              <w:t>d</w:t>
            </w:r>
            <w:r>
              <w:rPr>
                <w:rFonts w:ascii="Times New Roman" w:hAnsi="Times New Roman"/>
              </w:rPr>
              <w:t>（mm）</w:t>
            </w:r>
          </w:p>
        </w:tc>
        <w:tc>
          <w:tcPr>
            <w:tcW w:w="1863" w:type="dxa"/>
            <w:vAlign w:val="center"/>
          </w:tcPr>
          <w:p>
            <w:pPr>
              <w:widowControl w:val="0"/>
              <w:jc w:val="center"/>
              <w:rPr>
                <w:rFonts w:ascii="Times New Roman" w:hAnsi="Times New Roman"/>
              </w:rPr>
            </w:pPr>
            <w:r>
              <w:rPr>
                <w:rFonts w:ascii="Times New Roman" w:hAnsi="Times New Roman"/>
              </w:rPr>
              <w:t>抗拉强度标准值</w:t>
            </w:r>
            <w:r>
              <w:rPr>
                <w:rFonts w:ascii="Times New Roman" w:hAnsi="Times New Roman"/>
                <w:i/>
                <w:iCs/>
              </w:rPr>
              <w:t>f</w:t>
            </w:r>
            <w:r>
              <w:rPr>
                <w:rFonts w:ascii="Times New Roman" w:hAnsi="Times New Roman"/>
                <w:vertAlign w:val="subscript"/>
              </w:rPr>
              <w:t>pyk</w:t>
            </w:r>
            <w:r>
              <w:rPr>
                <w:rFonts w:ascii="Times New Roman" w:hAnsi="Times New Roman"/>
              </w:rPr>
              <w:t>（N/mm²）</w:t>
            </w:r>
          </w:p>
        </w:tc>
        <w:tc>
          <w:tcPr>
            <w:tcW w:w="1875" w:type="dxa"/>
            <w:vAlign w:val="center"/>
          </w:tcPr>
          <w:p>
            <w:pPr>
              <w:widowControl w:val="0"/>
              <w:jc w:val="center"/>
              <w:rPr>
                <w:rFonts w:ascii="Times New Roman" w:hAnsi="Times New Roman"/>
              </w:rPr>
            </w:pPr>
            <w:r>
              <w:rPr>
                <w:rFonts w:ascii="Times New Roman" w:hAnsi="Times New Roman"/>
              </w:rPr>
              <w:t>抗拉强度设计值</w:t>
            </w:r>
            <w:r>
              <w:rPr>
                <w:rFonts w:ascii="Times New Roman" w:hAnsi="Times New Roman"/>
                <w:i/>
                <w:iCs/>
              </w:rPr>
              <w:t>f</w:t>
            </w:r>
            <w:r>
              <w:rPr>
                <w:rFonts w:ascii="Times New Roman" w:hAnsi="Times New Roman"/>
                <w:vertAlign w:val="subscript"/>
              </w:rPr>
              <w:t>py</w:t>
            </w:r>
            <w:r>
              <w:rPr>
                <w:rFonts w:ascii="Times New Roman" w:hAnsi="Times New Roman"/>
              </w:rPr>
              <w:t>（N/mm²）</w:t>
            </w:r>
          </w:p>
        </w:tc>
        <w:tc>
          <w:tcPr>
            <w:tcW w:w="1236" w:type="dxa"/>
            <w:vAlign w:val="center"/>
          </w:tcPr>
          <w:p>
            <w:pPr>
              <w:widowControl w:val="0"/>
              <w:jc w:val="center"/>
              <w:rPr>
                <w:rFonts w:ascii="Times New Roman" w:hAnsi="Times New Roman"/>
              </w:rPr>
            </w:pPr>
            <w:r>
              <w:rPr>
                <w:rFonts w:ascii="Times New Roman" w:hAnsi="Times New Roman"/>
              </w:rPr>
              <w:t>弹性模量</w:t>
            </w:r>
            <w:r>
              <w:rPr>
                <w:rFonts w:ascii="Times New Roman" w:hAnsi="Times New Roman"/>
                <w:i/>
                <w:iCs/>
              </w:rPr>
              <w:t>E</w:t>
            </w:r>
            <w:r>
              <w:rPr>
                <w:rFonts w:ascii="Times New Roman" w:hAnsi="Times New Roman"/>
                <w:vertAlign w:val="subscript"/>
              </w:rPr>
              <w:t>s</w:t>
            </w:r>
            <w:r>
              <w:rPr>
                <w:rFonts w:ascii="Times New Roman" w:hAnsi="Times New Roman"/>
              </w:rPr>
              <w:t>（N/mm²）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Merge w:val="restart"/>
            <w:vAlign w:val="center"/>
          </w:tcPr>
          <w:p>
            <w:pPr>
              <w:widowControl w:val="0"/>
              <w:jc w:val="center"/>
              <w:rPr>
                <w:rFonts w:ascii="Times New Roman" w:hAnsi="Times New Roman"/>
              </w:rPr>
            </w:pPr>
            <w:r>
              <w:rPr>
                <w:rFonts w:ascii="Times New Roman" w:hAnsi="Times New Roman"/>
              </w:rPr>
              <w:t>精轧螺纹钢筋</w:t>
            </w:r>
          </w:p>
        </w:tc>
        <w:tc>
          <w:tcPr>
            <w:tcW w:w="913" w:type="dxa"/>
            <w:vMerge w:val="restart"/>
            <w:vAlign w:val="center"/>
          </w:tcPr>
          <w:p>
            <w:pPr>
              <w:widowControl w:val="0"/>
              <w:jc w:val="center"/>
              <w:rPr>
                <w:rFonts w:ascii="Times New Roman" w:hAnsi="Times New Roman"/>
              </w:rPr>
            </w:pPr>
            <w:r>
              <w:rPr>
                <w:rFonts w:hint="eastAsia" w:ascii="SJQY" w:hAnsi="SJQY" w:eastAsia="SJQY" w:cs="SJQY"/>
                <w:i/>
                <w:iCs/>
              </w:rPr>
              <w:t>A</w:t>
            </w:r>
            <w:r>
              <w:rPr>
                <w:rFonts w:ascii="Times New Roman" w:hAnsi="Times New Roman"/>
                <w:vertAlign w:val="superscript"/>
              </w:rPr>
              <w:t>T</w:t>
            </w:r>
          </w:p>
        </w:tc>
        <w:tc>
          <w:tcPr>
            <w:tcW w:w="1637" w:type="dxa"/>
            <w:vMerge w:val="restart"/>
            <w:vAlign w:val="center"/>
          </w:tcPr>
          <w:p>
            <w:pPr>
              <w:widowControl w:val="0"/>
              <w:jc w:val="center"/>
              <w:rPr>
                <w:rFonts w:ascii="Times New Roman" w:hAnsi="Times New Roman"/>
              </w:rPr>
            </w:pPr>
            <w:r>
              <w:rPr>
                <w:rFonts w:ascii="Times New Roman" w:hAnsi="Times New Roman"/>
              </w:rPr>
              <w:t>18、25、32、</w:t>
            </w:r>
          </w:p>
          <w:p>
            <w:pPr>
              <w:widowControl w:val="0"/>
              <w:jc w:val="center"/>
              <w:rPr>
                <w:rFonts w:ascii="Times New Roman" w:hAnsi="Times New Roman"/>
              </w:rPr>
            </w:pPr>
            <w:r>
              <w:rPr>
                <w:rFonts w:ascii="Times New Roman" w:hAnsi="Times New Roman"/>
              </w:rPr>
              <w:t>40、50</w:t>
            </w:r>
          </w:p>
        </w:tc>
        <w:tc>
          <w:tcPr>
            <w:tcW w:w="1863" w:type="dxa"/>
            <w:vAlign w:val="center"/>
          </w:tcPr>
          <w:p>
            <w:pPr>
              <w:widowControl w:val="0"/>
              <w:jc w:val="center"/>
              <w:rPr>
                <w:rFonts w:ascii="Times New Roman" w:hAnsi="Times New Roman"/>
              </w:rPr>
            </w:pPr>
            <w:r>
              <w:rPr>
                <w:rFonts w:ascii="Times New Roman" w:hAnsi="Times New Roman"/>
              </w:rPr>
              <w:t>785</w:t>
            </w:r>
          </w:p>
        </w:tc>
        <w:tc>
          <w:tcPr>
            <w:tcW w:w="1875" w:type="dxa"/>
            <w:vAlign w:val="center"/>
          </w:tcPr>
          <w:p>
            <w:pPr>
              <w:widowControl w:val="0"/>
              <w:jc w:val="center"/>
              <w:rPr>
                <w:rFonts w:ascii="Times New Roman" w:hAnsi="Times New Roman"/>
              </w:rPr>
            </w:pPr>
            <w:r>
              <w:rPr>
                <w:rFonts w:ascii="Times New Roman" w:hAnsi="Times New Roman"/>
              </w:rPr>
              <w:t>650</w:t>
            </w:r>
          </w:p>
        </w:tc>
        <w:tc>
          <w:tcPr>
            <w:tcW w:w="1236" w:type="dxa"/>
            <w:vMerge w:val="restart"/>
            <w:vAlign w:val="center"/>
          </w:tcPr>
          <w:p>
            <w:pPr>
              <w:widowControl w:val="0"/>
              <w:jc w:val="center"/>
              <w:rPr>
                <w:rFonts w:ascii="Times New Roman" w:hAnsi="Times New Roman"/>
              </w:rPr>
            </w:pPr>
            <w:r>
              <w:rPr>
                <w:rFonts w:ascii="Times New Roman" w:hAnsi="Times New Roman"/>
              </w:rPr>
              <w:t>2.0×10</w:t>
            </w:r>
            <w:r>
              <w:rPr>
                <w:rFonts w:ascii="Times New Roman" w:hAnsi="Times New Roman"/>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Merge w:val="continue"/>
            <w:vAlign w:val="center"/>
          </w:tcPr>
          <w:p>
            <w:pPr>
              <w:widowControl w:val="0"/>
              <w:jc w:val="center"/>
              <w:rPr>
                <w:rFonts w:ascii="Times New Roman" w:hAnsi="Times New Roman"/>
              </w:rPr>
            </w:pPr>
          </w:p>
        </w:tc>
        <w:tc>
          <w:tcPr>
            <w:tcW w:w="913" w:type="dxa"/>
            <w:vMerge w:val="continue"/>
            <w:vAlign w:val="center"/>
          </w:tcPr>
          <w:p>
            <w:pPr>
              <w:widowControl w:val="0"/>
              <w:jc w:val="center"/>
              <w:rPr>
                <w:rFonts w:ascii="Times New Roman" w:hAnsi="Times New Roman"/>
              </w:rPr>
            </w:pPr>
          </w:p>
        </w:tc>
        <w:tc>
          <w:tcPr>
            <w:tcW w:w="1637" w:type="dxa"/>
            <w:vMerge w:val="continue"/>
            <w:vAlign w:val="center"/>
          </w:tcPr>
          <w:p>
            <w:pPr>
              <w:widowControl w:val="0"/>
              <w:jc w:val="center"/>
              <w:rPr>
                <w:rFonts w:ascii="Times New Roman" w:hAnsi="Times New Roman"/>
              </w:rPr>
            </w:pPr>
          </w:p>
        </w:tc>
        <w:tc>
          <w:tcPr>
            <w:tcW w:w="1863" w:type="dxa"/>
            <w:vAlign w:val="center"/>
          </w:tcPr>
          <w:p>
            <w:pPr>
              <w:widowControl w:val="0"/>
              <w:jc w:val="center"/>
              <w:rPr>
                <w:rFonts w:ascii="Times New Roman" w:hAnsi="Times New Roman"/>
              </w:rPr>
            </w:pPr>
            <w:r>
              <w:rPr>
                <w:rFonts w:ascii="Times New Roman" w:hAnsi="Times New Roman"/>
              </w:rPr>
              <w:t>930</w:t>
            </w:r>
          </w:p>
        </w:tc>
        <w:tc>
          <w:tcPr>
            <w:tcW w:w="1875" w:type="dxa"/>
            <w:vAlign w:val="center"/>
          </w:tcPr>
          <w:p>
            <w:pPr>
              <w:widowControl w:val="0"/>
              <w:jc w:val="center"/>
              <w:rPr>
                <w:rFonts w:ascii="Times New Roman" w:hAnsi="Times New Roman"/>
              </w:rPr>
            </w:pPr>
            <w:r>
              <w:rPr>
                <w:rFonts w:ascii="Times New Roman" w:hAnsi="Times New Roman"/>
              </w:rPr>
              <w:t>770</w:t>
            </w:r>
          </w:p>
        </w:tc>
        <w:tc>
          <w:tcPr>
            <w:tcW w:w="1236" w:type="dxa"/>
            <w:vMerge w:val="continue"/>
          </w:tcPr>
          <w:p>
            <w:pPr>
              <w:widowControl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vMerge w:val="continue"/>
            <w:vAlign w:val="center"/>
          </w:tcPr>
          <w:p>
            <w:pPr>
              <w:widowControl w:val="0"/>
              <w:jc w:val="center"/>
              <w:rPr>
                <w:rFonts w:ascii="Times New Roman" w:hAnsi="Times New Roman"/>
              </w:rPr>
            </w:pPr>
          </w:p>
        </w:tc>
        <w:tc>
          <w:tcPr>
            <w:tcW w:w="913" w:type="dxa"/>
            <w:vMerge w:val="continue"/>
            <w:vAlign w:val="center"/>
          </w:tcPr>
          <w:p>
            <w:pPr>
              <w:widowControl w:val="0"/>
              <w:jc w:val="center"/>
              <w:rPr>
                <w:rFonts w:ascii="Times New Roman" w:hAnsi="Times New Roman"/>
              </w:rPr>
            </w:pPr>
          </w:p>
        </w:tc>
        <w:tc>
          <w:tcPr>
            <w:tcW w:w="1637" w:type="dxa"/>
            <w:vMerge w:val="continue"/>
            <w:vAlign w:val="center"/>
          </w:tcPr>
          <w:p>
            <w:pPr>
              <w:widowControl w:val="0"/>
              <w:jc w:val="center"/>
              <w:rPr>
                <w:rFonts w:ascii="Times New Roman" w:hAnsi="Times New Roman"/>
              </w:rPr>
            </w:pPr>
          </w:p>
        </w:tc>
        <w:tc>
          <w:tcPr>
            <w:tcW w:w="1863" w:type="dxa"/>
            <w:vAlign w:val="center"/>
          </w:tcPr>
          <w:p>
            <w:pPr>
              <w:widowControl w:val="0"/>
              <w:jc w:val="center"/>
              <w:rPr>
                <w:rFonts w:ascii="Times New Roman" w:hAnsi="Times New Roman"/>
              </w:rPr>
            </w:pPr>
            <w:r>
              <w:rPr>
                <w:rFonts w:ascii="Times New Roman" w:hAnsi="Times New Roman"/>
              </w:rPr>
              <w:t>1080</w:t>
            </w:r>
          </w:p>
        </w:tc>
        <w:tc>
          <w:tcPr>
            <w:tcW w:w="1875" w:type="dxa"/>
            <w:vAlign w:val="center"/>
          </w:tcPr>
          <w:p>
            <w:pPr>
              <w:widowControl w:val="0"/>
              <w:jc w:val="center"/>
              <w:rPr>
                <w:rFonts w:ascii="Times New Roman" w:hAnsi="Times New Roman"/>
              </w:rPr>
            </w:pPr>
            <w:r>
              <w:rPr>
                <w:rFonts w:ascii="Times New Roman" w:hAnsi="Times New Roman"/>
              </w:rPr>
              <w:t>900</w:t>
            </w:r>
          </w:p>
        </w:tc>
        <w:tc>
          <w:tcPr>
            <w:tcW w:w="1236" w:type="dxa"/>
            <w:vMerge w:val="continue"/>
          </w:tcPr>
          <w:p>
            <w:pPr>
              <w:widowControl w:val="0"/>
              <w:rPr>
                <w:rFonts w:ascii="Times New Roman" w:hAnsi="Times New Roman"/>
              </w:rPr>
            </w:pPr>
          </w:p>
        </w:tc>
      </w:tr>
    </w:tbl>
    <w:p>
      <w:pPr>
        <w:widowControl w:val="0"/>
        <w:spacing w:before="120"/>
        <w:rPr>
          <w:rFonts w:ascii="Times New Roman" w:hAnsi="Times New Roman"/>
          <w:szCs w:val="24"/>
        </w:rPr>
      </w:pPr>
      <w:r>
        <w:rPr>
          <w:rFonts w:hint="eastAsia" w:ascii="Times New Roman" w:hAnsi="Times New Roman"/>
          <w:b/>
          <w:bCs/>
          <w:szCs w:val="24"/>
          <w:lang w:val="en-US" w:eastAsia="zh-CN"/>
        </w:rPr>
        <w:t>L</w:t>
      </w:r>
      <w:r>
        <w:rPr>
          <w:rFonts w:ascii="Times New Roman" w:hAnsi="Times New Roman"/>
          <w:b/>
          <w:bCs/>
          <w:szCs w:val="24"/>
        </w:rPr>
        <w:t>.0.3</w:t>
      </w:r>
      <w:r>
        <w:rPr>
          <w:rFonts w:ascii="Times New Roman" w:hAnsi="Times New Roman"/>
          <w:szCs w:val="24"/>
        </w:rPr>
        <w:t xml:space="preserve">   无粘结钢绞线主要技术参数应符合表</w:t>
      </w:r>
      <w:r>
        <w:rPr>
          <w:rFonts w:hint="eastAsia" w:ascii="Times New Roman" w:hAnsi="Times New Roman"/>
          <w:szCs w:val="24"/>
          <w:lang w:val="en-US" w:eastAsia="zh-CN"/>
        </w:rPr>
        <w:t>L</w:t>
      </w:r>
      <w:r>
        <w:rPr>
          <w:rFonts w:ascii="Times New Roman" w:hAnsi="Times New Roman"/>
          <w:szCs w:val="24"/>
        </w:rPr>
        <w:t>.0.3的规定：</w:t>
      </w:r>
    </w:p>
    <w:p>
      <w:pPr>
        <w:widowControl w:val="0"/>
        <w:spacing w:before="120"/>
        <w:jc w:val="center"/>
        <w:rPr>
          <w:rFonts w:ascii="Times New Roman" w:hAnsi="Times New Roman"/>
          <w:b/>
          <w:bCs/>
        </w:rPr>
      </w:pPr>
      <w:r>
        <w:rPr>
          <w:rFonts w:ascii="Times New Roman" w:hAnsi="Times New Roman"/>
          <w:b/>
          <w:bCs/>
        </w:rPr>
        <w:t>表</w:t>
      </w:r>
      <w:r>
        <w:rPr>
          <w:rFonts w:hint="eastAsia" w:ascii="Times New Roman" w:hAnsi="Times New Roman"/>
          <w:b/>
          <w:bCs/>
          <w:lang w:val="en-US" w:eastAsia="zh-CN"/>
        </w:rPr>
        <w:t>L</w:t>
      </w:r>
      <w:r>
        <w:rPr>
          <w:rFonts w:ascii="Times New Roman" w:hAnsi="Times New Roman"/>
          <w:b/>
          <w:bCs/>
        </w:rPr>
        <w:t>.0.3  无粘结钢绞线主要技术参数</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566"/>
        <w:gridCol w:w="1712"/>
        <w:gridCol w:w="1188"/>
        <w:gridCol w:w="1312"/>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val="0"/>
              <w:jc w:val="center"/>
              <w:rPr>
                <w:rFonts w:ascii="Times New Roman" w:hAnsi="Times New Roman"/>
              </w:rPr>
            </w:pPr>
            <w:r>
              <w:rPr>
                <w:rFonts w:ascii="Times New Roman" w:hAnsi="Times New Roman"/>
              </w:rPr>
              <w:t>公称直径（mm）</w:t>
            </w:r>
          </w:p>
        </w:tc>
        <w:tc>
          <w:tcPr>
            <w:tcW w:w="1566" w:type="dxa"/>
            <w:vAlign w:val="center"/>
          </w:tcPr>
          <w:p>
            <w:pPr>
              <w:widowControl w:val="0"/>
              <w:jc w:val="center"/>
              <w:rPr>
                <w:rFonts w:ascii="Times New Roman" w:hAnsi="Times New Roman"/>
              </w:rPr>
            </w:pPr>
            <w:r>
              <w:rPr>
                <w:rFonts w:ascii="Times New Roman" w:hAnsi="Times New Roman"/>
              </w:rPr>
              <w:t>公称横截面积（mm²）</w:t>
            </w:r>
          </w:p>
        </w:tc>
        <w:tc>
          <w:tcPr>
            <w:tcW w:w="1712" w:type="dxa"/>
            <w:vAlign w:val="center"/>
          </w:tcPr>
          <w:p>
            <w:pPr>
              <w:widowControl w:val="0"/>
              <w:jc w:val="center"/>
              <w:rPr>
                <w:rFonts w:ascii="Times New Roman" w:hAnsi="Times New Roman"/>
              </w:rPr>
            </w:pPr>
            <w:r>
              <w:rPr>
                <w:rFonts w:ascii="Times New Roman" w:hAnsi="Times New Roman"/>
              </w:rPr>
              <w:t>防腐润滑脂含量（g/m）</w:t>
            </w:r>
          </w:p>
        </w:tc>
        <w:tc>
          <w:tcPr>
            <w:tcW w:w="1188" w:type="dxa"/>
            <w:vAlign w:val="center"/>
          </w:tcPr>
          <w:p>
            <w:pPr>
              <w:widowControl w:val="0"/>
              <w:jc w:val="center"/>
              <w:rPr>
                <w:rFonts w:ascii="Times New Roman" w:hAnsi="Times New Roman"/>
              </w:rPr>
            </w:pPr>
            <w:r>
              <w:rPr>
                <w:rFonts w:ascii="Times New Roman" w:hAnsi="Times New Roman"/>
              </w:rPr>
              <w:t>护套厚度（mm）</w:t>
            </w:r>
          </w:p>
        </w:tc>
        <w:tc>
          <w:tcPr>
            <w:tcW w:w="1312" w:type="dxa"/>
            <w:vAlign w:val="center"/>
          </w:tcPr>
          <w:p>
            <w:pPr>
              <w:widowControl w:val="0"/>
              <w:jc w:val="center"/>
              <w:rPr>
                <w:rFonts w:ascii="Times New Roman" w:hAnsi="Times New Roman"/>
              </w:rPr>
            </w:pPr>
            <w:r>
              <w:rPr>
                <w:rFonts w:ascii="Times New Roman" w:hAnsi="Times New Roman"/>
                <w:i/>
                <w:iCs/>
              </w:rPr>
              <w:t>κ</w:t>
            </w:r>
          </w:p>
        </w:tc>
        <w:tc>
          <w:tcPr>
            <w:tcW w:w="1324" w:type="dxa"/>
            <w:vAlign w:val="center"/>
          </w:tcPr>
          <w:p>
            <w:pPr>
              <w:widowControl w:val="0"/>
              <w:jc w:val="center"/>
              <w:rPr>
                <w:rFonts w:ascii="Times New Roman" w:hAnsi="Times New Roman"/>
              </w:rPr>
            </w:pPr>
            <w:r>
              <w:rPr>
                <w:rFonts w:ascii="Times New Roman" w:hAnsi="Times New Roman"/>
                <w:i/>
                <w:iCs/>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val="0"/>
              <w:jc w:val="center"/>
              <w:rPr>
                <w:rFonts w:ascii="Times New Roman" w:hAnsi="Times New Roman"/>
              </w:rPr>
            </w:pPr>
            <w:r>
              <w:rPr>
                <w:rFonts w:ascii="Times New Roman" w:hAnsi="Times New Roman"/>
              </w:rPr>
              <w:t>9.5</w:t>
            </w:r>
          </w:p>
        </w:tc>
        <w:tc>
          <w:tcPr>
            <w:tcW w:w="1566" w:type="dxa"/>
            <w:vAlign w:val="center"/>
          </w:tcPr>
          <w:p>
            <w:pPr>
              <w:widowControl w:val="0"/>
              <w:jc w:val="center"/>
              <w:rPr>
                <w:rFonts w:ascii="Times New Roman" w:hAnsi="Times New Roman"/>
              </w:rPr>
            </w:pPr>
            <w:r>
              <w:rPr>
                <w:rFonts w:ascii="Times New Roman" w:hAnsi="Times New Roman"/>
              </w:rPr>
              <w:t>54.8</w:t>
            </w:r>
          </w:p>
        </w:tc>
        <w:tc>
          <w:tcPr>
            <w:tcW w:w="1712" w:type="dxa"/>
            <w:vAlign w:val="center"/>
          </w:tcPr>
          <w:p>
            <w:pPr>
              <w:widowControl w:val="0"/>
              <w:jc w:val="center"/>
              <w:rPr>
                <w:rFonts w:ascii="Times New Roman" w:hAnsi="Times New Roman"/>
              </w:rPr>
            </w:pPr>
            <w:r>
              <w:rPr>
                <w:rFonts w:ascii="Times New Roman" w:hAnsi="Times New Roman"/>
              </w:rPr>
              <w:t>≥32</w:t>
            </w:r>
          </w:p>
        </w:tc>
        <w:tc>
          <w:tcPr>
            <w:tcW w:w="1188" w:type="dxa"/>
            <w:vMerge w:val="restart"/>
            <w:vAlign w:val="center"/>
          </w:tcPr>
          <w:p>
            <w:pPr>
              <w:widowControl w:val="0"/>
              <w:jc w:val="center"/>
              <w:rPr>
                <w:rFonts w:ascii="Times New Roman" w:hAnsi="Times New Roman"/>
              </w:rPr>
            </w:pPr>
            <w:r>
              <w:rPr>
                <w:rFonts w:ascii="Times New Roman" w:hAnsi="Times New Roman"/>
              </w:rPr>
              <w:t>≥1.0</w:t>
            </w:r>
          </w:p>
        </w:tc>
        <w:tc>
          <w:tcPr>
            <w:tcW w:w="1312" w:type="dxa"/>
            <w:vMerge w:val="restart"/>
            <w:vAlign w:val="center"/>
          </w:tcPr>
          <w:p>
            <w:pPr>
              <w:widowControl w:val="0"/>
              <w:jc w:val="center"/>
              <w:rPr>
                <w:rFonts w:ascii="Times New Roman" w:hAnsi="Times New Roman"/>
              </w:rPr>
            </w:pPr>
            <w:r>
              <w:rPr>
                <w:rFonts w:ascii="Times New Roman" w:hAnsi="Times New Roman"/>
              </w:rPr>
              <w:t>≤0.004</w:t>
            </w:r>
          </w:p>
        </w:tc>
        <w:tc>
          <w:tcPr>
            <w:tcW w:w="1324" w:type="dxa"/>
            <w:vMerge w:val="restart"/>
            <w:vAlign w:val="center"/>
          </w:tcPr>
          <w:p>
            <w:pPr>
              <w:widowControl w:val="0"/>
              <w:jc w:val="center"/>
              <w:rPr>
                <w:rFonts w:ascii="Times New Roman" w:hAnsi="Times New Roman"/>
              </w:rPr>
            </w:pPr>
            <w:r>
              <w:rPr>
                <w:rFonts w:ascii="Times New Roman" w:hAnsi="Times New Roma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val="0"/>
              <w:jc w:val="center"/>
              <w:rPr>
                <w:rFonts w:ascii="Times New Roman" w:hAnsi="Times New Roman"/>
              </w:rPr>
            </w:pPr>
            <w:r>
              <w:rPr>
                <w:rFonts w:ascii="Times New Roman" w:hAnsi="Times New Roman"/>
              </w:rPr>
              <w:t>12.7</w:t>
            </w:r>
          </w:p>
        </w:tc>
        <w:tc>
          <w:tcPr>
            <w:tcW w:w="1566" w:type="dxa"/>
            <w:vAlign w:val="center"/>
          </w:tcPr>
          <w:p>
            <w:pPr>
              <w:widowControl w:val="0"/>
              <w:jc w:val="center"/>
              <w:rPr>
                <w:rFonts w:ascii="Times New Roman" w:hAnsi="Times New Roman"/>
              </w:rPr>
            </w:pPr>
            <w:r>
              <w:rPr>
                <w:rFonts w:ascii="Times New Roman" w:hAnsi="Times New Roman"/>
              </w:rPr>
              <w:t>98.7</w:t>
            </w:r>
          </w:p>
        </w:tc>
        <w:tc>
          <w:tcPr>
            <w:tcW w:w="1712" w:type="dxa"/>
            <w:vAlign w:val="center"/>
          </w:tcPr>
          <w:p>
            <w:pPr>
              <w:widowControl w:val="0"/>
              <w:jc w:val="center"/>
              <w:rPr>
                <w:rFonts w:ascii="Times New Roman" w:hAnsi="Times New Roman"/>
              </w:rPr>
            </w:pPr>
            <w:r>
              <w:rPr>
                <w:rFonts w:ascii="Times New Roman" w:hAnsi="Times New Roman"/>
              </w:rPr>
              <w:t>≥43</w:t>
            </w:r>
          </w:p>
        </w:tc>
        <w:tc>
          <w:tcPr>
            <w:tcW w:w="1188" w:type="dxa"/>
            <w:vMerge w:val="continue"/>
          </w:tcPr>
          <w:p>
            <w:pPr>
              <w:widowControl w:val="0"/>
              <w:rPr>
                <w:rFonts w:ascii="Times New Roman" w:hAnsi="Times New Roman"/>
              </w:rPr>
            </w:pPr>
          </w:p>
        </w:tc>
        <w:tc>
          <w:tcPr>
            <w:tcW w:w="1312" w:type="dxa"/>
            <w:vMerge w:val="continue"/>
          </w:tcPr>
          <w:p>
            <w:pPr>
              <w:widowControl w:val="0"/>
              <w:rPr>
                <w:rFonts w:ascii="Times New Roman" w:hAnsi="Times New Roman"/>
              </w:rPr>
            </w:pPr>
          </w:p>
        </w:tc>
        <w:tc>
          <w:tcPr>
            <w:tcW w:w="1324" w:type="dxa"/>
            <w:vMerge w:val="continue"/>
          </w:tcPr>
          <w:p>
            <w:pPr>
              <w:widowControl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widowControl w:val="0"/>
              <w:jc w:val="center"/>
              <w:rPr>
                <w:rFonts w:ascii="Times New Roman" w:hAnsi="Times New Roman"/>
              </w:rPr>
            </w:pPr>
            <w:r>
              <w:rPr>
                <w:rFonts w:ascii="Times New Roman" w:hAnsi="Times New Roman"/>
              </w:rPr>
              <w:t>15.2</w:t>
            </w:r>
          </w:p>
        </w:tc>
        <w:tc>
          <w:tcPr>
            <w:tcW w:w="1566" w:type="dxa"/>
            <w:vAlign w:val="center"/>
          </w:tcPr>
          <w:p>
            <w:pPr>
              <w:widowControl w:val="0"/>
              <w:jc w:val="center"/>
              <w:rPr>
                <w:rFonts w:ascii="Times New Roman" w:hAnsi="Times New Roman"/>
              </w:rPr>
            </w:pPr>
            <w:r>
              <w:rPr>
                <w:rFonts w:ascii="Times New Roman" w:hAnsi="Times New Roman"/>
              </w:rPr>
              <w:t>140.0</w:t>
            </w:r>
          </w:p>
        </w:tc>
        <w:tc>
          <w:tcPr>
            <w:tcW w:w="1712" w:type="dxa"/>
            <w:vAlign w:val="center"/>
          </w:tcPr>
          <w:p>
            <w:pPr>
              <w:widowControl w:val="0"/>
              <w:jc w:val="center"/>
              <w:rPr>
                <w:rFonts w:ascii="Times New Roman" w:hAnsi="Times New Roman"/>
              </w:rPr>
            </w:pPr>
            <w:r>
              <w:rPr>
                <w:rFonts w:ascii="Times New Roman" w:hAnsi="Times New Roman"/>
              </w:rPr>
              <w:t>≥50</w:t>
            </w:r>
          </w:p>
        </w:tc>
        <w:tc>
          <w:tcPr>
            <w:tcW w:w="1188" w:type="dxa"/>
            <w:vMerge w:val="continue"/>
          </w:tcPr>
          <w:p>
            <w:pPr>
              <w:widowControl w:val="0"/>
              <w:rPr>
                <w:rFonts w:ascii="Times New Roman" w:hAnsi="Times New Roman"/>
              </w:rPr>
            </w:pPr>
          </w:p>
        </w:tc>
        <w:tc>
          <w:tcPr>
            <w:tcW w:w="1312" w:type="dxa"/>
            <w:vMerge w:val="continue"/>
          </w:tcPr>
          <w:p>
            <w:pPr>
              <w:widowControl w:val="0"/>
              <w:rPr>
                <w:rFonts w:ascii="Times New Roman" w:hAnsi="Times New Roman"/>
              </w:rPr>
            </w:pPr>
          </w:p>
        </w:tc>
        <w:tc>
          <w:tcPr>
            <w:tcW w:w="1324" w:type="dxa"/>
            <w:vMerge w:val="continue"/>
          </w:tcPr>
          <w:p>
            <w:pPr>
              <w:widowControl w:val="0"/>
              <w:rPr>
                <w:rFonts w:ascii="Times New Roman" w:hAnsi="Times New Roman"/>
              </w:rPr>
            </w:pPr>
          </w:p>
        </w:tc>
      </w:tr>
    </w:tbl>
    <w:p>
      <w:pPr>
        <w:widowControl w:val="0"/>
        <w:spacing w:before="60"/>
        <w:rPr>
          <w:rFonts w:ascii="Times New Roman" w:hAnsi="Times New Roman"/>
        </w:rPr>
      </w:pPr>
      <w:r>
        <w:rPr>
          <w:rFonts w:ascii="Times New Roman" w:hAnsi="Times New Roman"/>
        </w:rPr>
        <w:t>注：</w:t>
      </w:r>
      <w:r>
        <w:rPr>
          <w:rFonts w:ascii="Times New Roman" w:hAnsi="Times New Roman"/>
          <w:i/>
          <w:iCs/>
        </w:rPr>
        <w:t>κ</w:t>
      </w:r>
      <w:r>
        <w:rPr>
          <w:rFonts w:ascii="Times New Roman" w:hAnsi="Times New Roman"/>
        </w:rPr>
        <w:t>为考虑无粘结钢绞线护套壁局部偏差对摩擦的影响系数；</w:t>
      </w:r>
    </w:p>
    <w:p>
      <w:pPr>
        <w:widowControl w:val="0"/>
        <w:ind w:firstLine="480" w:firstLineChars="200"/>
        <w:rPr>
          <w:rFonts w:ascii="Times New Roman" w:hAnsi="Times New Roman"/>
        </w:rPr>
      </w:pPr>
      <w:r>
        <w:rPr>
          <w:rFonts w:ascii="Times New Roman" w:hAnsi="Times New Roman"/>
          <w:i/>
          <w:iCs/>
        </w:rPr>
        <w:t>μ</w:t>
      </w:r>
      <w:r>
        <w:rPr>
          <w:rFonts w:ascii="Times New Roman" w:hAnsi="Times New Roman"/>
        </w:rPr>
        <w:t>为钢绞线与护套壁之间的摩擦系数。</w:t>
      </w:r>
    </w:p>
    <w:p>
      <w:pPr>
        <w:widowControl w:val="0"/>
        <w:spacing w:before="120"/>
        <w:rPr>
          <w:rFonts w:ascii="Times New Roman" w:hAnsi="Times New Roman"/>
          <w:szCs w:val="24"/>
        </w:rPr>
      </w:pPr>
      <w:r>
        <w:rPr>
          <w:rFonts w:hint="eastAsia" w:ascii="Times New Roman" w:hAnsi="Times New Roman"/>
          <w:b/>
          <w:bCs/>
          <w:szCs w:val="24"/>
          <w:lang w:val="en-US" w:eastAsia="zh-CN"/>
        </w:rPr>
        <w:t>L</w:t>
      </w:r>
      <w:r>
        <w:rPr>
          <w:rFonts w:ascii="Times New Roman" w:hAnsi="Times New Roman"/>
          <w:b/>
          <w:bCs/>
          <w:szCs w:val="24"/>
        </w:rPr>
        <w:t>.0.4</w:t>
      </w:r>
      <w:r>
        <w:rPr>
          <w:rFonts w:ascii="Times New Roman" w:hAnsi="Times New Roman"/>
          <w:szCs w:val="24"/>
        </w:rPr>
        <w:t xml:space="preserve">   普通螺纹钢筋的抗拉强度标准值、设计值应符合表</w:t>
      </w:r>
      <w:r>
        <w:rPr>
          <w:rFonts w:hint="eastAsia" w:ascii="Times New Roman" w:hAnsi="Times New Roman"/>
          <w:szCs w:val="24"/>
          <w:lang w:val="en-US" w:eastAsia="zh-CN"/>
        </w:rPr>
        <w:t>L</w:t>
      </w:r>
      <w:r>
        <w:rPr>
          <w:rFonts w:ascii="Times New Roman" w:hAnsi="Times New Roman"/>
          <w:szCs w:val="24"/>
        </w:rPr>
        <w:t>.0.4的规定：</w:t>
      </w:r>
    </w:p>
    <w:p>
      <w:pPr>
        <w:widowControl w:val="0"/>
        <w:spacing w:before="120"/>
        <w:jc w:val="center"/>
        <w:rPr>
          <w:rFonts w:ascii="Times New Roman" w:hAnsi="Times New Roman"/>
        </w:rPr>
      </w:pPr>
      <w:r>
        <w:rPr>
          <w:rFonts w:ascii="Times New Roman" w:hAnsi="Times New Roman"/>
          <w:b/>
          <w:bCs/>
        </w:rPr>
        <w:t>表</w:t>
      </w:r>
      <w:r>
        <w:rPr>
          <w:rFonts w:hint="eastAsia" w:ascii="Times New Roman" w:hAnsi="Times New Roman"/>
          <w:b/>
          <w:bCs/>
          <w:lang w:val="en-US" w:eastAsia="zh-CN"/>
        </w:rPr>
        <w:t>L</w:t>
      </w:r>
      <w:r>
        <w:rPr>
          <w:rFonts w:ascii="Times New Roman" w:hAnsi="Times New Roman"/>
          <w:b/>
          <w:bCs/>
        </w:rPr>
        <w:t>.0.4  普通螺纹钢筋的抗拉强度标准值、设计值</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widowControl w:val="0"/>
              <w:jc w:val="center"/>
              <w:rPr>
                <w:rFonts w:ascii="Times New Roman" w:hAnsi="Times New Roman"/>
              </w:rPr>
            </w:pPr>
            <w:r>
              <w:rPr>
                <w:rFonts w:ascii="Times New Roman" w:hAnsi="Times New Roman"/>
              </w:rPr>
              <w:t>牌号</w:t>
            </w:r>
          </w:p>
        </w:tc>
        <w:tc>
          <w:tcPr>
            <w:tcW w:w="1704" w:type="dxa"/>
            <w:vAlign w:val="center"/>
          </w:tcPr>
          <w:p>
            <w:pPr>
              <w:widowControl w:val="0"/>
              <w:jc w:val="center"/>
              <w:rPr>
                <w:rFonts w:ascii="Times New Roman" w:hAnsi="Times New Roman"/>
              </w:rPr>
            </w:pPr>
            <w:r>
              <w:rPr>
                <w:rFonts w:ascii="Times New Roman" w:hAnsi="Times New Roman"/>
              </w:rPr>
              <w:t>直径</w:t>
            </w:r>
            <w:r>
              <w:rPr>
                <w:rFonts w:ascii="Times New Roman" w:hAnsi="Times New Roman"/>
                <w:i/>
                <w:iCs/>
              </w:rPr>
              <w:t>d</w:t>
            </w:r>
            <w:r>
              <w:rPr>
                <w:rFonts w:ascii="Times New Roman" w:hAnsi="Times New Roman"/>
              </w:rPr>
              <w:t>（mm）</w:t>
            </w:r>
          </w:p>
        </w:tc>
        <w:tc>
          <w:tcPr>
            <w:tcW w:w="1704" w:type="dxa"/>
            <w:vAlign w:val="center"/>
          </w:tcPr>
          <w:p>
            <w:pPr>
              <w:widowControl w:val="0"/>
              <w:jc w:val="center"/>
              <w:rPr>
                <w:rFonts w:ascii="Times New Roman" w:hAnsi="Times New Roman"/>
              </w:rPr>
            </w:pPr>
            <w:r>
              <w:rPr>
                <w:rFonts w:ascii="Times New Roman" w:hAnsi="Times New Roman"/>
              </w:rPr>
              <w:t>抗拉强度标准值</w:t>
            </w:r>
            <w:r>
              <w:rPr>
                <w:rFonts w:ascii="Times New Roman" w:hAnsi="Times New Roman"/>
                <w:i/>
                <w:iCs/>
              </w:rPr>
              <w:t>f</w:t>
            </w:r>
            <w:r>
              <w:rPr>
                <w:rFonts w:ascii="Times New Roman" w:hAnsi="Times New Roman"/>
                <w:vertAlign w:val="subscript"/>
              </w:rPr>
              <w:t>yk</w:t>
            </w:r>
            <w:r>
              <w:rPr>
                <w:rFonts w:ascii="Times New Roman" w:hAnsi="Times New Roman"/>
              </w:rPr>
              <w:t>（N/mm²）</w:t>
            </w:r>
          </w:p>
        </w:tc>
        <w:tc>
          <w:tcPr>
            <w:tcW w:w="1705" w:type="dxa"/>
            <w:vAlign w:val="center"/>
          </w:tcPr>
          <w:p>
            <w:pPr>
              <w:widowControl w:val="0"/>
              <w:jc w:val="center"/>
              <w:rPr>
                <w:rFonts w:ascii="Times New Roman" w:hAnsi="Times New Roman"/>
              </w:rPr>
            </w:pPr>
            <w:r>
              <w:rPr>
                <w:rFonts w:ascii="Times New Roman" w:hAnsi="Times New Roman"/>
              </w:rPr>
              <w:t>抗拉强度设计值</w:t>
            </w:r>
            <w:r>
              <w:rPr>
                <w:rFonts w:ascii="Times New Roman" w:hAnsi="Times New Roman"/>
                <w:i/>
                <w:iCs/>
              </w:rPr>
              <w:t>f</w:t>
            </w:r>
            <w:r>
              <w:rPr>
                <w:rFonts w:ascii="Times New Roman" w:hAnsi="Times New Roman"/>
                <w:vertAlign w:val="subscript"/>
              </w:rPr>
              <w:t>y</w:t>
            </w:r>
            <w:r>
              <w:rPr>
                <w:rFonts w:ascii="Times New Roman" w:hAnsi="Times New Roman"/>
              </w:rPr>
              <w:t>（N/mm²）</w:t>
            </w:r>
          </w:p>
        </w:tc>
        <w:tc>
          <w:tcPr>
            <w:tcW w:w="1705" w:type="dxa"/>
            <w:vAlign w:val="center"/>
          </w:tcPr>
          <w:p>
            <w:pPr>
              <w:widowControl w:val="0"/>
              <w:jc w:val="center"/>
              <w:rPr>
                <w:rFonts w:ascii="Times New Roman" w:hAnsi="Times New Roman"/>
              </w:rPr>
            </w:pPr>
            <w:r>
              <w:rPr>
                <w:rFonts w:ascii="Times New Roman" w:hAnsi="Times New Roman"/>
              </w:rPr>
              <w:t>弹性模量</w:t>
            </w:r>
          </w:p>
          <w:p>
            <w:pPr>
              <w:widowControl w:val="0"/>
              <w:jc w:val="center"/>
              <w:rPr>
                <w:rFonts w:ascii="Times New Roman" w:hAnsi="Times New Roman"/>
              </w:rPr>
            </w:pPr>
            <w:r>
              <w:rPr>
                <w:rFonts w:ascii="Times New Roman" w:hAnsi="Times New Roman"/>
                <w:i/>
                <w:iCs/>
              </w:rPr>
              <w:t>E</w:t>
            </w:r>
            <w:r>
              <w:rPr>
                <w:rFonts w:ascii="Times New Roman" w:hAnsi="Times New Roman"/>
                <w:vertAlign w:val="subscript"/>
              </w:rPr>
              <w:t>s</w:t>
            </w:r>
            <w:r>
              <w:rPr>
                <w:rFonts w:ascii="Times New Roman" w:hAnsi="Times New Roman"/>
              </w:rPr>
              <w:t>（N/mm²）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widowControl w:val="0"/>
              <w:jc w:val="center"/>
              <w:rPr>
                <w:rFonts w:ascii="Times New Roman" w:hAnsi="Times New Roman"/>
              </w:rPr>
            </w:pPr>
            <w:r>
              <w:rPr>
                <w:rFonts w:ascii="Times New Roman" w:hAnsi="Times New Roman"/>
              </w:rPr>
              <w:t>HRB335</w:t>
            </w:r>
          </w:p>
        </w:tc>
        <w:tc>
          <w:tcPr>
            <w:tcW w:w="1704" w:type="dxa"/>
            <w:vMerge w:val="restart"/>
            <w:vAlign w:val="center"/>
          </w:tcPr>
          <w:p>
            <w:pPr>
              <w:widowControl w:val="0"/>
              <w:jc w:val="center"/>
              <w:rPr>
                <w:rFonts w:ascii="Times New Roman" w:hAnsi="Times New Roman"/>
              </w:rPr>
            </w:pPr>
            <w:r>
              <w:rPr>
                <w:rFonts w:ascii="Times New Roman" w:hAnsi="Times New Roman"/>
              </w:rPr>
              <w:t>6~50</w:t>
            </w:r>
          </w:p>
        </w:tc>
        <w:tc>
          <w:tcPr>
            <w:tcW w:w="1704" w:type="dxa"/>
            <w:vAlign w:val="center"/>
          </w:tcPr>
          <w:p>
            <w:pPr>
              <w:widowControl w:val="0"/>
              <w:jc w:val="center"/>
              <w:rPr>
                <w:rFonts w:ascii="Times New Roman" w:hAnsi="Times New Roman"/>
              </w:rPr>
            </w:pPr>
            <w:r>
              <w:rPr>
                <w:rFonts w:ascii="Times New Roman" w:hAnsi="Times New Roman"/>
              </w:rPr>
              <w:t>335</w:t>
            </w:r>
          </w:p>
        </w:tc>
        <w:tc>
          <w:tcPr>
            <w:tcW w:w="1705" w:type="dxa"/>
            <w:vAlign w:val="center"/>
          </w:tcPr>
          <w:p>
            <w:pPr>
              <w:widowControl w:val="0"/>
              <w:jc w:val="center"/>
              <w:rPr>
                <w:rFonts w:ascii="Times New Roman" w:hAnsi="Times New Roman"/>
              </w:rPr>
            </w:pPr>
            <w:r>
              <w:rPr>
                <w:rFonts w:ascii="Times New Roman" w:hAnsi="Times New Roman"/>
              </w:rPr>
              <w:t>300</w:t>
            </w:r>
          </w:p>
        </w:tc>
        <w:tc>
          <w:tcPr>
            <w:tcW w:w="1705" w:type="dxa"/>
            <w:vMerge w:val="restart"/>
            <w:vAlign w:val="center"/>
          </w:tcPr>
          <w:p>
            <w:pPr>
              <w:widowControl w:val="0"/>
              <w:jc w:val="center"/>
              <w:rPr>
                <w:rFonts w:ascii="Times New Roman" w:hAnsi="Times New Roman"/>
              </w:rPr>
            </w:pPr>
            <w:r>
              <w:rPr>
                <w:rFonts w:ascii="Times New Roman" w:hAnsi="Times New Roman"/>
              </w:rPr>
              <w:t>2.0×10</w:t>
            </w:r>
            <w:r>
              <w:rPr>
                <w:rFonts w:ascii="Times New Roman" w:hAnsi="Times New Roman"/>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widowControl w:val="0"/>
              <w:jc w:val="center"/>
              <w:rPr>
                <w:rFonts w:ascii="Times New Roman" w:hAnsi="Times New Roman"/>
              </w:rPr>
            </w:pPr>
            <w:r>
              <w:rPr>
                <w:rFonts w:ascii="Times New Roman" w:hAnsi="Times New Roman"/>
              </w:rPr>
              <w:t>HRB400</w:t>
            </w:r>
          </w:p>
        </w:tc>
        <w:tc>
          <w:tcPr>
            <w:tcW w:w="1704" w:type="dxa"/>
            <w:vMerge w:val="continue"/>
          </w:tcPr>
          <w:p>
            <w:pPr>
              <w:widowControl w:val="0"/>
              <w:rPr>
                <w:rFonts w:ascii="Times New Roman" w:hAnsi="Times New Roman"/>
              </w:rPr>
            </w:pPr>
          </w:p>
        </w:tc>
        <w:tc>
          <w:tcPr>
            <w:tcW w:w="1704" w:type="dxa"/>
            <w:vAlign w:val="center"/>
          </w:tcPr>
          <w:p>
            <w:pPr>
              <w:widowControl w:val="0"/>
              <w:jc w:val="center"/>
              <w:rPr>
                <w:rFonts w:ascii="Times New Roman" w:hAnsi="Times New Roman"/>
              </w:rPr>
            </w:pPr>
            <w:r>
              <w:rPr>
                <w:rFonts w:ascii="Times New Roman" w:hAnsi="Times New Roman"/>
              </w:rPr>
              <w:t>400</w:t>
            </w:r>
          </w:p>
        </w:tc>
        <w:tc>
          <w:tcPr>
            <w:tcW w:w="1705" w:type="dxa"/>
            <w:vAlign w:val="center"/>
          </w:tcPr>
          <w:p>
            <w:pPr>
              <w:widowControl w:val="0"/>
              <w:jc w:val="center"/>
              <w:rPr>
                <w:rFonts w:ascii="Times New Roman" w:hAnsi="Times New Roman"/>
              </w:rPr>
            </w:pPr>
            <w:r>
              <w:rPr>
                <w:rFonts w:ascii="Times New Roman" w:hAnsi="Times New Roman"/>
              </w:rPr>
              <w:t>360</w:t>
            </w:r>
          </w:p>
        </w:tc>
        <w:tc>
          <w:tcPr>
            <w:tcW w:w="1705" w:type="dxa"/>
            <w:vMerge w:val="continue"/>
          </w:tcPr>
          <w:p>
            <w:pPr>
              <w:widowControl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center"/>
          </w:tcPr>
          <w:p>
            <w:pPr>
              <w:widowControl w:val="0"/>
              <w:jc w:val="center"/>
              <w:rPr>
                <w:rFonts w:ascii="Times New Roman" w:hAnsi="Times New Roman"/>
              </w:rPr>
            </w:pPr>
            <w:r>
              <w:rPr>
                <w:rFonts w:ascii="Times New Roman" w:hAnsi="Times New Roman"/>
              </w:rPr>
              <w:t>RRB500</w:t>
            </w:r>
          </w:p>
        </w:tc>
        <w:tc>
          <w:tcPr>
            <w:tcW w:w="1704" w:type="dxa"/>
            <w:vMerge w:val="continue"/>
          </w:tcPr>
          <w:p>
            <w:pPr>
              <w:widowControl w:val="0"/>
              <w:rPr>
                <w:rFonts w:ascii="Times New Roman" w:hAnsi="Times New Roman"/>
              </w:rPr>
            </w:pPr>
          </w:p>
        </w:tc>
        <w:tc>
          <w:tcPr>
            <w:tcW w:w="1704" w:type="dxa"/>
            <w:vAlign w:val="center"/>
          </w:tcPr>
          <w:p>
            <w:pPr>
              <w:widowControl w:val="0"/>
              <w:jc w:val="center"/>
              <w:rPr>
                <w:rFonts w:ascii="Times New Roman" w:hAnsi="Times New Roman"/>
              </w:rPr>
            </w:pPr>
            <w:r>
              <w:rPr>
                <w:rFonts w:ascii="Times New Roman" w:hAnsi="Times New Roman"/>
              </w:rPr>
              <w:t>500</w:t>
            </w:r>
          </w:p>
        </w:tc>
        <w:tc>
          <w:tcPr>
            <w:tcW w:w="1705" w:type="dxa"/>
            <w:vAlign w:val="center"/>
          </w:tcPr>
          <w:p>
            <w:pPr>
              <w:widowControl w:val="0"/>
              <w:jc w:val="center"/>
              <w:rPr>
                <w:rFonts w:ascii="Times New Roman" w:hAnsi="Times New Roman"/>
              </w:rPr>
            </w:pPr>
            <w:r>
              <w:rPr>
                <w:rFonts w:ascii="Times New Roman" w:hAnsi="Times New Roman"/>
              </w:rPr>
              <w:t>435</w:t>
            </w:r>
          </w:p>
        </w:tc>
        <w:tc>
          <w:tcPr>
            <w:tcW w:w="1705" w:type="dxa"/>
            <w:vMerge w:val="continue"/>
          </w:tcPr>
          <w:p>
            <w:pPr>
              <w:widowControl w:val="0"/>
              <w:rPr>
                <w:rFonts w:ascii="Times New Roman" w:hAnsi="Times New Roman"/>
              </w:rPr>
            </w:pPr>
          </w:p>
        </w:tc>
      </w:tr>
    </w:tbl>
    <w:p>
      <w:pPr>
        <w:rPr>
          <w:rFonts w:ascii="Times New Roman" w:hAnsi="Times New Roman"/>
        </w:rPr>
      </w:pPr>
    </w:p>
    <w:p>
      <w:pPr>
        <w:jc w:val="left"/>
        <w:rPr>
          <w:rFonts w:ascii="Times New Roman" w:hAnsi="Times New Roman"/>
        </w:rPr>
      </w:pPr>
      <w:r>
        <w:rPr>
          <w:rFonts w:ascii="Times New Roman" w:hAnsi="Times New Roman"/>
        </w:rPr>
        <w:br w:type="page"/>
      </w:r>
    </w:p>
    <w:p>
      <w:pPr>
        <w:pStyle w:val="2"/>
        <w:bidi w:val="0"/>
        <w:rPr>
          <w:rFonts w:hint="eastAsia"/>
          <w:sz w:val="36"/>
          <w:szCs w:val="36"/>
        </w:rPr>
      </w:pPr>
      <w:bookmarkStart w:id="1048" w:name="_Toc31696"/>
      <w:bookmarkStart w:id="1049" w:name="_Toc29474"/>
      <w:bookmarkStart w:id="1050" w:name="_Toc18199"/>
      <w:r>
        <w:rPr>
          <w:rFonts w:hint="eastAsia"/>
          <w:sz w:val="36"/>
          <w:szCs w:val="36"/>
        </w:rPr>
        <w:t>附录</w:t>
      </w:r>
      <w:r>
        <w:rPr>
          <w:rFonts w:hint="eastAsia"/>
          <w:sz w:val="36"/>
          <w:szCs w:val="36"/>
          <w:lang w:val="en-US" w:eastAsia="zh-CN"/>
        </w:rPr>
        <w:t>M</w:t>
      </w:r>
      <w:r>
        <w:rPr>
          <w:rFonts w:hint="eastAsia"/>
          <w:sz w:val="36"/>
          <w:szCs w:val="36"/>
        </w:rPr>
        <w:t xml:space="preserve">  常用的钢支撑及</w:t>
      </w:r>
      <w:r>
        <w:rPr>
          <w:sz w:val="36"/>
          <w:szCs w:val="36"/>
        </w:rPr>
        <w:t>钢腰梁</w:t>
      </w:r>
      <w:r>
        <w:rPr>
          <w:rFonts w:hint="eastAsia"/>
          <w:sz w:val="36"/>
          <w:szCs w:val="36"/>
        </w:rPr>
        <w:t>构件技术参数</w:t>
      </w:r>
      <w:bookmarkEnd w:id="1048"/>
      <w:bookmarkEnd w:id="1049"/>
      <w:bookmarkEnd w:id="1050"/>
    </w:p>
    <w:p>
      <w:pPr>
        <w:widowControl w:val="0"/>
        <w:jc w:val="center"/>
        <w:rPr>
          <w:rFonts w:ascii="等线" w:hAnsi="等线" w:eastAsia="等线" w:cs="Times New Roman"/>
          <w:sz w:val="21"/>
        </w:rPr>
      </w:pPr>
      <w:r>
        <w:rPr>
          <w:rFonts w:hint="eastAsia" w:ascii="Times New Roman" w:hAnsi="Times New Roman" w:eastAsia="等线" w:cs="Times New Roman"/>
          <w:b/>
          <w:sz w:val="21"/>
          <w:szCs w:val="24"/>
        </w:rPr>
        <w:t>M</w:t>
      </w:r>
      <w:r>
        <w:rPr>
          <w:rFonts w:ascii="Times New Roman" w:hAnsi="Times New Roman" w:eastAsia="等线" w:cs="Times New Roman"/>
          <w:b/>
          <w:sz w:val="21"/>
          <w:szCs w:val="24"/>
        </w:rPr>
        <w:t>.1</w:t>
      </w:r>
      <w:r>
        <w:rPr>
          <w:rFonts w:hint="eastAsia" w:ascii="Times New Roman" w:hAnsi="Times New Roman" w:eastAsia="等线" w:cs="Times New Roman"/>
          <w:b/>
          <w:sz w:val="21"/>
          <w:szCs w:val="24"/>
        </w:rPr>
        <w:t xml:space="preserve">  </w:t>
      </w:r>
      <w:r>
        <w:rPr>
          <w:rFonts w:hint="eastAsia" w:ascii="Times New Roman" w:hAnsi="Times New Roman" w:eastAsia="等线" w:cs="Times New Roman"/>
          <w:sz w:val="21"/>
          <w:szCs w:val="24"/>
        </w:rPr>
        <w:t>常用的钢管支撑</w:t>
      </w:r>
    </w:p>
    <w:p>
      <w:pPr>
        <w:widowControl w:val="0"/>
        <w:spacing w:line="360" w:lineRule="auto"/>
        <w:jc w:val="left"/>
        <w:rPr>
          <w:rFonts w:ascii="宋体" w:hAnsi="宋体" w:eastAsia="等线" w:cs="Times New Roman"/>
          <w:sz w:val="21"/>
          <w:szCs w:val="24"/>
        </w:rPr>
      </w:pPr>
      <w:r>
        <w:rPr>
          <w:rFonts w:hint="eastAsia" w:ascii="Times New Roman" w:hAnsi="Times New Roman" w:eastAsia="等线" w:cs="Times New Roman"/>
          <w:b/>
          <w:sz w:val="21"/>
          <w:szCs w:val="24"/>
        </w:rPr>
        <w:t>M</w:t>
      </w:r>
      <w:r>
        <w:rPr>
          <w:rFonts w:ascii="Times New Roman" w:hAnsi="Times New Roman" w:eastAsia="等线" w:cs="Times New Roman"/>
          <w:b/>
          <w:sz w:val="21"/>
          <w:szCs w:val="24"/>
        </w:rPr>
        <w:t>.</w:t>
      </w:r>
      <w:r>
        <w:rPr>
          <w:rFonts w:hint="eastAsia" w:ascii="Times New Roman" w:hAnsi="Times New Roman" w:eastAsia="等线" w:cs="Times New Roman"/>
          <w:b/>
          <w:sz w:val="21"/>
          <w:szCs w:val="24"/>
        </w:rPr>
        <w:t>1</w:t>
      </w:r>
      <w:r>
        <w:rPr>
          <w:rFonts w:ascii="Times New Roman" w:hAnsi="Times New Roman" w:eastAsia="等线" w:cs="Times New Roman"/>
          <w:b/>
          <w:sz w:val="21"/>
          <w:szCs w:val="24"/>
        </w:rPr>
        <w:t xml:space="preserve">.1 </w:t>
      </w:r>
      <w:r>
        <w:rPr>
          <w:rFonts w:hint="eastAsia" w:ascii="Times New Roman" w:hAnsi="Times New Roman" w:eastAsia="等线" w:cs="Times New Roman"/>
          <w:sz w:val="21"/>
          <w:szCs w:val="24"/>
        </w:rPr>
        <w:t>常用的钢管支撑构件规格见表M</w:t>
      </w:r>
      <w:r>
        <w:rPr>
          <w:rFonts w:ascii="Times New Roman" w:hAnsi="Times New Roman" w:eastAsia="等线" w:cs="Times New Roman"/>
          <w:sz w:val="21"/>
          <w:szCs w:val="24"/>
        </w:rPr>
        <w:t>.</w:t>
      </w:r>
      <w:r>
        <w:rPr>
          <w:rFonts w:hint="eastAsia" w:ascii="Times New Roman" w:hAnsi="Times New Roman" w:eastAsia="等线" w:cs="Times New Roman"/>
          <w:sz w:val="21"/>
          <w:szCs w:val="24"/>
        </w:rPr>
        <w:t>1</w:t>
      </w:r>
      <w:r>
        <w:rPr>
          <w:rFonts w:ascii="Times New Roman" w:hAnsi="Times New Roman" w:eastAsia="等线" w:cs="Times New Roman"/>
          <w:sz w:val="21"/>
          <w:szCs w:val="24"/>
        </w:rPr>
        <w:t>.1</w:t>
      </w:r>
      <w:r>
        <w:rPr>
          <w:rFonts w:hint="eastAsia" w:ascii="Times New Roman" w:hAnsi="Times New Roman" w:eastAsia="等线" w:cs="Times New Roman"/>
          <w:sz w:val="21"/>
          <w:szCs w:val="24"/>
        </w:rPr>
        <w:t>。</w:t>
      </w:r>
      <w:r>
        <w:rPr>
          <w:rFonts w:ascii="Times New Roman" w:hAnsi="Times New Roman" w:eastAsia="等线" w:cs="Times New Roman"/>
          <w:sz w:val="21"/>
          <w:szCs w:val="24"/>
        </w:rPr>
        <w:t xml:space="preserve">     </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w:t>
      </w:r>
      <w:r>
        <w:rPr>
          <w:rFonts w:hint="eastAsia" w:ascii="Times New Roman" w:hAnsi="Times New Roman" w:eastAsia="等线" w:cs="Times New Roman"/>
          <w:b/>
          <w:sz w:val="21"/>
          <w:szCs w:val="24"/>
        </w:rPr>
        <w:t>1</w:t>
      </w:r>
      <w:r>
        <w:rPr>
          <w:rFonts w:ascii="Times New Roman" w:hAnsi="Times New Roman" w:eastAsia="等线" w:cs="Times New Roman"/>
          <w:b/>
          <w:sz w:val="21"/>
          <w:szCs w:val="24"/>
        </w:rPr>
        <w:t xml:space="preserve">.1  </w:t>
      </w:r>
      <w:r>
        <w:rPr>
          <w:rFonts w:hint="eastAsia" w:ascii="Times New Roman" w:hAnsi="Times New Roman" w:eastAsia="等线" w:cs="Times New Roman"/>
          <w:b/>
          <w:sz w:val="21"/>
          <w:szCs w:val="24"/>
        </w:rPr>
        <w:t>常用的钢管支撑构件规格</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983"/>
        <w:gridCol w:w="992"/>
        <w:gridCol w:w="850"/>
        <w:gridCol w:w="993"/>
        <w:gridCol w:w="992"/>
        <w:gridCol w:w="1276"/>
        <w:gridCol w:w="1275"/>
        <w:gridCol w:w="1134"/>
        <w:gridCol w:w="11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钢管</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外径</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mm</w:t>
            </w:r>
            <w:r>
              <w:rPr>
                <w:rFonts w:hint="eastAsia" w:ascii="Times New Roman" w:hAnsi="Times New Roman" w:eastAsia="等线" w:cs="Times New Roman"/>
                <w:spacing w:val="-6"/>
                <w:kern w:val="0"/>
                <w:sz w:val="21"/>
                <w:szCs w:val="21"/>
              </w:rPr>
              <w:t>）</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钢管</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壁厚</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mm</w:t>
            </w:r>
            <w:r>
              <w:rPr>
                <w:rFonts w:hint="eastAsia" w:ascii="Times New Roman" w:hAnsi="Times New Roman" w:eastAsia="等线" w:cs="Times New Roman"/>
                <w:spacing w:val="-6"/>
                <w:kern w:val="0"/>
                <w:sz w:val="21"/>
                <w:szCs w:val="21"/>
              </w:rPr>
              <w:t>）</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钢材</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材质</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法兰盘</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厚度</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mm</w:t>
            </w:r>
            <w:r>
              <w:rPr>
                <w:rFonts w:hint="eastAsia" w:ascii="Times New Roman" w:hAnsi="Times New Roman" w:eastAsia="等线" w:cs="Times New Roman"/>
                <w:kern w:val="0"/>
                <w:sz w:val="21"/>
                <w:szCs w:val="21"/>
              </w:rPr>
              <w:t>）</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法兰盘</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直径</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mm</w:t>
            </w:r>
            <w:r>
              <w:rPr>
                <w:rFonts w:hint="eastAsia" w:ascii="Times New Roman" w:hAnsi="Times New Roman" w:eastAsia="等线" w:cs="Times New Roman"/>
                <w:kern w:val="0"/>
                <w:sz w:val="21"/>
                <w:szCs w:val="21"/>
              </w:rPr>
              <w:t>）</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法兰盘</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螺栓孔数量</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（个）</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螺栓孔</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直径</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mm</w:t>
            </w:r>
            <w:r>
              <w:rPr>
                <w:rFonts w:hint="eastAsia" w:ascii="Times New Roman" w:hAnsi="Times New Roman" w:eastAsia="等线" w:cs="Times New Roman"/>
                <w:kern w:val="0"/>
                <w:sz w:val="21"/>
                <w:szCs w:val="21"/>
              </w:rPr>
              <w:t>）</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螺栓公称</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直径</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mm</w:t>
            </w:r>
            <w:r>
              <w:rPr>
                <w:rFonts w:hint="eastAsia" w:ascii="Times New Roman" w:hAnsi="Times New Roman" w:eastAsia="等线" w:cs="Times New Roman"/>
                <w:kern w:val="0"/>
                <w:sz w:val="21"/>
                <w:szCs w:val="21"/>
              </w:rPr>
              <w:t>）</w:t>
            </w:r>
          </w:p>
        </w:tc>
        <w:tc>
          <w:tcPr>
            <w:tcW w:w="112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标准节长度</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500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Q345</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12</w:t>
            </w:r>
            <w:r>
              <w:rPr>
                <w:rFonts w:ascii="Times New Roman" w:hAnsi="Times New Roman" w:eastAsia="等线" w:cs="Times New Roman"/>
                <w:sz w:val="21"/>
                <w:szCs w:val="21"/>
              </w:rPr>
              <w:t>~</w:t>
            </w:r>
            <w:r>
              <w:rPr>
                <w:rFonts w:ascii="Times New Roman" w:hAnsi="Times New Roman" w:eastAsia="等线" w:cs="Times New Roman"/>
                <w:kern w:val="0"/>
                <w:sz w:val="21"/>
                <w:szCs w:val="21"/>
              </w:rPr>
              <w:t>20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640</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12</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w:t>
            </w:r>
            <w:r>
              <w:rPr>
                <w:rFonts w:ascii="Times New Roman" w:hAnsi="Times New Roman" w:eastAsia="等线" w:cs="Times New Roman"/>
                <w:sz w:val="21"/>
                <w:szCs w:val="21"/>
              </w:rPr>
              <w:t>~</w:t>
            </w:r>
            <w:r>
              <w:rPr>
                <w:rFonts w:ascii="Times New Roman" w:hAnsi="Times New Roman" w:eastAsia="等线" w:cs="Times New Roman"/>
                <w:kern w:val="0"/>
                <w:sz w:val="21"/>
                <w:szCs w:val="21"/>
              </w:rPr>
              <w:t>26</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24</w:t>
            </w:r>
          </w:p>
        </w:tc>
        <w:tc>
          <w:tcPr>
            <w:tcW w:w="1123" w:type="dxa"/>
            <w:vMerge w:val="restar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0.2</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0.3</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0.5</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1.0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2.0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3.0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4.0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5.0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6.0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7.0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9.0</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609</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30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740</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w:t>
            </w:r>
            <w:r>
              <w:rPr>
                <w:rFonts w:ascii="Times New Roman" w:hAnsi="Times New Roman" w:eastAsia="等线" w:cs="Times New Roman"/>
                <w:sz w:val="21"/>
                <w:szCs w:val="21"/>
              </w:rPr>
              <w:t>~</w:t>
            </w:r>
            <w:r>
              <w:rPr>
                <w:rFonts w:ascii="Times New Roman" w:hAnsi="Times New Roman" w:eastAsia="等线" w:cs="Times New Roman"/>
                <w:kern w:val="0"/>
                <w:sz w:val="21"/>
                <w:szCs w:val="21"/>
              </w:rPr>
              <w:t>26</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24</w:t>
            </w:r>
          </w:p>
        </w:tc>
        <w:tc>
          <w:tcPr>
            <w:tcW w:w="1123" w:type="dxa"/>
            <w:vMerge w:val="continue"/>
            <w:tcBorders>
              <w:tl2br w:val="nil"/>
              <w:tr2bl w:val="nil"/>
            </w:tcBorders>
          </w:tcPr>
          <w:p>
            <w:pPr>
              <w:widowControl w:val="0"/>
              <w:spacing w:line="240" w:lineRule="exact"/>
              <w:jc w:val="center"/>
              <w:rPr>
                <w:rFonts w:ascii="Times New Roman" w:hAnsi="Times New Roman" w:eastAsia="等线"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630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30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780</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w:t>
            </w:r>
            <w:r>
              <w:rPr>
                <w:rFonts w:ascii="Times New Roman" w:hAnsi="Times New Roman" w:eastAsia="等线" w:cs="Times New Roman"/>
                <w:sz w:val="21"/>
                <w:szCs w:val="21"/>
              </w:rPr>
              <w:t>~</w:t>
            </w:r>
            <w:r>
              <w:rPr>
                <w:rFonts w:ascii="Times New Roman" w:hAnsi="Times New Roman" w:eastAsia="等线" w:cs="Times New Roman"/>
                <w:kern w:val="0"/>
                <w:sz w:val="21"/>
                <w:szCs w:val="21"/>
              </w:rPr>
              <w:t>26</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24</w:t>
            </w:r>
          </w:p>
        </w:tc>
        <w:tc>
          <w:tcPr>
            <w:tcW w:w="1123" w:type="dxa"/>
            <w:vMerge w:val="continue"/>
            <w:tcBorders>
              <w:tl2br w:val="nil"/>
              <w:tr2bl w:val="nil"/>
            </w:tcBorders>
          </w:tcPr>
          <w:p>
            <w:pPr>
              <w:widowControl w:val="0"/>
              <w:spacing w:line="240" w:lineRule="exact"/>
              <w:jc w:val="center"/>
              <w:rPr>
                <w:rFonts w:ascii="Times New Roman" w:hAnsi="Times New Roman" w:eastAsia="等线"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800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30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950</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24</w:t>
            </w:r>
            <w:r>
              <w:rPr>
                <w:rFonts w:ascii="Times New Roman" w:hAnsi="Times New Roman" w:eastAsia="等线" w:cs="Times New Roman"/>
                <w:sz w:val="21"/>
                <w:szCs w:val="21"/>
              </w:rPr>
              <w:t>~</w:t>
            </w:r>
            <w:r>
              <w:rPr>
                <w:rFonts w:ascii="Times New Roman" w:hAnsi="Times New Roman" w:eastAsia="等线" w:cs="Times New Roman"/>
                <w:kern w:val="0"/>
                <w:sz w:val="21"/>
                <w:szCs w:val="21"/>
              </w:rPr>
              <w:t>29</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w:t>
            </w:r>
            <w:r>
              <w:rPr>
                <w:rFonts w:ascii="Times New Roman" w:hAnsi="Times New Roman" w:eastAsia="等线" w:cs="Times New Roman"/>
                <w:sz w:val="21"/>
                <w:szCs w:val="21"/>
              </w:rPr>
              <w:t>~</w:t>
            </w:r>
            <w:r>
              <w:rPr>
                <w:rFonts w:ascii="Times New Roman" w:hAnsi="Times New Roman" w:eastAsia="等线" w:cs="Times New Roman"/>
                <w:kern w:val="0"/>
                <w:sz w:val="21"/>
                <w:szCs w:val="21"/>
              </w:rPr>
              <w:t>27</w:t>
            </w:r>
          </w:p>
        </w:tc>
        <w:tc>
          <w:tcPr>
            <w:tcW w:w="1123" w:type="dxa"/>
            <w:vMerge w:val="continue"/>
            <w:tcBorders>
              <w:tl2br w:val="nil"/>
              <w:tr2bl w:val="nil"/>
            </w:tcBorders>
          </w:tcPr>
          <w:p>
            <w:pPr>
              <w:widowControl w:val="0"/>
              <w:spacing w:line="240" w:lineRule="exact"/>
              <w:jc w:val="center"/>
              <w:rPr>
                <w:rFonts w:ascii="Times New Roman" w:hAnsi="Times New Roman" w:eastAsia="等线"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800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30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950</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24</w:t>
            </w:r>
            <w:r>
              <w:rPr>
                <w:rFonts w:ascii="Times New Roman" w:hAnsi="Times New Roman" w:eastAsia="等线" w:cs="Times New Roman"/>
                <w:sz w:val="21"/>
                <w:szCs w:val="21"/>
              </w:rPr>
              <w:t>~</w:t>
            </w:r>
            <w:r>
              <w:rPr>
                <w:rFonts w:ascii="Times New Roman" w:hAnsi="Times New Roman" w:eastAsia="等线" w:cs="Times New Roman"/>
                <w:kern w:val="0"/>
                <w:sz w:val="21"/>
                <w:szCs w:val="21"/>
              </w:rPr>
              <w:t>29</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w:t>
            </w:r>
            <w:r>
              <w:rPr>
                <w:rFonts w:ascii="Times New Roman" w:hAnsi="Times New Roman" w:eastAsia="等线" w:cs="Times New Roman"/>
                <w:sz w:val="21"/>
                <w:szCs w:val="21"/>
              </w:rPr>
              <w:t>~</w:t>
            </w:r>
            <w:r>
              <w:rPr>
                <w:rFonts w:ascii="Times New Roman" w:hAnsi="Times New Roman" w:eastAsia="等线" w:cs="Times New Roman"/>
                <w:kern w:val="0"/>
                <w:sz w:val="21"/>
                <w:szCs w:val="21"/>
              </w:rPr>
              <w:t>27</w:t>
            </w:r>
          </w:p>
        </w:tc>
        <w:tc>
          <w:tcPr>
            <w:tcW w:w="1123" w:type="dxa"/>
            <w:vMerge w:val="continue"/>
            <w:tcBorders>
              <w:tl2br w:val="nil"/>
              <w:tr2bl w:val="nil"/>
            </w:tcBorders>
          </w:tcPr>
          <w:p>
            <w:pPr>
              <w:widowControl w:val="0"/>
              <w:spacing w:line="240" w:lineRule="exact"/>
              <w:jc w:val="center"/>
              <w:rPr>
                <w:rFonts w:ascii="Times New Roman" w:hAnsi="Times New Roman" w:eastAsia="等线"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98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800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p>
        </w:tc>
        <w:tc>
          <w:tcPr>
            <w:tcW w:w="850"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Q345</w:t>
            </w:r>
          </w:p>
        </w:tc>
        <w:tc>
          <w:tcPr>
            <w:tcW w:w="993"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r>
              <w:rPr>
                <w:rFonts w:ascii="Times New Roman" w:hAnsi="Times New Roman" w:eastAsia="等线" w:cs="Times New Roman"/>
                <w:sz w:val="21"/>
                <w:szCs w:val="21"/>
              </w:rPr>
              <w:t>~</w:t>
            </w:r>
            <w:r>
              <w:rPr>
                <w:rFonts w:ascii="Times New Roman" w:hAnsi="Times New Roman" w:eastAsia="等线" w:cs="Times New Roman"/>
                <w:kern w:val="0"/>
                <w:sz w:val="21"/>
                <w:szCs w:val="21"/>
              </w:rPr>
              <w:t>30</w:t>
            </w:r>
          </w:p>
        </w:tc>
        <w:tc>
          <w:tcPr>
            <w:tcW w:w="992"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950</w:t>
            </w:r>
          </w:p>
        </w:tc>
        <w:tc>
          <w:tcPr>
            <w:tcW w:w="1276"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1275"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24</w:t>
            </w:r>
            <w:r>
              <w:rPr>
                <w:rFonts w:ascii="Times New Roman" w:hAnsi="Times New Roman" w:eastAsia="等线" w:cs="Times New Roman"/>
                <w:sz w:val="21"/>
                <w:szCs w:val="21"/>
              </w:rPr>
              <w:t>~</w:t>
            </w:r>
            <w:r>
              <w:rPr>
                <w:rFonts w:ascii="Times New Roman" w:hAnsi="Times New Roman" w:eastAsia="等线" w:cs="Times New Roman"/>
                <w:kern w:val="0"/>
                <w:sz w:val="21"/>
                <w:szCs w:val="21"/>
              </w:rPr>
              <w:t>29</w:t>
            </w:r>
          </w:p>
        </w:tc>
        <w:tc>
          <w:tcPr>
            <w:tcW w:w="1134" w:type="dxa"/>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w:t>
            </w:r>
            <w:r>
              <w:rPr>
                <w:rFonts w:ascii="Times New Roman" w:hAnsi="Times New Roman" w:eastAsia="等线" w:cs="Times New Roman"/>
                <w:sz w:val="21"/>
                <w:szCs w:val="21"/>
              </w:rPr>
              <w:t>~</w:t>
            </w:r>
            <w:r>
              <w:rPr>
                <w:rFonts w:ascii="Times New Roman" w:hAnsi="Times New Roman" w:eastAsia="等线" w:cs="Times New Roman"/>
                <w:kern w:val="0"/>
                <w:sz w:val="21"/>
                <w:szCs w:val="21"/>
              </w:rPr>
              <w:t>27</w:t>
            </w:r>
          </w:p>
        </w:tc>
        <w:tc>
          <w:tcPr>
            <w:tcW w:w="1123" w:type="dxa"/>
            <w:vMerge w:val="continue"/>
            <w:tcBorders>
              <w:tl2br w:val="nil"/>
              <w:tr2bl w:val="nil"/>
            </w:tcBorders>
          </w:tcPr>
          <w:p>
            <w:pPr>
              <w:widowControl w:val="0"/>
              <w:spacing w:line="240" w:lineRule="exact"/>
              <w:jc w:val="center"/>
              <w:rPr>
                <w:rFonts w:ascii="Times New Roman" w:hAnsi="Times New Roman" w:eastAsia="等线" w:cs="Times New Roman"/>
                <w:kern w:val="0"/>
                <w:sz w:val="21"/>
                <w:szCs w:val="21"/>
              </w:rPr>
            </w:pPr>
          </w:p>
        </w:tc>
      </w:tr>
    </w:tbl>
    <w:p>
      <w:pPr>
        <w:widowControl w:val="0"/>
        <w:spacing w:line="360" w:lineRule="auto"/>
        <w:jc w:val="left"/>
        <w:rPr>
          <w:rFonts w:ascii="Times New Roman" w:hAnsi="Times New Roman" w:eastAsia="方正书宋简体" w:cs="Times New Roman"/>
          <w:sz w:val="21"/>
          <w:szCs w:val="21"/>
        </w:rPr>
      </w:pPr>
      <w:r>
        <w:rPr>
          <w:rFonts w:hint="eastAsia" w:ascii="Times New Roman" w:hAnsi="Times New Roman" w:eastAsia="等线" w:cs="Times New Roman"/>
          <w:b/>
          <w:sz w:val="21"/>
          <w:szCs w:val="24"/>
        </w:rPr>
        <w:t>M.1</w:t>
      </w:r>
      <w:r>
        <w:rPr>
          <w:rFonts w:ascii="Times New Roman" w:hAnsi="Times New Roman" w:eastAsia="等线" w:cs="Times New Roman"/>
          <w:b/>
          <w:sz w:val="21"/>
          <w:szCs w:val="24"/>
        </w:rPr>
        <w:t xml:space="preserve">.2 </w:t>
      </w:r>
      <w:r>
        <w:rPr>
          <w:rFonts w:hint="eastAsia" w:ascii="Times New Roman" w:hAnsi="Times New Roman" w:eastAsia="等线" w:cs="Times New Roman"/>
          <w:sz w:val="21"/>
          <w:szCs w:val="24"/>
        </w:rPr>
        <w:t>常用的钢管支撑构件几何参数见表M.1</w:t>
      </w:r>
      <w:r>
        <w:rPr>
          <w:rFonts w:ascii="Times New Roman" w:hAnsi="Times New Roman" w:eastAsia="等线" w:cs="Times New Roman"/>
          <w:sz w:val="21"/>
          <w:szCs w:val="24"/>
        </w:rPr>
        <w:t>.2</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表M.1</w:t>
      </w:r>
      <w:r>
        <w:rPr>
          <w:rFonts w:ascii="Times New Roman" w:hAnsi="Times New Roman" w:eastAsia="等线" w:cs="Times New Roman"/>
          <w:b/>
          <w:sz w:val="21"/>
          <w:szCs w:val="24"/>
        </w:rPr>
        <w:t xml:space="preserve">.2  </w:t>
      </w:r>
      <w:r>
        <w:rPr>
          <w:rFonts w:hint="eastAsia" w:ascii="Times New Roman" w:hAnsi="Times New Roman" w:eastAsia="等线" w:cs="Times New Roman"/>
          <w:b/>
          <w:sz w:val="21"/>
          <w:szCs w:val="24"/>
        </w:rPr>
        <w:t>常用的钢管支撑构件几何参数</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17" w:type="dxa"/>
          <w:left w:w="17" w:type="dxa"/>
          <w:bottom w:w="17" w:type="dxa"/>
          <w:right w:w="17" w:type="dxa"/>
        </w:tblCellMar>
      </w:tblPr>
      <w:tblGrid>
        <w:gridCol w:w="937"/>
        <w:gridCol w:w="1038"/>
        <w:gridCol w:w="667"/>
        <w:gridCol w:w="1036"/>
        <w:gridCol w:w="1220"/>
        <w:gridCol w:w="1359"/>
        <w:gridCol w:w="1266"/>
        <w:gridCol w:w="1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钢管</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外径</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11"/>
                <w:kern w:val="0"/>
                <w:sz w:val="21"/>
                <w:szCs w:val="21"/>
              </w:rPr>
              <w:t>（</w:t>
            </w:r>
            <w:r>
              <w:rPr>
                <w:rFonts w:ascii="Times New Roman" w:hAnsi="Times New Roman" w:eastAsia="等线" w:cs="Times New Roman"/>
                <w:spacing w:val="-11"/>
                <w:kern w:val="0"/>
                <w:sz w:val="21"/>
                <w:szCs w:val="21"/>
              </w:rPr>
              <w:t>mm</w:t>
            </w:r>
            <w:r>
              <w:rPr>
                <w:rFonts w:hint="eastAsia" w:ascii="Times New Roman" w:hAnsi="Times New Roman" w:eastAsia="等线" w:cs="Times New Roman"/>
                <w:spacing w:val="-11"/>
                <w:kern w:val="0"/>
                <w:sz w:val="21"/>
                <w:szCs w:val="21"/>
              </w:rPr>
              <w:t>）</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钢管</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壁厚</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mm</w:t>
            </w:r>
            <w:r>
              <w:rPr>
                <w:rFonts w:hint="eastAsia" w:ascii="Times New Roman" w:hAnsi="Times New Roman" w:eastAsia="等线" w:cs="Times New Roman"/>
                <w:kern w:val="0"/>
                <w:sz w:val="21"/>
                <w:szCs w:val="21"/>
              </w:rPr>
              <w:t>）</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钢材</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材质</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截面积</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2</w:t>
            </w:r>
            <w:r>
              <w:rPr>
                <w:rFonts w:hint="eastAsia" w:ascii="Times New Roman" w:hAnsi="Times New Roman" w:eastAsia="等线" w:cs="Times New Roman"/>
                <w:kern w:val="0"/>
                <w:sz w:val="21"/>
                <w:szCs w:val="21"/>
              </w:rPr>
              <w:t>）</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惯性矩</w:t>
            </w:r>
          </w:p>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i/>
                <w:iCs/>
                <w:kern w:val="0"/>
                <w:sz w:val="21"/>
                <w:szCs w:val="21"/>
              </w:rPr>
              <w:t>I</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4</w:t>
            </w:r>
            <w:r>
              <w:rPr>
                <w:rFonts w:hint="eastAsia" w:ascii="Times New Roman" w:hAnsi="Times New Roman" w:eastAsia="等线" w:cs="Times New Roman"/>
                <w:kern w:val="0"/>
                <w:sz w:val="21"/>
                <w:szCs w:val="21"/>
              </w:rPr>
              <w:t>）</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抵抗矩</w:t>
            </w:r>
          </w:p>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i/>
                <w:iCs/>
                <w:kern w:val="0"/>
                <w:sz w:val="21"/>
                <w:szCs w:val="21"/>
              </w:rPr>
              <w:t>W</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3</w:t>
            </w:r>
            <w:r>
              <w:rPr>
                <w:rFonts w:hint="eastAsia" w:ascii="Times New Roman" w:hAnsi="Times New Roman" w:eastAsia="等线" w:cs="Times New Roman"/>
                <w:kern w:val="0"/>
                <w:sz w:val="21"/>
                <w:szCs w:val="21"/>
              </w:rPr>
              <w:t>）</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面积矩</w:t>
            </w:r>
          </w:p>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i/>
                <w:iCs/>
                <w:kern w:val="0"/>
                <w:sz w:val="21"/>
                <w:szCs w:val="21"/>
              </w:rPr>
              <w:t>S</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3</w:t>
            </w:r>
            <w:r>
              <w:rPr>
                <w:rFonts w:hint="eastAsia" w:ascii="Times New Roman" w:hAnsi="Times New Roman" w:eastAsia="等线" w:cs="Times New Roman"/>
                <w:kern w:val="0"/>
                <w:sz w:val="21"/>
                <w:szCs w:val="21"/>
              </w:rPr>
              <w:t>）</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回转半径</w:t>
            </w:r>
          </w:p>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i/>
                <w:iCs/>
                <w:kern w:val="0"/>
                <w:sz w:val="21"/>
                <w:szCs w:val="21"/>
              </w:rPr>
              <w:t>i</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500</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Q345</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153.94</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46220</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1849</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1201</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17.33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609</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298.07</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131117</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4306</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2814</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630</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308.63</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145539</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4620</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3017</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800</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16</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394.08</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302907</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7573</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4918</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27.72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800</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490.09</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372957</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9324</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6085</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27.59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4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800</w:t>
            </w:r>
          </w:p>
        </w:tc>
        <w:tc>
          <w:tcPr>
            <w:tcW w:w="598"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20</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Q345</w:t>
            </w:r>
          </w:p>
        </w:tc>
        <w:tc>
          <w:tcPr>
            <w:tcW w:w="59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490.09</w:t>
            </w:r>
          </w:p>
        </w:tc>
        <w:tc>
          <w:tcPr>
            <w:tcW w:w="7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372957</w:t>
            </w:r>
          </w:p>
        </w:tc>
        <w:tc>
          <w:tcPr>
            <w:tcW w:w="78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9324</w:t>
            </w:r>
          </w:p>
        </w:tc>
        <w:tc>
          <w:tcPr>
            <w:tcW w:w="729"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6085</w:t>
            </w:r>
          </w:p>
        </w:tc>
        <w:tc>
          <w:tcPr>
            <w:tcW w:w="667"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27.59</w:t>
            </w:r>
          </w:p>
        </w:tc>
      </w:tr>
    </w:tbl>
    <w:p>
      <w:pPr>
        <w:widowControl w:val="0"/>
        <w:spacing w:line="360" w:lineRule="auto"/>
        <w:rPr>
          <w:rFonts w:ascii="宋体" w:hAnsi="宋体" w:eastAsia="等线" w:cs="Times New Roman"/>
          <w:sz w:val="21"/>
          <w:szCs w:val="24"/>
        </w:rPr>
      </w:pPr>
      <w:r>
        <w:rPr>
          <w:rFonts w:hint="eastAsia" w:ascii="Times New Roman" w:hAnsi="Times New Roman" w:eastAsia="等线" w:cs="Times New Roman"/>
          <w:b/>
          <w:sz w:val="21"/>
          <w:szCs w:val="24"/>
        </w:rPr>
        <w:t>M.1</w:t>
      </w:r>
      <w:r>
        <w:rPr>
          <w:rFonts w:ascii="Times New Roman" w:hAnsi="Times New Roman" w:eastAsia="等线" w:cs="Times New Roman"/>
          <w:b/>
          <w:sz w:val="21"/>
          <w:szCs w:val="24"/>
        </w:rPr>
        <w:t xml:space="preserve">.3  </w:t>
      </w:r>
      <w:r>
        <w:rPr>
          <w:rFonts w:hint="eastAsia" w:ascii="宋体" w:hAnsi="宋体" w:eastAsia="等线" w:cs="Times New Roman"/>
          <w:sz w:val="21"/>
          <w:szCs w:val="24"/>
        </w:rPr>
        <w:t>各类钢管支撑最大轴向荷载标准计算假定条件如下：</w:t>
      </w:r>
    </w:p>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1  </w:t>
      </w:r>
      <w:r>
        <w:rPr>
          <w:rFonts w:hint="eastAsia" w:ascii="Times New Roman" w:hAnsi="Times New Roman" w:eastAsia="等线" w:cs="Times New Roman"/>
          <w:sz w:val="21"/>
          <w:szCs w:val="24"/>
        </w:rPr>
        <w:t>法兰盘增加的重量按钢管自重的</w:t>
      </w:r>
      <w:r>
        <w:rPr>
          <w:rFonts w:ascii="Times New Roman" w:hAnsi="Times New Roman" w:eastAsia="等线" w:cs="Times New Roman"/>
          <w:sz w:val="21"/>
          <w:szCs w:val="24"/>
        </w:rPr>
        <w:t>25%</w:t>
      </w:r>
      <w:r>
        <w:rPr>
          <w:rFonts w:hint="eastAsia" w:ascii="Times New Roman" w:hAnsi="Times New Roman" w:eastAsia="等线" w:cs="Times New Roman"/>
          <w:sz w:val="21"/>
          <w:szCs w:val="24"/>
        </w:rPr>
        <w:t>计算，平均至钢支撑每延米重量；</w:t>
      </w:r>
    </w:p>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2 </w:t>
      </w:r>
      <w:r>
        <w:rPr>
          <w:rFonts w:ascii="Times New Roman" w:hAnsi="Times New Roman" w:eastAsia="等线" w:cs="Times New Roman"/>
          <w:sz w:val="21"/>
          <w:szCs w:val="24"/>
        </w:rPr>
        <w:t xml:space="preserve"> x</w:t>
      </w:r>
      <w:r>
        <w:rPr>
          <w:rFonts w:hint="eastAsia" w:ascii="Times New Roman" w:hAnsi="Times New Roman" w:eastAsia="等线" w:cs="Times New Roman"/>
          <w:sz w:val="21"/>
          <w:szCs w:val="24"/>
        </w:rPr>
        <w:t>、</w:t>
      </w:r>
      <w:r>
        <w:rPr>
          <w:rFonts w:ascii="Times New Roman" w:hAnsi="Times New Roman" w:eastAsia="等线" w:cs="Times New Roman"/>
          <w:sz w:val="21"/>
          <w:szCs w:val="24"/>
        </w:rPr>
        <w:t>y</w:t>
      </w:r>
      <w:r>
        <w:rPr>
          <w:rFonts w:hint="eastAsia" w:ascii="Times New Roman" w:hAnsi="Times New Roman" w:eastAsia="等线" w:cs="Times New Roman"/>
          <w:sz w:val="21"/>
          <w:szCs w:val="24"/>
        </w:rPr>
        <w:t>轴偏心距按</w:t>
      </w:r>
      <w:r>
        <w:rPr>
          <w:rFonts w:ascii="Times New Roman" w:hAnsi="Times New Roman" w:eastAsia="等线" w:cs="Times New Roman"/>
          <w:sz w:val="21"/>
          <w:szCs w:val="24"/>
        </w:rPr>
        <w:t>4cm</w:t>
      </w:r>
      <w:r>
        <w:rPr>
          <w:rFonts w:hint="eastAsia" w:ascii="Times New Roman" w:hAnsi="Times New Roman" w:eastAsia="等线" w:cs="Times New Roman"/>
          <w:sz w:val="21"/>
          <w:szCs w:val="24"/>
        </w:rPr>
        <w:t>考虑；</w:t>
      </w:r>
    </w:p>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3 </w:t>
      </w:r>
      <w:r>
        <w:rPr>
          <w:rFonts w:ascii="Times New Roman" w:hAnsi="Times New Roman" w:eastAsia="等线" w:cs="Times New Roman"/>
          <w:sz w:val="21"/>
          <w:szCs w:val="24"/>
        </w:rPr>
        <w:t xml:space="preserve"> </w:t>
      </w:r>
      <w:r>
        <w:rPr>
          <w:rFonts w:hint="eastAsia" w:ascii="Times New Roman" w:hAnsi="Times New Roman" w:eastAsia="等线" w:cs="Times New Roman"/>
          <w:sz w:val="21"/>
          <w:szCs w:val="24"/>
        </w:rPr>
        <w:t>竖向弯矩仅考虑自重引起及支撑顶面活载（</w:t>
      </w:r>
      <w:r>
        <w:rPr>
          <w:rFonts w:ascii="Times New Roman" w:hAnsi="Times New Roman" w:eastAsia="等线" w:cs="Times New Roman"/>
          <w:sz w:val="21"/>
          <w:szCs w:val="24"/>
        </w:rPr>
        <w:t>4kPa×</w:t>
      </w:r>
      <w:r>
        <w:rPr>
          <w:rFonts w:hint="eastAsia" w:ascii="Times New Roman" w:hAnsi="Times New Roman" w:eastAsia="等线" w:cs="Times New Roman"/>
          <w:sz w:val="21"/>
          <w:szCs w:val="24"/>
        </w:rPr>
        <w:t>钢管外径）引起的弯矩，不考虑立柱隆沉引起的附加弯矩；</w:t>
      </w:r>
    </w:p>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kern w:val="0"/>
          <w:sz w:val="21"/>
          <w:szCs w:val="24"/>
        </w:rPr>
        <w:t xml:space="preserve">4 </w:t>
      </w:r>
      <w:r>
        <w:rPr>
          <w:rFonts w:ascii="Times New Roman" w:hAnsi="Times New Roman" w:eastAsia="等线" w:cs="Times New Roman"/>
          <w:kern w:val="0"/>
          <w:sz w:val="21"/>
          <w:szCs w:val="24"/>
        </w:rPr>
        <w:t xml:space="preserve"> </w:t>
      </w:r>
      <w:r>
        <w:rPr>
          <w:rFonts w:hint="eastAsia" w:ascii="Times New Roman" w:hAnsi="Times New Roman" w:eastAsia="等线" w:cs="Times New Roman"/>
          <w:sz w:val="21"/>
          <w:szCs w:val="24"/>
        </w:rPr>
        <w:t>重要性系数按</w:t>
      </w:r>
      <w:r>
        <w:rPr>
          <w:rFonts w:ascii="Times New Roman" w:hAnsi="Times New Roman" w:eastAsia="等线" w:cs="Times New Roman"/>
          <w:sz w:val="21"/>
          <w:szCs w:val="24"/>
        </w:rPr>
        <w:t>1.0</w:t>
      </w:r>
      <w:r>
        <w:rPr>
          <w:rFonts w:hint="eastAsia" w:ascii="Times New Roman" w:hAnsi="Times New Roman" w:eastAsia="等线" w:cs="Times New Roman"/>
          <w:sz w:val="21"/>
          <w:szCs w:val="24"/>
        </w:rPr>
        <w:t>考虑；</w:t>
      </w:r>
    </w:p>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5 </w:t>
      </w:r>
      <w:r>
        <w:rPr>
          <w:rFonts w:ascii="Times New Roman" w:hAnsi="Times New Roman" w:eastAsia="等线" w:cs="Times New Roman"/>
          <w:sz w:val="21"/>
          <w:szCs w:val="24"/>
        </w:rPr>
        <w:t xml:space="preserve"> </w:t>
      </w:r>
      <w:r>
        <w:rPr>
          <w:rFonts w:hint="eastAsia" w:ascii="Times New Roman" w:hAnsi="Times New Roman" w:eastAsia="等线" w:cs="Times New Roman"/>
          <w:kern w:val="0"/>
          <w:sz w:val="21"/>
          <w:szCs w:val="24"/>
        </w:rPr>
        <w:t>荷载分项系数按</w:t>
      </w:r>
      <w:r>
        <w:rPr>
          <w:rFonts w:ascii="Times New Roman" w:hAnsi="Times New Roman" w:eastAsia="等线" w:cs="Times New Roman"/>
          <w:kern w:val="0"/>
          <w:sz w:val="21"/>
          <w:szCs w:val="24"/>
        </w:rPr>
        <w:t>1.25</w:t>
      </w:r>
      <w:r>
        <w:rPr>
          <w:rFonts w:hint="eastAsia" w:ascii="Times New Roman" w:hAnsi="Times New Roman" w:eastAsia="等线" w:cs="Times New Roman"/>
          <w:kern w:val="0"/>
          <w:sz w:val="21"/>
          <w:szCs w:val="24"/>
        </w:rPr>
        <w:t>考虑；</w:t>
      </w:r>
    </w:p>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6 </w:t>
      </w:r>
      <w:r>
        <w:rPr>
          <w:rFonts w:ascii="Times New Roman" w:hAnsi="Times New Roman" w:eastAsia="等线" w:cs="Times New Roman"/>
          <w:sz w:val="21"/>
          <w:szCs w:val="24"/>
        </w:rPr>
        <w:t xml:space="preserve"> </w:t>
      </w:r>
      <w:r>
        <w:rPr>
          <w:rFonts w:hint="eastAsia" w:ascii="Times New Roman" w:hAnsi="Times New Roman" w:eastAsia="等线" w:cs="Times New Roman"/>
          <w:sz w:val="21"/>
          <w:szCs w:val="24"/>
        </w:rPr>
        <w:t>未考虑预应力装置的不利影响。</w:t>
      </w:r>
    </w:p>
    <w:p>
      <w:pPr>
        <w:widowControl w:val="0"/>
        <w:spacing w:line="360" w:lineRule="auto"/>
        <w:rPr>
          <w:rFonts w:ascii="Times New Roman" w:hAnsi="Times New Roman" w:eastAsia="方正书宋简体" w:cs="Times New Roman"/>
          <w:sz w:val="21"/>
          <w:szCs w:val="21"/>
        </w:rPr>
      </w:pPr>
      <w:r>
        <w:rPr>
          <w:rFonts w:hint="eastAsia" w:ascii="Times New Roman" w:hAnsi="Times New Roman" w:eastAsia="等线" w:cs="Times New Roman"/>
          <w:b/>
          <w:sz w:val="21"/>
          <w:szCs w:val="24"/>
        </w:rPr>
        <w:t>M.1</w:t>
      </w:r>
      <w:r>
        <w:rPr>
          <w:rFonts w:ascii="Times New Roman" w:hAnsi="Times New Roman" w:eastAsia="等线" w:cs="Times New Roman"/>
          <w:b/>
          <w:sz w:val="21"/>
          <w:szCs w:val="24"/>
        </w:rPr>
        <w:t xml:space="preserve">.4  </w:t>
      </w:r>
      <w:r>
        <w:rPr>
          <w:rFonts w:hint="eastAsia" w:ascii="宋体" w:hAnsi="宋体" w:eastAsia="等线" w:cs="Times New Roman"/>
          <w:sz w:val="21"/>
          <w:szCs w:val="24"/>
        </w:rPr>
        <w:t>根据计算各类钢管支撑最大轴向荷载设计值如下：</w:t>
      </w:r>
    </w:p>
    <w:p>
      <w:pPr>
        <w:widowControl w:val="0"/>
        <w:spacing w:line="360" w:lineRule="auto"/>
        <w:ind w:firstLine="375" w:firstLineChars="179"/>
        <w:rPr>
          <w:rFonts w:ascii="Times New Roman" w:hAnsi="Times New Roman" w:eastAsia="等线" w:cs="Times New Roman"/>
          <w:b/>
          <w:sz w:val="21"/>
          <w:szCs w:val="24"/>
        </w:rPr>
      </w:pPr>
      <w:r>
        <w:rPr>
          <w:rFonts w:ascii="Times New Roman" w:hAnsi="Times New Roman" w:eastAsia="等线" w:cs="Times New Roman"/>
          <w:sz w:val="21"/>
          <w:szCs w:val="24"/>
        </w:rPr>
        <w:t>1  Φ500×10</w:t>
      </w:r>
      <w:r>
        <w:rPr>
          <w:rFonts w:hint="eastAsia" w:ascii="Times New Roman" w:hAnsi="Times New Roman" w:eastAsia="等线" w:cs="Times New Roman"/>
          <w:sz w:val="21"/>
          <w:szCs w:val="24"/>
        </w:rPr>
        <w:t>（</w:t>
      </w:r>
      <w:r>
        <w:rPr>
          <w:rFonts w:ascii="Times New Roman" w:hAnsi="Times New Roman" w:eastAsia="等线" w:cs="Times New Roman"/>
          <w:sz w:val="21"/>
          <w:szCs w:val="24"/>
        </w:rPr>
        <w:t>Q345</w:t>
      </w:r>
      <w:r>
        <w:rPr>
          <w:rFonts w:hint="eastAsia" w:ascii="Times New Roman" w:hAnsi="Times New Roman" w:eastAsia="等线" w:cs="Times New Roman"/>
          <w:sz w:val="21"/>
          <w:szCs w:val="24"/>
        </w:rPr>
        <w:t>）钢管支撑最大轴向荷载设计值见表M.1</w:t>
      </w:r>
      <w:r>
        <w:rPr>
          <w:rFonts w:ascii="Times New Roman" w:hAnsi="Times New Roman" w:eastAsia="等线" w:cs="Times New Roman"/>
          <w:sz w:val="21"/>
          <w:szCs w:val="24"/>
        </w:rPr>
        <w:t>.4-1</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表M.1</w:t>
      </w:r>
      <w:r>
        <w:rPr>
          <w:rFonts w:ascii="Times New Roman" w:hAnsi="Times New Roman" w:eastAsia="等线" w:cs="Times New Roman"/>
          <w:b/>
          <w:sz w:val="21"/>
          <w:szCs w:val="24"/>
        </w:rPr>
        <w:t>.4-1  Φ500×10</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Q345</w:t>
      </w:r>
      <w:r>
        <w:rPr>
          <w:rFonts w:hint="eastAsia" w:ascii="Times New Roman" w:hAnsi="Times New Roman" w:eastAsia="等线" w:cs="Times New Roman"/>
          <w:b/>
          <w:sz w:val="21"/>
          <w:szCs w:val="24"/>
        </w:rPr>
        <w:t>）钢管支撑最大轴向荷载设计值（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2568"/>
        <w:gridCol w:w="666"/>
        <w:gridCol w:w="634"/>
        <w:gridCol w:w="666"/>
        <w:gridCol w:w="650"/>
        <w:gridCol w:w="684"/>
        <w:gridCol w:w="716"/>
        <w:gridCol w:w="684"/>
        <w:gridCol w:w="702"/>
        <w:gridCol w:w="7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1479" w:type="pct"/>
            <w:vMerge w:val="restar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kN·m</w:t>
            </w:r>
            <w:r>
              <w:rPr>
                <w:rFonts w:hint="eastAsia" w:ascii="Times New Roman" w:hAnsi="Times New Roman" w:eastAsia="等线" w:cs="Times New Roman"/>
                <w:kern w:val="0"/>
                <w:sz w:val="21"/>
                <w:szCs w:val="21"/>
              </w:rPr>
              <w:t>）</w:t>
            </w:r>
          </w:p>
        </w:tc>
        <w:tc>
          <w:tcPr>
            <w:tcW w:w="3521" w:type="pct"/>
            <w:gridSpan w:val="9"/>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1479" w:type="pct"/>
            <w:vMerge w:val="continue"/>
            <w:tcBorders>
              <w:tl2br w:val="nil"/>
              <w:tr2bl w:val="nil"/>
            </w:tcBorders>
            <w:vAlign w:val="center"/>
          </w:tcPr>
          <w:p>
            <w:pPr>
              <w:widowControl w:val="0"/>
              <w:spacing w:line="240" w:lineRule="exact"/>
              <w:jc w:val="left"/>
              <w:rPr>
                <w:rFonts w:ascii="Times New Roman" w:hAnsi="Times New Roman" w:eastAsia="等线" w:cs="Times New Roman"/>
                <w:kern w:val="0"/>
                <w:sz w:val="21"/>
                <w:szCs w:val="21"/>
              </w:rPr>
            </w:pP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65"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7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9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c>
          <w:tcPr>
            <w:tcW w:w="39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13</w:t>
            </w:r>
          </w:p>
        </w:tc>
        <w:tc>
          <w:tcPr>
            <w:tcW w:w="40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w:t>
            </w:r>
          </w:p>
        </w:tc>
        <w:tc>
          <w:tcPr>
            <w:tcW w:w="411"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147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2675 </w:t>
            </w:r>
          </w:p>
        </w:tc>
        <w:tc>
          <w:tcPr>
            <w:tcW w:w="365"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2545 </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2401 </w:t>
            </w:r>
          </w:p>
        </w:tc>
        <w:tc>
          <w:tcPr>
            <w:tcW w:w="37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2248 </w:t>
            </w:r>
          </w:p>
        </w:tc>
        <w:tc>
          <w:tcPr>
            <w:tcW w:w="39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2086 </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1918 </w:t>
            </w:r>
          </w:p>
        </w:tc>
        <w:tc>
          <w:tcPr>
            <w:tcW w:w="39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1750 </w:t>
            </w:r>
          </w:p>
        </w:tc>
        <w:tc>
          <w:tcPr>
            <w:tcW w:w="40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1585 </w:t>
            </w:r>
          </w:p>
        </w:tc>
        <w:tc>
          <w:tcPr>
            <w:tcW w:w="411"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1425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147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30</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2536 </w:t>
            </w:r>
          </w:p>
        </w:tc>
        <w:tc>
          <w:tcPr>
            <w:tcW w:w="365"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2412 </w:t>
            </w:r>
          </w:p>
        </w:tc>
        <w:tc>
          <w:tcPr>
            <w:tcW w:w="38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2277 </w:t>
            </w:r>
          </w:p>
        </w:tc>
        <w:tc>
          <w:tcPr>
            <w:tcW w:w="37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2132 </w:t>
            </w:r>
          </w:p>
        </w:tc>
        <w:tc>
          <w:tcPr>
            <w:tcW w:w="39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1980 </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1823 </w:t>
            </w:r>
          </w:p>
        </w:tc>
        <w:tc>
          <w:tcPr>
            <w:tcW w:w="39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1667 </w:t>
            </w:r>
          </w:p>
        </w:tc>
        <w:tc>
          <w:tcPr>
            <w:tcW w:w="404"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 xml:space="preserve">1513 </w:t>
            </w:r>
          </w:p>
        </w:tc>
        <w:tc>
          <w:tcPr>
            <w:tcW w:w="411"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r>
    </w:tbl>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sz w:val="21"/>
          <w:szCs w:val="24"/>
        </w:rPr>
        <w:t>2  Φ609×16</w:t>
      </w:r>
      <w:r>
        <w:rPr>
          <w:rFonts w:hint="eastAsia" w:ascii="Times New Roman" w:hAnsi="Times New Roman" w:eastAsia="等线" w:cs="Times New Roman"/>
          <w:sz w:val="21"/>
          <w:szCs w:val="24"/>
        </w:rPr>
        <w:t>（</w:t>
      </w:r>
      <w:r>
        <w:rPr>
          <w:rFonts w:ascii="Times New Roman" w:hAnsi="Times New Roman" w:eastAsia="等线" w:cs="Times New Roman"/>
          <w:sz w:val="21"/>
          <w:szCs w:val="24"/>
        </w:rPr>
        <w:t>Q235</w:t>
      </w:r>
      <w:r>
        <w:rPr>
          <w:rFonts w:hint="eastAsia" w:ascii="Times New Roman" w:hAnsi="Times New Roman" w:eastAsia="等线" w:cs="Times New Roman"/>
          <w:sz w:val="21"/>
          <w:szCs w:val="24"/>
        </w:rPr>
        <w:t>）钢管支撑最大轴向荷载设计值见表M.1</w:t>
      </w:r>
      <w:r>
        <w:rPr>
          <w:rFonts w:ascii="Times New Roman" w:hAnsi="Times New Roman" w:eastAsia="等线" w:cs="Times New Roman"/>
          <w:sz w:val="21"/>
          <w:szCs w:val="24"/>
        </w:rPr>
        <w:t>.4-2</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表M.1</w:t>
      </w:r>
      <w:r>
        <w:rPr>
          <w:rFonts w:ascii="Times New Roman" w:hAnsi="Times New Roman" w:eastAsia="等线" w:cs="Times New Roman"/>
          <w:b/>
          <w:sz w:val="21"/>
          <w:szCs w:val="24"/>
        </w:rPr>
        <w:t>.4-2  Φ609×16</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Q235</w:t>
      </w:r>
      <w:r>
        <w:rPr>
          <w:rFonts w:hint="eastAsia" w:ascii="Times New Roman" w:hAnsi="Times New Roman" w:eastAsia="等线" w:cs="Times New Roman"/>
          <w:b/>
          <w:sz w:val="21"/>
          <w:szCs w:val="24"/>
        </w:rPr>
        <w:t>）钢管支撑最大轴向荷载设计值（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184"/>
        <w:gridCol w:w="535"/>
        <w:gridCol w:w="535"/>
        <w:gridCol w:w="535"/>
        <w:gridCol w:w="535"/>
        <w:gridCol w:w="534"/>
        <w:gridCol w:w="534"/>
        <w:gridCol w:w="534"/>
        <w:gridCol w:w="534"/>
        <w:gridCol w:w="534"/>
        <w:gridCol w:w="534"/>
        <w:gridCol w:w="534"/>
        <w:gridCol w:w="534"/>
        <w:gridCol w:w="534"/>
        <w:gridCol w:w="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1" w:type="pct"/>
            <w:vMerge w:val="restar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水平计算</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弯矩设计值</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kN·m</w:t>
            </w:r>
            <w:r>
              <w:rPr>
                <w:rFonts w:hint="eastAsia" w:ascii="Times New Roman" w:hAnsi="Times New Roman" w:eastAsia="等线" w:cs="Times New Roman"/>
                <w:kern w:val="0"/>
                <w:sz w:val="21"/>
                <w:szCs w:val="21"/>
              </w:rPr>
              <w:t>）</w:t>
            </w:r>
          </w:p>
        </w:tc>
        <w:tc>
          <w:tcPr>
            <w:tcW w:w="4319" w:type="pct"/>
            <w:gridSpan w:val="14"/>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受压计算长度（</w:t>
            </w:r>
            <w:r>
              <w:rPr>
                <w:rFonts w:ascii="Times New Roman" w:hAnsi="Times New Roman" w:eastAsia="等线" w:cs="Times New Roman"/>
                <w:spacing w:val="-6"/>
                <w:kern w:val="0"/>
                <w:sz w:val="21"/>
                <w:szCs w:val="21"/>
              </w:rPr>
              <w:t>m</w:t>
            </w:r>
            <w:r>
              <w:rPr>
                <w:rFonts w:hint="eastAsia" w:ascii="Times New Roman" w:hAnsi="Times New Roman" w:eastAsia="等线" w:cs="Times New Roman"/>
                <w:spacing w:val="-6"/>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1" w:type="pct"/>
            <w:vMerge w:val="continue"/>
            <w:tcBorders>
              <w:tl2br w:val="nil"/>
              <w:tr2bl w:val="nil"/>
            </w:tcBorders>
            <w:vAlign w:val="center"/>
          </w:tcPr>
          <w:p>
            <w:pPr>
              <w:widowControl w:val="0"/>
              <w:spacing w:line="240" w:lineRule="exact"/>
              <w:jc w:val="left"/>
              <w:rPr>
                <w:rFonts w:ascii="Times New Roman" w:hAnsi="Times New Roman" w:eastAsia="等线" w:cs="Times New Roman"/>
                <w:spacing w:val="-6"/>
                <w:kern w:val="0"/>
                <w:sz w:val="21"/>
                <w:szCs w:val="21"/>
              </w:rPr>
            </w:pP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9</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12</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13</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14</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19</w:t>
            </w:r>
          </w:p>
        </w:tc>
        <w:tc>
          <w:tcPr>
            <w:tcW w:w="317"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1"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4146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4023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3892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3747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3591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3426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3248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3061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2866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2666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2462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2260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2058 </w:t>
            </w:r>
          </w:p>
        </w:tc>
        <w:tc>
          <w:tcPr>
            <w:tcW w:w="317"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1865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1"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75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3933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3818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3696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3560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3415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3260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3096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2921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2740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2553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2363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2175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1986 </w:t>
            </w:r>
          </w:p>
        </w:tc>
        <w:tc>
          <w:tcPr>
            <w:tcW w:w="317"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1803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1"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125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3695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3586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3471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3343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3207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3065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2911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2750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2582 </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17"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r>
    </w:tbl>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sz w:val="21"/>
          <w:szCs w:val="24"/>
        </w:rPr>
        <w:t>3  Φ630×16</w:t>
      </w:r>
      <w:r>
        <w:rPr>
          <w:rFonts w:hint="eastAsia" w:ascii="Times New Roman" w:hAnsi="Times New Roman" w:eastAsia="等线" w:cs="Times New Roman"/>
          <w:sz w:val="21"/>
          <w:szCs w:val="24"/>
        </w:rPr>
        <w:t>（</w:t>
      </w:r>
      <w:r>
        <w:rPr>
          <w:rFonts w:ascii="Times New Roman" w:hAnsi="Times New Roman" w:eastAsia="等线" w:cs="Times New Roman"/>
          <w:sz w:val="21"/>
          <w:szCs w:val="24"/>
        </w:rPr>
        <w:t>Q235</w:t>
      </w:r>
      <w:r>
        <w:rPr>
          <w:rFonts w:hint="eastAsia" w:ascii="Times New Roman" w:hAnsi="Times New Roman" w:eastAsia="等线" w:cs="Times New Roman"/>
          <w:sz w:val="21"/>
          <w:szCs w:val="24"/>
        </w:rPr>
        <w:t>）钢管支撑最大轴向荷载设计值见表M.1</w:t>
      </w:r>
      <w:r>
        <w:rPr>
          <w:rFonts w:ascii="Times New Roman" w:hAnsi="Times New Roman" w:eastAsia="等线" w:cs="Times New Roman"/>
          <w:sz w:val="21"/>
          <w:szCs w:val="24"/>
        </w:rPr>
        <w:t>.4-3</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表M.1</w:t>
      </w:r>
      <w:r>
        <w:rPr>
          <w:rFonts w:ascii="Times New Roman" w:hAnsi="Times New Roman" w:eastAsia="等线" w:cs="Times New Roman"/>
          <w:b/>
          <w:sz w:val="21"/>
          <w:szCs w:val="24"/>
        </w:rPr>
        <w:t>.4-3  Φ630×16</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Q235</w:t>
      </w:r>
      <w:r>
        <w:rPr>
          <w:rFonts w:hint="eastAsia" w:ascii="Times New Roman" w:hAnsi="Times New Roman" w:eastAsia="等线" w:cs="Times New Roman"/>
          <w:b/>
          <w:sz w:val="21"/>
          <w:szCs w:val="24"/>
        </w:rPr>
        <w:t>）钢管支撑最大轴向荷载设计值（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194"/>
        <w:gridCol w:w="535"/>
        <w:gridCol w:w="535"/>
        <w:gridCol w:w="535"/>
        <w:gridCol w:w="535"/>
        <w:gridCol w:w="535"/>
        <w:gridCol w:w="534"/>
        <w:gridCol w:w="534"/>
        <w:gridCol w:w="534"/>
        <w:gridCol w:w="534"/>
        <w:gridCol w:w="534"/>
        <w:gridCol w:w="534"/>
        <w:gridCol w:w="534"/>
        <w:gridCol w:w="534"/>
        <w:gridCol w:w="5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7" w:type="pct"/>
            <w:vMerge w:val="restar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水平计算</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弯矩设计值</w:t>
            </w:r>
          </w:p>
          <w:p>
            <w:pPr>
              <w:widowControl w:val="0"/>
              <w:spacing w:line="240" w:lineRule="exact"/>
              <w:ind w:left="-48" w:leftChars="-20"/>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kern w:val="0"/>
                <w:sz w:val="21"/>
                <w:szCs w:val="21"/>
              </w:rPr>
              <w:t>kN</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w:t>
            </w:r>
            <w:r>
              <w:rPr>
                <w:rFonts w:hint="eastAsia" w:ascii="Times New Roman" w:hAnsi="Times New Roman" w:eastAsia="等线" w:cs="Times New Roman"/>
                <w:spacing w:val="-17"/>
                <w:kern w:val="0"/>
                <w:sz w:val="21"/>
                <w:szCs w:val="21"/>
              </w:rPr>
              <w:t>）</w:t>
            </w:r>
          </w:p>
        </w:tc>
        <w:tc>
          <w:tcPr>
            <w:tcW w:w="4313" w:type="pct"/>
            <w:gridSpan w:val="14"/>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受压计算长度（</w:t>
            </w:r>
            <w:r>
              <w:rPr>
                <w:rFonts w:ascii="Times New Roman" w:hAnsi="Times New Roman" w:eastAsia="等线" w:cs="Times New Roman"/>
                <w:spacing w:val="-6"/>
                <w:kern w:val="0"/>
                <w:sz w:val="21"/>
                <w:szCs w:val="21"/>
              </w:rPr>
              <w:t>m</w:t>
            </w:r>
            <w:r>
              <w:rPr>
                <w:rFonts w:hint="eastAsia" w:ascii="Times New Roman" w:hAnsi="Times New Roman" w:eastAsia="等线" w:cs="Times New Roman"/>
                <w:spacing w:val="-6"/>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7" w:type="pct"/>
            <w:vMerge w:val="continue"/>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9</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12</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13</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14</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19</w:t>
            </w:r>
          </w:p>
        </w:tc>
        <w:tc>
          <w:tcPr>
            <w:tcW w:w="310"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7"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4358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4236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4106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3961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3806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3640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3461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3273</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3077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2873</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2667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2460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2253</w:t>
            </w:r>
          </w:p>
        </w:tc>
        <w:tc>
          <w:tcPr>
            <w:tcW w:w="310"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7"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75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4152</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4037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3915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3778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3632</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3477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3310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3136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2952</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2761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2568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2373</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2178</w:t>
            </w:r>
          </w:p>
        </w:tc>
        <w:tc>
          <w:tcPr>
            <w:tcW w:w="310"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1988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7" w:type="pct"/>
            <w:tcBorders>
              <w:tl2br w:val="nil"/>
              <w:tr2bl w:val="nil"/>
            </w:tcBorders>
            <w:vAlign w:val="center"/>
          </w:tcPr>
          <w:p>
            <w:pPr>
              <w:widowControl w:val="0"/>
              <w:spacing w:line="240" w:lineRule="exact"/>
              <w:jc w:val="center"/>
              <w:rPr>
                <w:rFonts w:ascii="Times New Roman" w:hAnsi="Times New Roman" w:eastAsia="等线" w:cs="Times New Roman"/>
                <w:spacing w:val="-6"/>
                <w:sz w:val="21"/>
                <w:szCs w:val="21"/>
              </w:rPr>
            </w:pPr>
            <w:r>
              <w:rPr>
                <w:rFonts w:ascii="Times New Roman" w:hAnsi="Times New Roman" w:eastAsia="等线" w:cs="Times New Roman"/>
                <w:spacing w:val="-6"/>
                <w:sz w:val="21"/>
                <w:szCs w:val="21"/>
              </w:rPr>
              <w:t>125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3920</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3811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3695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3567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3431</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3285</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3128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2967</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2796</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2618</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08"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c>
          <w:tcPr>
            <w:tcW w:w="310" w:type="pct"/>
            <w:tcBorders>
              <w:tl2br w:val="nil"/>
              <w:tr2bl w:val="nil"/>
            </w:tcBorders>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kern w:val="0"/>
                <w:sz w:val="21"/>
                <w:szCs w:val="21"/>
              </w:rPr>
              <w:t>—</w:t>
            </w:r>
          </w:p>
        </w:tc>
      </w:tr>
    </w:tbl>
    <w:p>
      <w:pPr>
        <w:widowControl w:val="0"/>
        <w:spacing w:line="360" w:lineRule="auto"/>
        <w:ind w:firstLine="375" w:firstLineChars="179"/>
        <w:rPr>
          <w:rFonts w:ascii="Times New Roman" w:hAnsi="Times New Roman" w:eastAsia="方正书宋简体" w:cs="Times New Roman"/>
          <w:b/>
          <w:sz w:val="21"/>
          <w:szCs w:val="21"/>
        </w:rPr>
      </w:pPr>
      <w:r>
        <w:rPr>
          <w:rFonts w:ascii="Times New Roman" w:hAnsi="Times New Roman" w:eastAsia="等线" w:cs="Times New Roman"/>
          <w:sz w:val="21"/>
          <w:szCs w:val="24"/>
        </w:rPr>
        <w:t>4  Φ800×16</w:t>
      </w:r>
      <w:r>
        <w:rPr>
          <w:rFonts w:hint="eastAsia" w:ascii="Times New Roman" w:hAnsi="Times New Roman" w:eastAsia="等线" w:cs="Times New Roman"/>
          <w:sz w:val="21"/>
          <w:szCs w:val="24"/>
        </w:rPr>
        <w:t>（</w:t>
      </w:r>
      <w:r>
        <w:rPr>
          <w:rFonts w:ascii="Times New Roman" w:hAnsi="Times New Roman" w:eastAsia="等线" w:cs="Times New Roman"/>
          <w:sz w:val="21"/>
          <w:szCs w:val="24"/>
        </w:rPr>
        <w:t>Q235</w:t>
      </w:r>
      <w:r>
        <w:rPr>
          <w:rFonts w:hint="eastAsia" w:ascii="Times New Roman" w:hAnsi="Times New Roman" w:eastAsia="等线" w:cs="Times New Roman"/>
          <w:sz w:val="21"/>
          <w:szCs w:val="24"/>
        </w:rPr>
        <w:t>）钢管支撑最大轴向荷载设计值见表M.1</w:t>
      </w:r>
      <w:r>
        <w:rPr>
          <w:rFonts w:ascii="Times New Roman" w:hAnsi="Times New Roman" w:eastAsia="等线" w:cs="Times New Roman"/>
          <w:sz w:val="21"/>
          <w:szCs w:val="24"/>
        </w:rPr>
        <w:t>.4-4</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表M.1</w:t>
      </w:r>
      <w:r>
        <w:rPr>
          <w:rFonts w:ascii="Times New Roman" w:hAnsi="Times New Roman" w:eastAsia="等线" w:cs="Times New Roman"/>
          <w:b/>
          <w:sz w:val="21"/>
          <w:szCs w:val="24"/>
        </w:rPr>
        <w:t>.4-4  Φ800×16</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Q235</w:t>
      </w:r>
      <w:r>
        <w:rPr>
          <w:rFonts w:hint="eastAsia" w:ascii="Times New Roman" w:hAnsi="Times New Roman" w:eastAsia="等线" w:cs="Times New Roman"/>
          <w:b/>
          <w:sz w:val="21"/>
          <w:szCs w:val="24"/>
        </w:rPr>
        <w:t>）钢管支撑最大轴向荷载设计值（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259"/>
        <w:gridCol w:w="530"/>
        <w:gridCol w:w="530"/>
        <w:gridCol w:w="530"/>
        <w:gridCol w:w="530"/>
        <w:gridCol w:w="530"/>
        <w:gridCol w:w="529"/>
        <w:gridCol w:w="529"/>
        <w:gridCol w:w="529"/>
        <w:gridCol w:w="529"/>
        <w:gridCol w:w="529"/>
        <w:gridCol w:w="529"/>
        <w:gridCol w:w="529"/>
        <w:gridCol w:w="529"/>
        <w:gridCol w:w="5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24" w:type="pct"/>
            <w:vMerge w:val="restar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水平计算</w:t>
            </w:r>
          </w:p>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弯矩设计值</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kern w:val="0"/>
                <w:sz w:val="21"/>
                <w:szCs w:val="21"/>
              </w:rPr>
              <w:t>kN</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w:t>
            </w:r>
            <w:r>
              <w:rPr>
                <w:rFonts w:hint="eastAsia" w:ascii="Times New Roman" w:hAnsi="Times New Roman" w:eastAsia="等线" w:cs="Times New Roman"/>
                <w:spacing w:val="-17"/>
                <w:kern w:val="0"/>
                <w:sz w:val="21"/>
                <w:szCs w:val="21"/>
              </w:rPr>
              <w:t>）</w:t>
            </w:r>
          </w:p>
        </w:tc>
        <w:tc>
          <w:tcPr>
            <w:tcW w:w="4276" w:type="pct"/>
            <w:gridSpan w:val="14"/>
            <w:tcBorders>
              <w:tl2br w:val="nil"/>
              <w:tr2bl w:val="nil"/>
            </w:tcBorders>
            <w:noWrap/>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24" w:type="pct"/>
            <w:vMerge w:val="continue"/>
            <w:tcBorders>
              <w:tl2br w:val="nil"/>
              <w:tr2bl w:val="nil"/>
            </w:tcBorders>
            <w:vAlign w:val="center"/>
          </w:tcPr>
          <w:p>
            <w:pPr>
              <w:widowControl w:val="0"/>
              <w:spacing w:line="240" w:lineRule="exact"/>
              <w:jc w:val="left"/>
              <w:rPr>
                <w:rFonts w:ascii="Times New Roman" w:hAnsi="Times New Roman" w:eastAsia="等线" w:cs="Times New Roman"/>
                <w:kern w:val="0"/>
                <w:sz w:val="21"/>
                <w:szCs w:val="21"/>
              </w:rPr>
            </w:pP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13</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16</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17</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18</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19</w:t>
            </w:r>
          </w:p>
        </w:tc>
        <w:tc>
          <w:tcPr>
            <w:tcW w:w="306"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24"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6112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5990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5860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5716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5565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5400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5223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5035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4837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4627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4406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4178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3943 </w:t>
            </w:r>
          </w:p>
        </w:tc>
        <w:tc>
          <w:tcPr>
            <w:tcW w:w="306"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3703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24"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125</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5752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5640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5520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5388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5250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5098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4937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4765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4585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4392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4190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3980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3765 </w:t>
            </w:r>
          </w:p>
        </w:tc>
        <w:tc>
          <w:tcPr>
            <w:tcW w:w="306"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3543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24"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250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5338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5233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5123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5002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4875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4736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4588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4431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4266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4091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3907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3717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3521 </w:t>
            </w:r>
          </w:p>
        </w:tc>
        <w:tc>
          <w:tcPr>
            <w:tcW w:w="306"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3318 </w:t>
            </w:r>
          </w:p>
        </w:tc>
      </w:tr>
    </w:tbl>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sz w:val="21"/>
          <w:szCs w:val="24"/>
        </w:rPr>
        <w:t>5  Φ800×20</w:t>
      </w:r>
      <w:r>
        <w:rPr>
          <w:rFonts w:hint="eastAsia" w:ascii="Times New Roman" w:hAnsi="Times New Roman" w:eastAsia="等线" w:cs="Times New Roman"/>
          <w:sz w:val="21"/>
          <w:szCs w:val="24"/>
        </w:rPr>
        <w:t>（</w:t>
      </w:r>
      <w:r>
        <w:rPr>
          <w:rFonts w:ascii="Times New Roman" w:hAnsi="Times New Roman" w:eastAsia="等线" w:cs="Times New Roman"/>
          <w:sz w:val="21"/>
          <w:szCs w:val="24"/>
        </w:rPr>
        <w:t>Q235</w:t>
      </w:r>
      <w:r>
        <w:rPr>
          <w:rFonts w:hint="eastAsia" w:ascii="Times New Roman" w:hAnsi="Times New Roman" w:eastAsia="等线" w:cs="Times New Roman"/>
          <w:sz w:val="21"/>
          <w:szCs w:val="24"/>
        </w:rPr>
        <w:t>）钢管支撑最大轴向荷载设计值见表M.1</w:t>
      </w:r>
      <w:r>
        <w:rPr>
          <w:rFonts w:ascii="Times New Roman" w:hAnsi="Times New Roman" w:eastAsia="等线" w:cs="Times New Roman"/>
          <w:sz w:val="21"/>
          <w:szCs w:val="24"/>
        </w:rPr>
        <w:t>.4-5</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表M.1</w:t>
      </w:r>
      <w:r>
        <w:rPr>
          <w:rFonts w:ascii="Times New Roman" w:hAnsi="Times New Roman" w:eastAsia="等线" w:cs="Times New Roman"/>
          <w:b/>
          <w:sz w:val="21"/>
          <w:szCs w:val="24"/>
        </w:rPr>
        <w:t>.4-5  Φ800×20</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Q235</w:t>
      </w:r>
      <w:r>
        <w:rPr>
          <w:rFonts w:hint="eastAsia" w:ascii="Times New Roman" w:hAnsi="Times New Roman" w:eastAsia="等线" w:cs="Times New Roman"/>
          <w:b/>
          <w:sz w:val="21"/>
          <w:szCs w:val="24"/>
        </w:rPr>
        <w:t>）钢管支撑最大轴向荷载设计值（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270"/>
        <w:gridCol w:w="530"/>
        <w:gridCol w:w="530"/>
        <w:gridCol w:w="530"/>
        <w:gridCol w:w="530"/>
        <w:gridCol w:w="530"/>
        <w:gridCol w:w="529"/>
        <w:gridCol w:w="529"/>
        <w:gridCol w:w="529"/>
        <w:gridCol w:w="529"/>
        <w:gridCol w:w="529"/>
        <w:gridCol w:w="529"/>
        <w:gridCol w:w="529"/>
        <w:gridCol w:w="529"/>
        <w:gridCol w:w="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31" w:type="pct"/>
            <w:vMerge w:val="restar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水平计算</w:t>
            </w:r>
          </w:p>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弯矩设计值</w:t>
            </w:r>
          </w:p>
          <w:p>
            <w:pPr>
              <w:widowControl w:val="0"/>
              <w:spacing w:line="240" w:lineRule="exact"/>
              <w:jc w:val="center"/>
              <w:rPr>
                <w:rFonts w:ascii="Times New Roman" w:hAnsi="Times New Roman" w:eastAsia="等线" w:cs="Times New Roman"/>
                <w:spacing w:val="-11"/>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kern w:val="0"/>
                <w:sz w:val="21"/>
                <w:szCs w:val="21"/>
              </w:rPr>
              <w:t>kN</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w:t>
            </w:r>
            <w:r>
              <w:rPr>
                <w:rFonts w:hint="eastAsia" w:ascii="Times New Roman" w:hAnsi="Times New Roman" w:eastAsia="等线" w:cs="Times New Roman"/>
                <w:spacing w:val="-17"/>
                <w:kern w:val="0"/>
                <w:sz w:val="21"/>
                <w:szCs w:val="21"/>
              </w:rPr>
              <w:t>）</w:t>
            </w:r>
          </w:p>
        </w:tc>
        <w:tc>
          <w:tcPr>
            <w:tcW w:w="4269" w:type="pct"/>
            <w:gridSpan w:val="14"/>
            <w:tcBorders>
              <w:tl2br w:val="nil"/>
              <w:tr2bl w:val="nil"/>
            </w:tcBorders>
            <w:noWrap/>
            <w:vAlign w:val="center"/>
          </w:tcPr>
          <w:p>
            <w:pPr>
              <w:widowControl w:val="0"/>
              <w:spacing w:line="240" w:lineRule="exact"/>
              <w:jc w:val="center"/>
              <w:rPr>
                <w:rFonts w:ascii="Times New Roman" w:hAnsi="Times New Roman" w:eastAsia="等线" w:cs="Times New Roman"/>
                <w:spacing w:val="-11"/>
                <w:kern w:val="0"/>
                <w:sz w:val="21"/>
                <w:szCs w:val="21"/>
              </w:rPr>
            </w:pPr>
            <w:r>
              <w:rPr>
                <w:rFonts w:hint="eastAsia" w:ascii="Times New Roman" w:hAnsi="Times New Roman" w:eastAsia="等线" w:cs="Times New Roman"/>
                <w:spacing w:val="-11"/>
                <w:kern w:val="0"/>
                <w:sz w:val="21"/>
                <w:szCs w:val="21"/>
              </w:rPr>
              <w:t>受压计算长度（</w:t>
            </w:r>
            <w:r>
              <w:rPr>
                <w:rFonts w:ascii="Times New Roman" w:hAnsi="Times New Roman" w:eastAsia="等线" w:cs="Times New Roman"/>
                <w:spacing w:val="-11"/>
                <w:kern w:val="0"/>
                <w:sz w:val="21"/>
                <w:szCs w:val="21"/>
              </w:rPr>
              <w:t>m</w:t>
            </w:r>
            <w:r>
              <w:rPr>
                <w:rFonts w:hint="eastAsia" w:ascii="Times New Roman" w:hAnsi="Times New Roman" w:eastAsia="等线" w:cs="Times New Roman"/>
                <w:spacing w:val="-11"/>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31" w:type="pct"/>
            <w:vMerge w:val="continue"/>
            <w:tcBorders>
              <w:tl2br w:val="nil"/>
              <w:tr2bl w:val="nil"/>
            </w:tcBorders>
            <w:vAlign w:val="center"/>
          </w:tcPr>
          <w:p>
            <w:pPr>
              <w:widowControl w:val="0"/>
              <w:spacing w:line="240" w:lineRule="exact"/>
              <w:jc w:val="left"/>
              <w:rPr>
                <w:rFonts w:ascii="Times New Roman" w:hAnsi="Times New Roman" w:eastAsia="等线" w:cs="Times New Roman"/>
                <w:spacing w:val="-11"/>
                <w:kern w:val="0"/>
                <w:sz w:val="21"/>
                <w:szCs w:val="21"/>
              </w:rPr>
            </w:pP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7</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8</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9</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11</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12</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13</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14</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15</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16</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17</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18</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19</w:t>
            </w:r>
          </w:p>
        </w:tc>
        <w:tc>
          <w:tcPr>
            <w:tcW w:w="310"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sz w:val="21"/>
                <w:szCs w:val="21"/>
              </w:rPr>
            </w:pPr>
            <w:r>
              <w:rPr>
                <w:rFonts w:ascii="Times New Roman" w:hAnsi="Times New Roman" w:eastAsia="等线" w:cs="Times New Roman"/>
                <w:spacing w:val="-17"/>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31"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7595</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7445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7288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7116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6933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6733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6523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6297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6060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5807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5543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5268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4986 </w:t>
            </w:r>
          </w:p>
        </w:tc>
        <w:tc>
          <w:tcPr>
            <w:tcW w:w="310"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4696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31"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125</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7236</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7096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6950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6788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6618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6431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6236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6025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5803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5568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5322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5066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4802 </w:t>
            </w:r>
          </w:p>
        </w:tc>
        <w:tc>
          <w:tcPr>
            <w:tcW w:w="310"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4531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731"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250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6830</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6698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6560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6408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6250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6075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5892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5696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5491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5272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5045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4806 </w:t>
            </w:r>
          </w:p>
        </w:tc>
        <w:tc>
          <w:tcPr>
            <w:tcW w:w="305"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4562 </w:t>
            </w:r>
          </w:p>
        </w:tc>
        <w:tc>
          <w:tcPr>
            <w:tcW w:w="310"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4310 </w:t>
            </w:r>
          </w:p>
        </w:tc>
      </w:tr>
    </w:tbl>
    <w:p>
      <w:pPr>
        <w:widowControl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sz w:val="21"/>
          <w:szCs w:val="24"/>
        </w:rPr>
        <w:t>6  Φ800×20</w:t>
      </w:r>
      <w:r>
        <w:rPr>
          <w:rFonts w:hint="eastAsia" w:ascii="Times New Roman" w:hAnsi="Times New Roman" w:eastAsia="等线" w:cs="Times New Roman"/>
          <w:sz w:val="21"/>
          <w:szCs w:val="24"/>
        </w:rPr>
        <w:t>（</w:t>
      </w:r>
      <w:r>
        <w:rPr>
          <w:rFonts w:ascii="Times New Roman" w:hAnsi="Times New Roman" w:eastAsia="等线" w:cs="Times New Roman"/>
          <w:sz w:val="21"/>
          <w:szCs w:val="24"/>
        </w:rPr>
        <w:t>Q345</w:t>
      </w:r>
      <w:r>
        <w:rPr>
          <w:rFonts w:hint="eastAsia" w:ascii="Times New Roman" w:hAnsi="Times New Roman" w:eastAsia="等线" w:cs="Times New Roman"/>
          <w:sz w:val="21"/>
          <w:szCs w:val="24"/>
        </w:rPr>
        <w:t>）钢管支撑最大轴向荷载设计值见表M.1</w:t>
      </w:r>
      <w:r>
        <w:rPr>
          <w:rFonts w:ascii="Times New Roman" w:hAnsi="Times New Roman" w:eastAsia="等线" w:cs="Times New Roman"/>
          <w:sz w:val="21"/>
          <w:szCs w:val="24"/>
        </w:rPr>
        <w:t>.4-6</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1.4-6  Φ800×20</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Q345</w:t>
      </w:r>
      <w:r>
        <w:rPr>
          <w:rFonts w:hint="eastAsia" w:ascii="Times New Roman" w:hAnsi="Times New Roman" w:eastAsia="等线" w:cs="Times New Roman"/>
          <w:b/>
          <w:sz w:val="21"/>
          <w:szCs w:val="24"/>
        </w:rPr>
        <w:t>）钢管支撑最大轴向荷载设计值（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185"/>
        <w:gridCol w:w="535"/>
        <w:gridCol w:w="535"/>
        <w:gridCol w:w="535"/>
        <w:gridCol w:w="535"/>
        <w:gridCol w:w="535"/>
        <w:gridCol w:w="534"/>
        <w:gridCol w:w="534"/>
        <w:gridCol w:w="534"/>
        <w:gridCol w:w="534"/>
        <w:gridCol w:w="534"/>
        <w:gridCol w:w="534"/>
        <w:gridCol w:w="534"/>
        <w:gridCol w:w="534"/>
        <w:gridCol w:w="5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2" w:type="pct"/>
            <w:vMerge w:val="restar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水平计算</w:t>
            </w:r>
          </w:p>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弯矩设计值</w:t>
            </w:r>
          </w:p>
          <w:p>
            <w:pPr>
              <w:widowControl w:val="0"/>
              <w:spacing w:line="240" w:lineRule="exact"/>
              <w:ind w:left="-48" w:leftChars="-20"/>
              <w:jc w:val="center"/>
              <w:rPr>
                <w:rFonts w:ascii="Times New Roman" w:hAnsi="Times New Roman" w:eastAsia="等线" w:cs="Times New Roman"/>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kern w:val="0"/>
                <w:sz w:val="21"/>
                <w:szCs w:val="21"/>
              </w:rPr>
              <w:t>kN</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m</w:t>
            </w:r>
            <w:r>
              <w:rPr>
                <w:rFonts w:hint="eastAsia" w:ascii="Times New Roman" w:hAnsi="Times New Roman" w:eastAsia="等线" w:cs="Times New Roman"/>
                <w:spacing w:val="-17"/>
                <w:kern w:val="0"/>
                <w:sz w:val="21"/>
                <w:szCs w:val="21"/>
              </w:rPr>
              <w:t>）</w:t>
            </w:r>
          </w:p>
        </w:tc>
        <w:tc>
          <w:tcPr>
            <w:tcW w:w="4318" w:type="pct"/>
            <w:gridSpan w:val="14"/>
            <w:tcBorders>
              <w:tl2br w:val="nil"/>
              <w:tr2bl w:val="nil"/>
            </w:tcBorders>
            <w:noWrap/>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2" w:type="pct"/>
            <w:vMerge w:val="continue"/>
            <w:tcBorders>
              <w:tl2br w:val="nil"/>
              <w:tr2bl w:val="nil"/>
            </w:tcBorders>
            <w:vAlign w:val="center"/>
          </w:tcPr>
          <w:p>
            <w:pPr>
              <w:widowControl w:val="0"/>
              <w:spacing w:line="240" w:lineRule="exact"/>
              <w:jc w:val="left"/>
              <w:rPr>
                <w:rFonts w:ascii="Times New Roman" w:hAnsi="Times New Roman" w:eastAsia="等线" w:cs="Times New Roman"/>
                <w:kern w:val="0"/>
                <w:sz w:val="21"/>
                <w:szCs w:val="21"/>
              </w:rPr>
            </w:pP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13</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16</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17</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18</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19</w:t>
            </w:r>
          </w:p>
        </w:tc>
        <w:tc>
          <w:tcPr>
            <w:tcW w:w="317"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2"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w w:val="90"/>
                <w:sz w:val="21"/>
                <w:szCs w:val="21"/>
              </w:rPr>
            </w:pPr>
            <w:r>
              <w:rPr>
                <w:rFonts w:ascii="Times New Roman" w:hAnsi="Times New Roman" w:eastAsia="等线" w:cs="Times New Roman"/>
                <w:spacing w:val="-17"/>
                <w:w w:val="90"/>
                <w:sz w:val="21"/>
                <w:szCs w:val="21"/>
              </w:rPr>
              <w:t>10275</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7"/>
                <w:w w:val="90"/>
                <w:sz w:val="21"/>
                <w:szCs w:val="21"/>
              </w:rPr>
            </w:pPr>
            <w:r>
              <w:rPr>
                <w:rFonts w:ascii="Times New Roman" w:hAnsi="Times New Roman" w:eastAsia="等线" w:cs="Times New Roman"/>
                <w:spacing w:val="-17"/>
                <w:w w:val="90"/>
                <w:sz w:val="21"/>
                <w:szCs w:val="21"/>
              </w:rPr>
              <w:t>10055</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9815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9548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9271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8971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8657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8320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7961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7593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7207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6812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6415 </w:t>
            </w:r>
          </w:p>
        </w:tc>
        <w:tc>
          <w:tcPr>
            <w:tcW w:w="317"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6017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2"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125</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9921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9707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9476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9220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8953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8665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8365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8041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7700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7348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6981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6605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6227 </w:t>
            </w:r>
          </w:p>
        </w:tc>
        <w:tc>
          <w:tcPr>
            <w:tcW w:w="317"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5850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82" w:type="pct"/>
            <w:tcBorders>
              <w:tl2br w:val="nil"/>
              <w:tr2bl w:val="nil"/>
            </w:tcBorders>
            <w:noWrap/>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250</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9528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9321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9097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8851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8593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8317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8028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7720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7392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7058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6710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6352 </w:t>
            </w:r>
          </w:p>
        </w:tc>
        <w:tc>
          <w:tcPr>
            <w:tcW w:w="308"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5993 </w:t>
            </w:r>
          </w:p>
        </w:tc>
        <w:tc>
          <w:tcPr>
            <w:tcW w:w="317" w:type="pct"/>
            <w:tcBorders>
              <w:tl2br w:val="nil"/>
              <w:tr2bl w:val="nil"/>
            </w:tcBorders>
            <w:noWrap/>
            <w:vAlign w:val="center"/>
          </w:tcPr>
          <w:p>
            <w:pPr>
              <w:widowControl w:val="0"/>
              <w:spacing w:line="240" w:lineRule="exact"/>
              <w:jc w:val="center"/>
              <w:rPr>
                <w:rFonts w:ascii="Times New Roman" w:hAnsi="Times New Roman" w:eastAsia="等线" w:cs="Times New Roman"/>
                <w:spacing w:val="-11"/>
                <w:sz w:val="21"/>
                <w:szCs w:val="21"/>
              </w:rPr>
            </w:pPr>
            <w:r>
              <w:rPr>
                <w:rFonts w:ascii="Times New Roman" w:hAnsi="Times New Roman" w:eastAsia="等线" w:cs="Times New Roman"/>
                <w:spacing w:val="-11"/>
                <w:sz w:val="21"/>
                <w:szCs w:val="21"/>
              </w:rPr>
              <w:t xml:space="preserve">5636 </w:t>
            </w:r>
          </w:p>
        </w:tc>
      </w:tr>
    </w:tbl>
    <w:p>
      <w:pPr>
        <w:widowControl w:val="0"/>
        <w:spacing w:line="360" w:lineRule="auto"/>
        <w:rPr>
          <w:rFonts w:ascii="Times New Roman" w:hAnsi="Times New Roman" w:eastAsia="方正书宋简体" w:cs="Times New Roman"/>
          <w:b/>
          <w:sz w:val="21"/>
          <w:szCs w:val="24"/>
        </w:rPr>
      </w:pPr>
    </w:p>
    <w:p>
      <w:pPr>
        <w:widowControl w:val="0"/>
        <w:spacing w:line="360" w:lineRule="auto"/>
        <w:jc w:val="center"/>
        <w:rPr>
          <w:rFonts w:ascii="Times New Roman" w:hAnsi="Times New Roman" w:eastAsia="方正书宋简体" w:cs="Times New Roman"/>
          <w:b/>
          <w:sz w:val="28"/>
          <w:szCs w:val="28"/>
        </w:rPr>
      </w:pPr>
      <w:r>
        <w:rPr>
          <w:rFonts w:hint="eastAsia" w:ascii="Times New Roman" w:hAnsi="Times New Roman" w:eastAsia="方正书宋简体" w:cs="Times New Roman"/>
          <w:b/>
          <w:sz w:val="28"/>
          <w:szCs w:val="28"/>
        </w:rPr>
        <w:t>M.2  常用的型钢支撑</w:t>
      </w:r>
    </w:p>
    <w:p>
      <w:pPr>
        <w:widowControl w:val="0"/>
        <w:spacing w:line="360" w:lineRule="auto"/>
        <w:rPr>
          <w:rFonts w:ascii="Times New Roman" w:hAnsi="Times New Roman" w:eastAsia="方正书宋简体" w:cs="Times New Roman"/>
          <w:sz w:val="21"/>
          <w:szCs w:val="21"/>
        </w:rPr>
      </w:pPr>
      <w:r>
        <w:rPr>
          <w:rFonts w:hint="eastAsia" w:ascii="Times New Roman" w:hAnsi="Times New Roman" w:eastAsia="方正书宋简体" w:cs="Times New Roman"/>
          <w:b/>
          <w:sz w:val="21"/>
          <w:szCs w:val="24"/>
        </w:rPr>
        <w:t>M.</w:t>
      </w:r>
      <w:r>
        <w:rPr>
          <w:rFonts w:ascii="Times New Roman" w:hAnsi="Times New Roman" w:eastAsia="方正书宋简体" w:cs="Times New Roman"/>
          <w:b/>
          <w:sz w:val="21"/>
          <w:szCs w:val="24"/>
        </w:rPr>
        <w:t>2.1</w:t>
      </w:r>
      <w:r>
        <w:rPr>
          <w:rFonts w:ascii="Times New Roman" w:hAnsi="Times New Roman" w:eastAsia="等线" w:cs="Times New Roman"/>
          <w:sz w:val="21"/>
          <w:szCs w:val="24"/>
        </w:rPr>
        <w:t xml:space="preserve">  </w:t>
      </w:r>
      <w:r>
        <w:rPr>
          <w:rFonts w:hint="eastAsia" w:ascii="Times New Roman" w:hAnsi="Times New Roman" w:eastAsia="等线" w:cs="Times New Roman"/>
          <w:sz w:val="21"/>
          <w:szCs w:val="24"/>
        </w:rPr>
        <w:t>常用的型钢支撑构件规格见表M.</w:t>
      </w:r>
      <w:r>
        <w:rPr>
          <w:rFonts w:ascii="Times New Roman" w:hAnsi="Times New Roman" w:eastAsia="等线" w:cs="Times New Roman"/>
          <w:sz w:val="21"/>
          <w:szCs w:val="24"/>
        </w:rPr>
        <w:t>2.1</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 xml:space="preserve">2.1  </w:t>
      </w:r>
      <w:r>
        <w:rPr>
          <w:rFonts w:hint="eastAsia" w:ascii="Times New Roman" w:hAnsi="Times New Roman" w:eastAsia="等线" w:cs="Times New Roman"/>
          <w:b/>
          <w:sz w:val="21"/>
          <w:szCs w:val="24"/>
        </w:rPr>
        <w:t>常用的型钢支撑构件规格</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17" w:type="dxa"/>
          <w:left w:w="17" w:type="dxa"/>
          <w:bottom w:w="17" w:type="dxa"/>
          <w:right w:w="17" w:type="dxa"/>
        </w:tblCellMar>
      </w:tblPr>
      <w:tblGrid>
        <w:gridCol w:w="1898"/>
        <w:gridCol w:w="771"/>
        <w:gridCol w:w="864"/>
        <w:gridCol w:w="806"/>
        <w:gridCol w:w="1026"/>
        <w:gridCol w:w="1146"/>
        <w:gridCol w:w="864"/>
        <w:gridCol w:w="13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0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H</w:t>
            </w:r>
            <w:r>
              <w:rPr>
                <w:rFonts w:hint="eastAsia" w:ascii="Times New Roman" w:hAnsi="Times New Roman" w:eastAsia="等线" w:cs="Times New Roman"/>
                <w:sz w:val="21"/>
                <w:szCs w:val="21"/>
              </w:rPr>
              <w:t>型钢</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规格</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钢材</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材质</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端头板</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厚度</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r>
              <w:rPr>
                <w:rFonts w:ascii="Times New Roman" w:hAnsi="Times New Roman" w:eastAsia="等线" w:cs="Times New Roman"/>
                <w:sz w:val="21"/>
                <w:szCs w:val="21"/>
              </w:rPr>
              <w:t>mm</w:t>
            </w:r>
            <w:r>
              <w:rPr>
                <w:rFonts w:hint="eastAsia" w:ascii="Times New Roman" w:hAnsi="Times New Roman" w:eastAsia="等线" w:cs="Times New Roman"/>
                <w:sz w:val="21"/>
                <w:szCs w:val="21"/>
              </w:rPr>
              <w:t>）</w:t>
            </w:r>
          </w:p>
        </w:tc>
        <w:tc>
          <w:tcPr>
            <w:tcW w:w="590"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端头板螺</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栓孔数量</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（个）</w:t>
            </w:r>
          </w:p>
        </w:tc>
        <w:tc>
          <w:tcPr>
            <w:tcW w:w="663"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翼缘</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螺栓孔间距</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r>
              <w:rPr>
                <w:rFonts w:ascii="Times New Roman" w:hAnsi="Times New Roman" w:eastAsia="等线" w:cs="Times New Roman"/>
                <w:sz w:val="21"/>
                <w:szCs w:val="21"/>
              </w:rPr>
              <w:t>mm</w:t>
            </w:r>
            <w:r>
              <w:rPr>
                <w:rFonts w:hint="eastAsia" w:ascii="Times New Roman" w:hAnsi="Times New Roman" w:eastAsia="等线" w:cs="Times New Roman"/>
                <w:sz w:val="21"/>
                <w:szCs w:val="21"/>
              </w:rPr>
              <w:t>）</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螺栓孔</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直径</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r>
              <w:rPr>
                <w:rFonts w:ascii="Times New Roman" w:hAnsi="Times New Roman" w:eastAsia="等线" w:cs="Times New Roman"/>
                <w:sz w:val="21"/>
                <w:szCs w:val="21"/>
              </w:rPr>
              <w:t>mm</w:t>
            </w:r>
            <w:r>
              <w:rPr>
                <w:rFonts w:hint="eastAsia" w:ascii="Times New Roman" w:hAnsi="Times New Roman" w:eastAsia="等线" w:cs="Times New Roman"/>
                <w:sz w:val="21"/>
                <w:szCs w:val="21"/>
              </w:rPr>
              <w:t>）</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螺栓公称直径</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r>
              <w:rPr>
                <w:rFonts w:ascii="Times New Roman" w:hAnsi="Times New Roman" w:eastAsia="等线" w:cs="Times New Roman"/>
                <w:sz w:val="21"/>
                <w:szCs w:val="21"/>
              </w:rPr>
              <w:t>mm</w:t>
            </w:r>
            <w:r>
              <w:rPr>
                <w:rFonts w:hint="eastAsia" w:ascii="Times New Roman" w:hAnsi="Times New Roman" w:eastAsia="等线" w:cs="Times New Roman"/>
                <w:sz w:val="21"/>
                <w:szCs w:val="21"/>
              </w:rPr>
              <w:t>）</w:t>
            </w:r>
          </w:p>
        </w:tc>
        <w:tc>
          <w:tcPr>
            <w:tcW w:w="87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标准节</w:t>
            </w:r>
          </w:p>
          <w:p>
            <w:pPr>
              <w:widowControl w:val="0"/>
              <w:spacing w:line="220" w:lineRule="exact"/>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长度（</w:t>
            </w:r>
            <w:r>
              <w:rPr>
                <w:rFonts w:ascii="Times New Roman" w:hAnsi="Times New Roman" w:eastAsia="等线" w:cs="Times New Roman"/>
                <w:sz w:val="21"/>
                <w:szCs w:val="21"/>
              </w:rPr>
              <w:t>m</w:t>
            </w:r>
            <w:r>
              <w:rPr>
                <w:rFonts w:hint="eastAsia" w:ascii="Times New Roman" w:hAnsi="Times New Roman" w:eastAsia="等线"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0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300×300×10×15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Q345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16~20</w:t>
            </w:r>
          </w:p>
        </w:tc>
        <w:tc>
          <w:tcPr>
            <w:tcW w:w="590"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w:t>
            </w:r>
            <w:r>
              <w:rPr>
                <w:rFonts w:hint="eastAsia" w:ascii="Times New Roman" w:hAnsi="Times New Roman" w:eastAsia="等线" w:cs="Times New Roman"/>
                <w:sz w:val="21"/>
                <w:szCs w:val="21"/>
              </w:rPr>
              <w:t>或</w:t>
            </w:r>
            <w:r>
              <w:rPr>
                <w:rFonts w:ascii="Times New Roman" w:hAnsi="Times New Roman" w:eastAsia="等线" w:cs="Times New Roman"/>
                <w:sz w:val="21"/>
                <w:szCs w:val="21"/>
              </w:rPr>
              <w:t>8</w:t>
            </w:r>
          </w:p>
        </w:tc>
        <w:tc>
          <w:tcPr>
            <w:tcW w:w="663"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100</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21.5~25.5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20~24</w:t>
            </w:r>
          </w:p>
        </w:tc>
        <w:tc>
          <w:tcPr>
            <w:tcW w:w="877" w:type="pct"/>
            <w:vMerge w:val="restar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0.2</w:t>
            </w:r>
            <w:r>
              <w:rPr>
                <w:rFonts w:hint="eastAsia" w:ascii="Times New Roman" w:hAnsi="Times New Roman" w:eastAsia="等线" w:cs="Times New Roman"/>
                <w:sz w:val="21"/>
                <w:szCs w:val="21"/>
              </w:rPr>
              <w:t>、</w:t>
            </w:r>
            <w:r>
              <w:rPr>
                <w:rFonts w:ascii="Times New Roman" w:hAnsi="Times New Roman" w:eastAsia="等线" w:cs="Times New Roman"/>
                <w:sz w:val="21"/>
                <w:szCs w:val="21"/>
              </w:rPr>
              <w:t>0.3</w:t>
            </w:r>
            <w:r>
              <w:rPr>
                <w:rFonts w:hint="eastAsia" w:ascii="Times New Roman" w:hAnsi="Times New Roman" w:eastAsia="等线" w:cs="Times New Roman"/>
                <w:sz w:val="21"/>
                <w:szCs w:val="21"/>
              </w:rPr>
              <w:t>、</w:t>
            </w:r>
            <w:r>
              <w:rPr>
                <w:rFonts w:ascii="Times New Roman" w:hAnsi="Times New Roman" w:eastAsia="等线" w:cs="Times New Roman"/>
                <w:sz w:val="21"/>
                <w:szCs w:val="21"/>
              </w:rPr>
              <w:t>0.5</w:t>
            </w:r>
            <w:r>
              <w:rPr>
                <w:rFonts w:hint="eastAsia" w:ascii="Times New Roman" w:hAnsi="Times New Roman" w:eastAsia="等线" w:cs="Times New Roman"/>
                <w:sz w:val="21"/>
                <w:szCs w:val="21"/>
              </w:rPr>
              <w:t>、</w:t>
            </w:r>
            <w:r>
              <w:rPr>
                <w:rFonts w:ascii="Times New Roman" w:hAnsi="Times New Roman" w:eastAsia="等线" w:cs="Times New Roman"/>
                <w:sz w:val="21"/>
                <w:szCs w:val="21"/>
              </w:rPr>
              <w:t>1.0</w:t>
            </w:r>
            <w:r>
              <w:rPr>
                <w:rFonts w:hint="eastAsia" w:ascii="Times New Roman" w:hAnsi="Times New Roman" w:eastAsia="等线" w:cs="Times New Roman"/>
                <w:sz w:val="21"/>
                <w:szCs w:val="21"/>
              </w:rPr>
              <w:t>、</w:t>
            </w:r>
            <w:r>
              <w:rPr>
                <w:rFonts w:ascii="Times New Roman" w:hAnsi="Times New Roman" w:eastAsia="等线" w:cs="Times New Roman"/>
                <w:sz w:val="21"/>
                <w:szCs w:val="21"/>
              </w:rPr>
              <w:t>2.0</w:t>
            </w:r>
            <w:r>
              <w:rPr>
                <w:rFonts w:hint="eastAsia" w:ascii="Times New Roman" w:hAnsi="Times New Roman" w:eastAsia="等线" w:cs="Times New Roman"/>
                <w:sz w:val="21"/>
                <w:szCs w:val="21"/>
              </w:rPr>
              <w:t>、</w:t>
            </w:r>
            <w:r>
              <w:rPr>
                <w:rFonts w:ascii="Times New Roman" w:hAnsi="Times New Roman" w:eastAsia="等线" w:cs="Times New Roman"/>
                <w:sz w:val="21"/>
                <w:szCs w:val="21"/>
              </w:rPr>
              <w:t>3.0</w:t>
            </w:r>
            <w:r>
              <w:rPr>
                <w:rFonts w:hint="eastAsia" w:ascii="Times New Roman" w:hAnsi="Times New Roman" w:eastAsia="等线" w:cs="Times New Roman"/>
                <w:sz w:val="21"/>
                <w:szCs w:val="21"/>
              </w:rPr>
              <w:t>、</w:t>
            </w:r>
            <w:r>
              <w:rPr>
                <w:rFonts w:ascii="Times New Roman" w:hAnsi="Times New Roman" w:eastAsia="等线" w:cs="Times New Roman"/>
                <w:sz w:val="21"/>
                <w:szCs w:val="21"/>
              </w:rPr>
              <w:t>4.0</w:t>
            </w:r>
            <w:r>
              <w:rPr>
                <w:rFonts w:hint="eastAsia" w:ascii="Times New Roman" w:hAnsi="Times New Roman" w:eastAsia="等线" w:cs="Times New Roman"/>
                <w:sz w:val="21"/>
                <w:szCs w:val="21"/>
              </w:rPr>
              <w:t>、</w:t>
            </w:r>
            <w:r>
              <w:rPr>
                <w:rFonts w:ascii="Times New Roman" w:hAnsi="Times New Roman" w:eastAsia="等线" w:cs="Times New Roman"/>
                <w:sz w:val="21"/>
                <w:szCs w:val="21"/>
              </w:rPr>
              <w:t>5.0</w:t>
            </w:r>
            <w:r>
              <w:rPr>
                <w:rFonts w:hint="eastAsia" w:ascii="Times New Roman" w:hAnsi="Times New Roman" w:eastAsia="等线" w:cs="Times New Roman"/>
                <w:sz w:val="21"/>
                <w:szCs w:val="21"/>
              </w:rPr>
              <w:t>、</w:t>
            </w:r>
            <w:r>
              <w:rPr>
                <w:rFonts w:ascii="Times New Roman" w:hAnsi="Times New Roman" w:eastAsia="等线" w:cs="Times New Roman"/>
                <w:sz w:val="21"/>
                <w:szCs w:val="21"/>
              </w:rPr>
              <w:t>6.0</w:t>
            </w:r>
            <w:r>
              <w:rPr>
                <w:rFonts w:hint="eastAsia" w:ascii="Times New Roman" w:hAnsi="Times New Roman" w:eastAsia="等线" w:cs="Times New Roman"/>
                <w:sz w:val="21"/>
                <w:szCs w:val="21"/>
              </w:rPr>
              <w:t>、</w:t>
            </w:r>
            <w:r>
              <w:rPr>
                <w:rFonts w:ascii="Times New Roman" w:hAnsi="Times New Roman" w:eastAsia="等线" w:cs="Times New Roman"/>
                <w:sz w:val="21"/>
                <w:szCs w:val="21"/>
              </w:rPr>
              <w:t>7.0</w:t>
            </w:r>
            <w:r>
              <w:rPr>
                <w:rFonts w:hint="eastAsia" w:ascii="Times New Roman" w:hAnsi="Times New Roman" w:eastAsia="等线" w:cs="Times New Roman"/>
                <w:sz w:val="21"/>
                <w:szCs w:val="21"/>
              </w:rPr>
              <w:t>、</w:t>
            </w:r>
            <w:r>
              <w:rPr>
                <w:rFonts w:ascii="Times New Roman" w:hAnsi="Times New Roman" w:eastAsia="等线" w:cs="Times New Roman"/>
                <w:sz w:val="21"/>
                <w:szCs w:val="21"/>
              </w:rPr>
              <w:t>8.0</w:t>
            </w:r>
            <w:r>
              <w:rPr>
                <w:rFonts w:hint="eastAsia" w:ascii="Times New Roman" w:hAnsi="Times New Roman" w:eastAsia="等线" w:cs="Times New Roman"/>
                <w:sz w:val="21"/>
                <w:szCs w:val="21"/>
              </w:rPr>
              <w:t>、</w:t>
            </w:r>
            <w:r>
              <w:rPr>
                <w:rFonts w:ascii="Times New Roman" w:hAnsi="Times New Roman" w:eastAsia="等线" w:cs="Times New Roman"/>
                <w:sz w:val="21"/>
                <w:szCs w:val="21"/>
              </w:rPr>
              <w:t>9.0</w:t>
            </w:r>
            <w:r>
              <w:rPr>
                <w:rFonts w:hint="eastAsia" w:ascii="Times New Roman" w:hAnsi="Times New Roman" w:eastAsia="等线" w:cs="Times New Roman"/>
                <w:sz w:val="21"/>
                <w:szCs w:val="21"/>
              </w:rPr>
              <w:t>、</w:t>
            </w:r>
            <w:r>
              <w:rPr>
                <w:rFonts w:ascii="Times New Roman" w:hAnsi="Times New Roman" w:eastAsia="等线" w:cs="Times New Roman"/>
                <w:sz w:val="21"/>
                <w:szCs w:val="21"/>
              </w:rPr>
              <w:t>10.0</w:t>
            </w:r>
            <w:r>
              <w:rPr>
                <w:rFonts w:hint="eastAsia" w:ascii="Times New Roman" w:hAnsi="Times New Roman" w:eastAsia="等线" w:cs="Times New Roman"/>
                <w:sz w:val="21"/>
                <w:szCs w:val="21"/>
              </w:rPr>
              <w:t>、</w:t>
            </w:r>
            <w:r>
              <w:rPr>
                <w:rFonts w:ascii="Times New Roman" w:hAnsi="Times New Roman" w:eastAsia="等线" w:cs="Times New Roman"/>
                <w:sz w:val="21"/>
                <w:szCs w:val="21"/>
              </w:rPr>
              <w:t>11.0</w:t>
            </w:r>
            <w:r>
              <w:rPr>
                <w:rFonts w:hint="eastAsia" w:ascii="Times New Roman" w:hAnsi="Times New Roman" w:eastAsia="等线" w:cs="Times New Roman"/>
                <w:sz w:val="21"/>
                <w:szCs w:val="21"/>
              </w:rPr>
              <w:t>、</w:t>
            </w:r>
            <w:r>
              <w:rPr>
                <w:rFonts w:ascii="Times New Roman" w:hAnsi="Times New Roman" w:eastAsia="等线" w:cs="Times New Roman"/>
                <w:sz w:val="21"/>
                <w:szCs w:val="21"/>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0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350×350×12×19</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Q345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16~20</w:t>
            </w:r>
          </w:p>
        </w:tc>
        <w:tc>
          <w:tcPr>
            <w:tcW w:w="590"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w:t>
            </w:r>
            <w:r>
              <w:rPr>
                <w:rFonts w:hint="eastAsia" w:ascii="Times New Roman" w:hAnsi="Times New Roman" w:eastAsia="等线" w:cs="Times New Roman"/>
                <w:sz w:val="21"/>
                <w:szCs w:val="21"/>
              </w:rPr>
              <w:t>或</w:t>
            </w:r>
            <w:r>
              <w:rPr>
                <w:rFonts w:ascii="Times New Roman" w:hAnsi="Times New Roman" w:eastAsia="等线" w:cs="Times New Roman"/>
                <w:sz w:val="21"/>
                <w:szCs w:val="21"/>
              </w:rPr>
              <w:t>8</w:t>
            </w:r>
          </w:p>
        </w:tc>
        <w:tc>
          <w:tcPr>
            <w:tcW w:w="663"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100</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21.5~25.5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20~24</w:t>
            </w:r>
          </w:p>
        </w:tc>
        <w:tc>
          <w:tcPr>
            <w:tcW w:w="877" w:type="pct"/>
            <w:vMerge w:val="continue"/>
            <w:tcBorders>
              <w:tl2br w:val="nil"/>
              <w:tr2bl w:val="nil"/>
            </w:tcBorders>
            <w:vAlign w:val="center"/>
          </w:tcPr>
          <w:p>
            <w:pPr>
              <w:widowControl w:val="0"/>
              <w:spacing w:line="220" w:lineRule="exact"/>
              <w:jc w:val="center"/>
              <w:rPr>
                <w:rFonts w:ascii="Times New Roman" w:hAnsi="Times New Roman" w:eastAsia="等线"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0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400×400×13×21</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Q345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16~20</w:t>
            </w:r>
          </w:p>
        </w:tc>
        <w:tc>
          <w:tcPr>
            <w:tcW w:w="590"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w:t>
            </w:r>
            <w:r>
              <w:rPr>
                <w:rFonts w:hint="eastAsia" w:ascii="Times New Roman" w:hAnsi="Times New Roman" w:eastAsia="等线" w:cs="Times New Roman"/>
                <w:sz w:val="21"/>
                <w:szCs w:val="21"/>
              </w:rPr>
              <w:t>或</w:t>
            </w:r>
            <w:r>
              <w:rPr>
                <w:rFonts w:ascii="Times New Roman" w:hAnsi="Times New Roman" w:eastAsia="等线" w:cs="Times New Roman"/>
                <w:sz w:val="21"/>
                <w:szCs w:val="21"/>
              </w:rPr>
              <w:t>8</w:t>
            </w:r>
          </w:p>
        </w:tc>
        <w:tc>
          <w:tcPr>
            <w:tcW w:w="663"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100</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21.5~25.5</w:t>
            </w:r>
          </w:p>
        </w:tc>
        <w:tc>
          <w:tcPr>
            <w:tcW w:w="516"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20~24</w:t>
            </w:r>
          </w:p>
        </w:tc>
        <w:tc>
          <w:tcPr>
            <w:tcW w:w="877" w:type="pct"/>
            <w:vMerge w:val="continue"/>
            <w:tcBorders>
              <w:tl2br w:val="nil"/>
              <w:tr2bl w:val="nil"/>
            </w:tcBorders>
            <w:vAlign w:val="center"/>
          </w:tcPr>
          <w:p>
            <w:pPr>
              <w:widowControl w:val="0"/>
              <w:spacing w:line="220" w:lineRule="exact"/>
              <w:jc w:val="center"/>
              <w:rPr>
                <w:rFonts w:ascii="Times New Roman" w:hAnsi="Times New Roman" w:eastAsia="等线" w:cs="Times New Roman"/>
                <w:kern w:val="0"/>
                <w:sz w:val="21"/>
                <w:szCs w:val="21"/>
              </w:rPr>
            </w:pPr>
          </w:p>
        </w:tc>
      </w:tr>
    </w:tbl>
    <w:p>
      <w:pPr>
        <w:widowControl w:val="0"/>
        <w:spacing w:line="360" w:lineRule="auto"/>
        <w:rPr>
          <w:rFonts w:ascii="Times New Roman" w:hAnsi="Times New Roman" w:eastAsia="方正书宋简体" w:cs="Times New Roman"/>
          <w:b/>
          <w:sz w:val="21"/>
          <w:szCs w:val="24"/>
        </w:rPr>
      </w:pPr>
      <w:r>
        <w:rPr>
          <w:rFonts w:hint="eastAsia" w:ascii="Times New Roman" w:hAnsi="Times New Roman" w:eastAsia="方正书宋简体" w:cs="Times New Roman"/>
          <w:b/>
          <w:sz w:val="21"/>
          <w:szCs w:val="24"/>
        </w:rPr>
        <w:t>M.</w:t>
      </w:r>
      <w:r>
        <w:rPr>
          <w:rFonts w:ascii="Times New Roman" w:hAnsi="Times New Roman" w:eastAsia="方正书宋简体" w:cs="Times New Roman"/>
          <w:b/>
          <w:sz w:val="21"/>
          <w:szCs w:val="24"/>
        </w:rPr>
        <w:t xml:space="preserve">2.2  </w:t>
      </w:r>
      <w:r>
        <w:rPr>
          <w:rFonts w:hint="eastAsia" w:ascii="Times New Roman" w:hAnsi="Times New Roman" w:eastAsia="等线" w:cs="Times New Roman"/>
          <w:sz w:val="21"/>
          <w:szCs w:val="24"/>
        </w:rPr>
        <w:t>常用的型钢支撑构件几何参数见表M.</w:t>
      </w:r>
      <w:r>
        <w:rPr>
          <w:rFonts w:ascii="Times New Roman" w:hAnsi="Times New Roman" w:eastAsia="等线" w:cs="Times New Roman"/>
          <w:sz w:val="21"/>
          <w:szCs w:val="24"/>
        </w:rPr>
        <w:t>2.2</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 xml:space="preserve">2.2  </w:t>
      </w:r>
      <w:r>
        <w:rPr>
          <w:rFonts w:hint="eastAsia" w:ascii="Times New Roman" w:hAnsi="Times New Roman" w:eastAsia="等线" w:cs="Times New Roman"/>
          <w:b/>
          <w:sz w:val="21"/>
          <w:szCs w:val="24"/>
        </w:rPr>
        <w:t>常用的型钢支撑构件几何参数</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09"/>
        <w:gridCol w:w="799"/>
        <w:gridCol w:w="799"/>
        <w:gridCol w:w="799"/>
        <w:gridCol w:w="799"/>
        <w:gridCol w:w="679"/>
        <w:gridCol w:w="799"/>
        <w:gridCol w:w="799"/>
        <w:gridCol w:w="799"/>
        <w:gridCol w:w="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H</w:t>
            </w:r>
            <w:r>
              <w:rPr>
                <w:rFonts w:hint="eastAsia" w:ascii="Times New Roman" w:hAnsi="Times New Roman" w:eastAsia="等线" w:cs="Times New Roman"/>
                <w:spacing w:val="-6"/>
                <w:kern w:val="0"/>
                <w:sz w:val="21"/>
                <w:szCs w:val="21"/>
              </w:rPr>
              <w:t>型钢</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规格</w:t>
            </w:r>
          </w:p>
        </w:tc>
        <w:tc>
          <w:tcPr>
            <w:tcW w:w="486"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截面</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积</w:t>
            </w:r>
            <w:r>
              <w:rPr>
                <w:rFonts w:ascii="Times New Roman" w:hAnsi="Times New Roman" w:eastAsia="等线" w:cs="Times New Roman"/>
                <w:spacing w:val="-6"/>
                <w:kern w:val="0"/>
                <w:sz w:val="21"/>
                <w:szCs w:val="21"/>
              </w:rPr>
              <w:t>A</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cm2</w:t>
            </w:r>
            <w:r>
              <w:rPr>
                <w:rFonts w:hint="eastAsia" w:ascii="Times New Roman" w:hAnsi="Times New Roman" w:eastAsia="等线" w:cs="Times New Roman"/>
                <w:spacing w:val="-6"/>
                <w:kern w:val="0"/>
                <w:sz w:val="21"/>
                <w:szCs w:val="21"/>
              </w:rPr>
              <w:t>）</w:t>
            </w:r>
          </w:p>
        </w:tc>
        <w:tc>
          <w:tcPr>
            <w:tcW w:w="469"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截面</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惯性矩</w:t>
            </w:r>
            <w:r>
              <w:rPr>
                <w:rFonts w:ascii="Times New Roman" w:hAnsi="Times New Roman" w:eastAsia="等线" w:cs="Times New Roman"/>
                <w:spacing w:val="-6"/>
                <w:kern w:val="0"/>
                <w:sz w:val="21"/>
                <w:szCs w:val="21"/>
              </w:rPr>
              <w:t>Ix</w:t>
            </w: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cm4</w:t>
            </w:r>
            <w:r>
              <w:rPr>
                <w:rFonts w:hint="eastAsia" w:ascii="Times New Roman" w:hAnsi="Times New Roman" w:eastAsia="等线" w:cs="Times New Roman"/>
                <w:spacing w:val="-6"/>
                <w:kern w:val="0"/>
                <w:sz w:val="21"/>
                <w:szCs w:val="21"/>
              </w:rPr>
              <w:t>）</w:t>
            </w:r>
          </w:p>
        </w:tc>
        <w:tc>
          <w:tcPr>
            <w:tcW w:w="520"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截面</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抵抗矩</w:t>
            </w:r>
            <w:r>
              <w:rPr>
                <w:rFonts w:ascii="Times New Roman" w:hAnsi="Times New Roman" w:eastAsia="等线" w:cs="Times New Roman"/>
                <w:spacing w:val="-6"/>
                <w:kern w:val="0"/>
                <w:sz w:val="21"/>
                <w:szCs w:val="21"/>
              </w:rPr>
              <w:t>Wx</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cm3</w:t>
            </w:r>
            <w:r>
              <w:rPr>
                <w:rFonts w:hint="eastAsia" w:ascii="Times New Roman" w:hAnsi="Times New Roman" w:eastAsia="等线" w:cs="Times New Roman"/>
                <w:spacing w:val="-6"/>
                <w:kern w:val="0"/>
                <w:sz w:val="21"/>
                <w:szCs w:val="21"/>
              </w:rPr>
              <w:t>）</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面积</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矩</w:t>
            </w:r>
            <w:r>
              <w:rPr>
                <w:rFonts w:ascii="Times New Roman" w:hAnsi="Times New Roman" w:eastAsia="等线" w:cs="Times New Roman"/>
                <w:spacing w:val="-6"/>
                <w:kern w:val="0"/>
                <w:sz w:val="21"/>
                <w:szCs w:val="21"/>
              </w:rPr>
              <w:t>Sx</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cm3</w:t>
            </w:r>
            <w:r>
              <w:rPr>
                <w:rFonts w:hint="eastAsia" w:ascii="Times New Roman" w:hAnsi="Times New Roman" w:eastAsia="等线" w:cs="Times New Roman"/>
                <w:spacing w:val="-6"/>
                <w:kern w:val="0"/>
                <w:sz w:val="21"/>
                <w:szCs w:val="21"/>
              </w:rPr>
              <w:t>）</w:t>
            </w:r>
          </w:p>
        </w:tc>
        <w:tc>
          <w:tcPr>
            <w:tcW w:w="441"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回转</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半径</w:t>
            </w:r>
            <w:r>
              <w:rPr>
                <w:rFonts w:ascii="Times New Roman" w:hAnsi="Times New Roman" w:eastAsia="等线" w:cs="Times New Roman"/>
                <w:spacing w:val="-6"/>
                <w:kern w:val="0"/>
                <w:sz w:val="21"/>
                <w:szCs w:val="21"/>
              </w:rPr>
              <w:t>ix</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w:t>
            </w:r>
            <w:r>
              <w:rPr>
                <w:rFonts w:hint="eastAsia" w:ascii="Times New Roman" w:hAnsi="Times New Roman" w:eastAsia="等线" w:cs="Times New Roman"/>
                <w:spacing w:val="-6"/>
                <w:kern w:val="0"/>
                <w:sz w:val="21"/>
                <w:szCs w:val="21"/>
              </w:rPr>
              <w:t>）</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截面</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惯性矩</w:t>
            </w:r>
            <w:r>
              <w:rPr>
                <w:rFonts w:ascii="Times New Roman" w:hAnsi="Times New Roman" w:eastAsia="等线" w:cs="Times New Roman"/>
                <w:spacing w:val="-6"/>
                <w:kern w:val="0"/>
                <w:sz w:val="21"/>
                <w:szCs w:val="21"/>
              </w:rPr>
              <w:t>Iy</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cm4</w:t>
            </w:r>
            <w:r>
              <w:rPr>
                <w:rFonts w:hint="eastAsia" w:ascii="Times New Roman" w:hAnsi="Times New Roman" w:eastAsia="等线" w:cs="Times New Roman"/>
                <w:spacing w:val="-6"/>
                <w:kern w:val="0"/>
                <w:sz w:val="21"/>
                <w:szCs w:val="21"/>
              </w:rPr>
              <w:t>）</w:t>
            </w:r>
          </w:p>
        </w:tc>
        <w:tc>
          <w:tcPr>
            <w:tcW w:w="517"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截面</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抵抗矩</w:t>
            </w:r>
            <w:r>
              <w:rPr>
                <w:rFonts w:ascii="Times New Roman" w:hAnsi="Times New Roman" w:eastAsia="等线" w:cs="Times New Roman"/>
                <w:spacing w:val="-6"/>
                <w:kern w:val="0"/>
                <w:sz w:val="21"/>
                <w:szCs w:val="21"/>
              </w:rPr>
              <w:t>Wy</w:t>
            </w: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cm3</w:t>
            </w:r>
            <w:r>
              <w:rPr>
                <w:rFonts w:hint="eastAsia" w:ascii="Times New Roman" w:hAnsi="Times New Roman" w:eastAsia="等线" w:cs="Times New Roman"/>
                <w:spacing w:val="-6"/>
                <w:kern w:val="0"/>
                <w:sz w:val="21"/>
                <w:szCs w:val="21"/>
              </w:rPr>
              <w:t>）</w:t>
            </w:r>
          </w:p>
        </w:tc>
        <w:tc>
          <w:tcPr>
            <w:tcW w:w="39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面积</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矩</w:t>
            </w:r>
            <w:r>
              <w:rPr>
                <w:rFonts w:ascii="Times New Roman" w:hAnsi="Times New Roman" w:eastAsia="等线" w:cs="Times New Roman"/>
                <w:spacing w:val="-6"/>
                <w:kern w:val="0"/>
                <w:sz w:val="21"/>
                <w:szCs w:val="21"/>
              </w:rPr>
              <w:t>Sy</w:t>
            </w: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cm3</w:t>
            </w:r>
            <w:r>
              <w:rPr>
                <w:rFonts w:hint="eastAsia" w:ascii="Times New Roman" w:hAnsi="Times New Roman" w:eastAsia="等线" w:cs="Times New Roman"/>
                <w:spacing w:val="-6"/>
                <w:kern w:val="0"/>
                <w:sz w:val="21"/>
                <w:szCs w:val="21"/>
              </w:rPr>
              <w:t>）</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回转</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半径</w:t>
            </w:r>
            <w:r>
              <w:rPr>
                <w:rFonts w:ascii="Times New Roman" w:hAnsi="Times New Roman" w:eastAsia="等线" w:cs="Times New Roman"/>
                <w:spacing w:val="-6"/>
                <w:kern w:val="0"/>
                <w:sz w:val="21"/>
                <w:szCs w:val="21"/>
              </w:rPr>
              <w:t>iy</w:t>
            </w:r>
          </w:p>
          <w:p>
            <w:pPr>
              <w:widowControl w:val="0"/>
              <w:spacing w:line="240" w:lineRule="exact"/>
              <w:jc w:val="center"/>
              <w:rPr>
                <w:rFonts w:ascii="Times New Roman" w:hAnsi="Times New Roman" w:eastAsia="等线" w:cs="Times New Roman"/>
                <w:spacing w:val="-6"/>
                <w:kern w:val="0"/>
                <w:sz w:val="21"/>
                <w:szCs w:val="21"/>
              </w:rPr>
            </w:pPr>
            <w:r>
              <w:rPr>
                <w:rFonts w:hint="eastAsia" w:ascii="Times New Roman" w:hAnsi="Times New Roman" w:eastAsia="等线" w:cs="Times New Roman"/>
                <w:spacing w:val="-6"/>
                <w:kern w:val="0"/>
                <w:sz w:val="21"/>
                <w:szCs w:val="21"/>
              </w:rPr>
              <w:t>（</w:t>
            </w:r>
            <w:r>
              <w:rPr>
                <w:rFonts w:ascii="Times New Roman" w:hAnsi="Times New Roman" w:eastAsia="等线" w:cs="Times New Roman"/>
                <w:spacing w:val="-6"/>
                <w:kern w:val="0"/>
                <w:sz w:val="21"/>
                <w:szCs w:val="21"/>
              </w:rPr>
              <w:t>cm</w:t>
            </w:r>
            <w:r>
              <w:rPr>
                <w:rFonts w:hint="eastAsia" w:ascii="Times New Roman" w:hAnsi="Times New Roman" w:eastAsia="等线" w:cs="Times New Roman"/>
                <w:spacing w:val="-6"/>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300×300×10×15</w:t>
            </w:r>
          </w:p>
        </w:tc>
        <w:tc>
          <w:tcPr>
            <w:tcW w:w="486"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118.5</w:t>
            </w:r>
          </w:p>
        </w:tc>
        <w:tc>
          <w:tcPr>
            <w:tcW w:w="469"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20200</w:t>
            </w:r>
          </w:p>
        </w:tc>
        <w:tc>
          <w:tcPr>
            <w:tcW w:w="520"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1350</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732</w:t>
            </w:r>
          </w:p>
        </w:tc>
        <w:tc>
          <w:tcPr>
            <w:tcW w:w="441"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13.10</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6750</w:t>
            </w:r>
          </w:p>
        </w:tc>
        <w:tc>
          <w:tcPr>
            <w:tcW w:w="517"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450</w:t>
            </w:r>
          </w:p>
        </w:tc>
        <w:tc>
          <w:tcPr>
            <w:tcW w:w="39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341</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7.55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350×350×12×19</w:t>
            </w:r>
          </w:p>
        </w:tc>
        <w:tc>
          <w:tcPr>
            <w:tcW w:w="486"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171.9</w:t>
            </w:r>
          </w:p>
        </w:tc>
        <w:tc>
          <w:tcPr>
            <w:tcW w:w="469"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39800</w:t>
            </w:r>
          </w:p>
        </w:tc>
        <w:tc>
          <w:tcPr>
            <w:tcW w:w="520"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2280</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1246</w:t>
            </w:r>
          </w:p>
        </w:tc>
        <w:tc>
          <w:tcPr>
            <w:tcW w:w="441"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15.20</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13600</w:t>
            </w:r>
          </w:p>
        </w:tc>
        <w:tc>
          <w:tcPr>
            <w:tcW w:w="517"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776</w:t>
            </w:r>
          </w:p>
        </w:tc>
        <w:tc>
          <w:tcPr>
            <w:tcW w:w="39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587</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8.88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400×400×13×21</w:t>
            </w:r>
          </w:p>
        </w:tc>
        <w:tc>
          <w:tcPr>
            <w:tcW w:w="486"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218.7</w:t>
            </w:r>
          </w:p>
        </w:tc>
        <w:tc>
          <w:tcPr>
            <w:tcW w:w="469"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66600</w:t>
            </w:r>
          </w:p>
        </w:tc>
        <w:tc>
          <w:tcPr>
            <w:tcW w:w="520"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3330</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1800</w:t>
            </w:r>
          </w:p>
        </w:tc>
        <w:tc>
          <w:tcPr>
            <w:tcW w:w="441"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17.50</w:t>
            </w:r>
          </w:p>
        </w:tc>
        <w:tc>
          <w:tcPr>
            <w:tcW w:w="515"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22400</w:t>
            </w:r>
          </w:p>
        </w:tc>
        <w:tc>
          <w:tcPr>
            <w:tcW w:w="517"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1120</w:t>
            </w:r>
          </w:p>
        </w:tc>
        <w:tc>
          <w:tcPr>
            <w:tcW w:w="392"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848</w:t>
            </w:r>
          </w:p>
        </w:tc>
        <w:tc>
          <w:tcPr>
            <w:tcW w:w="413" w:type="pct"/>
            <w:tcBorders>
              <w:tl2br w:val="nil"/>
              <w:tr2bl w:val="nil"/>
            </w:tcBorders>
            <w:vAlign w:val="center"/>
          </w:tcPr>
          <w:p>
            <w:pPr>
              <w:widowControl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10.10</w:t>
            </w:r>
          </w:p>
        </w:tc>
      </w:tr>
    </w:tbl>
    <w:p>
      <w:pPr>
        <w:widowControl w:val="0"/>
        <w:spacing w:line="360" w:lineRule="auto"/>
        <w:rPr>
          <w:rFonts w:ascii="Times New Roman" w:hAnsi="Times New Roman" w:eastAsia="等线" w:cs="Times New Roman"/>
          <w:sz w:val="21"/>
          <w:szCs w:val="24"/>
        </w:rPr>
      </w:pPr>
      <w:r>
        <w:rPr>
          <w:rFonts w:hint="eastAsia" w:ascii="Times New Roman" w:hAnsi="Times New Roman" w:eastAsia="方正书宋简体" w:cs="Times New Roman"/>
          <w:b/>
          <w:sz w:val="21"/>
          <w:szCs w:val="24"/>
        </w:rPr>
        <w:t>M.</w:t>
      </w:r>
      <w:r>
        <w:rPr>
          <w:rFonts w:ascii="Times New Roman" w:hAnsi="Times New Roman" w:eastAsia="方正书宋简体" w:cs="Times New Roman"/>
          <w:b/>
          <w:sz w:val="21"/>
          <w:szCs w:val="24"/>
        </w:rPr>
        <w:t xml:space="preserve">2.3  </w:t>
      </w:r>
      <w:r>
        <w:rPr>
          <w:rFonts w:hint="eastAsia" w:ascii="Times New Roman" w:hAnsi="Times New Roman" w:eastAsia="等线" w:cs="Times New Roman"/>
          <w:sz w:val="21"/>
          <w:szCs w:val="24"/>
        </w:rPr>
        <w:t>各类</w:t>
      </w:r>
      <w:r>
        <w:rPr>
          <w:rFonts w:ascii="Times New Roman" w:hAnsi="Times New Roman" w:eastAsia="等线" w:cs="Times New Roman"/>
          <w:sz w:val="21"/>
          <w:szCs w:val="24"/>
        </w:rPr>
        <w:t>H</w:t>
      </w:r>
      <w:r>
        <w:rPr>
          <w:rFonts w:hint="eastAsia" w:ascii="Times New Roman" w:hAnsi="Times New Roman" w:eastAsia="等线" w:cs="Times New Roman"/>
          <w:sz w:val="21"/>
          <w:szCs w:val="24"/>
        </w:rPr>
        <w:t>型钢支撑最大轴向荷载标准计算假定条件如下：</w:t>
      </w:r>
    </w:p>
    <w:p>
      <w:pPr>
        <w:widowControl w:val="0"/>
        <w:snapToGrid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1 </w:t>
      </w:r>
      <w:r>
        <w:rPr>
          <w:rFonts w:ascii="Times New Roman" w:hAnsi="Times New Roman" w:eastAsia="等线" w:cs="Times New Roman"/>
          <w:sz w:val="21"/>
          <w:szCs w:val="24"/>
        </w:rPr>
        <w:t xml:space="preserve"> </w:t>
      </w:r>
      <w:r>
        <w:rPr>
          <w:rFonts w:hint="eastAsia" w:ascii="Times New Roman" w:hAnsi="Times New Roman" w:eastAsia="等线" w:cs="Times New Roman"/>
          <w:sz w:val="21"/>
          <w:szCs w:val="24"/>
        </w:rPr>
        <w:t>端板增加的重量按型钢自重的</w:t>
      </w:r>
      <w:r>
        <w:rPr>
          <w:rFonts w:ascii="Times New Roman" w:hAnsi="Times New Roman" w:eastAsia="等线" w:cs="Times New Roman"/>
          <w:sz w:val="21"/>
          <w:szCs w:val="24"/>
        </w:rPr>
        <w:t>6%</w:t>
      </w:r>
      <w:r>
        <w:rPr>
          <w:rFonts w:hint="eastAsia" w:ascii="Times New Roman" w:hAnsi="Times New Roman" w:eastAsia="等线" w:cs="Times New Roman"/>
          <w:sz w:val="21"/>
          <w:szCs w:val="24"/>
        </w:rPr>
        <w:t>计算，平均至钢支撑每延米重量；</w:t>
      </w:r>
    </w:p>
    <w:p>
      <w:pPr>
        <w:widowControl w:val="0"/>
        <w:snapToGrid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2 </w:t>
      </w:r>
      <w:r>
        <w:rPr>
          <w:rFonts w:ascii="Times New Roman" w:hAnsi="Times New Roman" w:eastAsia="等线" w:cs="Times New Roman"/>
          <w:sz w:val="21"/>
          <w:szCs w:val="24"/>
        </w:rPr>
        <w:t xml:space="preserve"> x</w:t>
      </w:r>
      <w:r>
        <w:rPr>
          <w:rFonts w:hint="eastAsia" w:ascii="Times New Roman" w:hAnsi="Times New Roman" w:eastAsia="等线" w:cs="Times New Roman"/>
          <w:sz w:val="21"/>
          <w:szCs w:val="24"/>
        </w:rPr>
        <w:t>、</w:t>
      </w:r>
      <w:r>
        <w:rPr>
          <w:rFonts w:ascii="Times New Roman" w:hAnsi="Times New Roman" w:eastAsia="等线" w:cs="Times New Roman"/>
          <w:sz w:val="21"/>
          <w:szCs w:val="24"/>
        </w:rPr>
        <w:t>y</w:t>
      </w:r>
      <w:r>
        <w:rPr>
          <w:rFonts w:hint="eastAsia" w:ascii="Times New Roman" w:hAnsi="Times New Roman" w:eastAsia="等线" w:cs="Times New Roman"/>
          <w:sz w:val="21"/>
          <w:szCs w:val="24"/>
        </w:rPr>
        <w:t>轴偏心距按</w:t>
      </w:r>
      <w:r>
        <w:rPr>
          <w:rFonts w:ascii="Times New Roman" w:hAnsi="Times New Roman" w:eastAsia="等线" w:cs="Times New Roman"/>
          <w:sz w:val="21"/>
          <w:szCs w:val="24"/>
        </w:rPr>
        <w:t>2cm</w:t>
      </w:r>
      <w:r>
        <w:rPr>
          <w:rFonts w:hint="eastAsia" w:ascii="Times New Roman" w:hAnsi="Times New Roman" w:eastAsia="等线" w:cs="Times New Roman"/>
          <w:sz w:val="21"/>
          <w:szCs w:val="24"/>
        </w:rPr>
        <w:t>考虑；</w:t>
      </w:r>
    </w:p>
    <w:p>
      <w:pPr>
        <w:widowControl w:val="0"/>
        <w:snapToGrid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3</w:t>
      </w:r>
      <w:r>
        <w:rPr>
          <w:rFonts w:ascii="Times New Roman" w:hAnsi="Times New Roman" w:eastAsia="等线" w:cs="Times New Roman"/>
          <w:sz w:val="21"/>
          <w:szCs w:val="24"/>
        </w:rPr>
        <w:t xml:space="preserve">  </w:t>
      </w:r>
      <w:r>
        <w:rPr>
          <w:rFonts w:hint="eastAsia" w:ascii="Times New Roman" w:hAnsi="Times New Roman" w:eastAsia="等线" w:cs="Times New Roman"/>
          <w:sz w:val="21"/>
          <w:szCs w:val="24"/>
        </w:rPr>
        <w:t>竖向弯矩仅考虑自重引起及支撑顶面活载（</w:t>
      </w:r>
      <w:r>
        <w:rPr>
          <w:rFonts w:ascii="Times New Roman" w:hAnsi="Times New Roman" w:eastAsia="等线" w:cs="Times New Roman"/>
          <w:sz w:val="21"/>
          <w:szCs w:val="24"/>
        </w:rPr>
        <w:t>4kPa×H</w:t>
      </w:r>
      <w:r>
        <w:rPr>
          <w:rFonts w:hint="eastAsia" w:ascii="Times New Roman" w:hAnsi="Times New Roman" w:eastAsia="等线" w:cs="Times New Roman"/>
          <w:sz w:val="21"/>
          <w:szCs w:val="24"/>
        </w:rPr>
        <w:t>型钢宽度）引起的弯矩，不考虑立柱隆沉引起的附加弯矩；</w:t>
      </w:r>
    </w:p>
    <w:p>
      <w:pPr>
        <w:widowControl w:val="0"/>
        <w:snapToGrid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kern w:val="0"/>
          <w:sz w:val="21"/>
          <w:szCs w:val="24"/>
        </w:rPr>
        <w:t xml:space="preserve">4 </w:t>
      </w:r>
      <w:r>
        <w:rPr>
          <w:rFonts w:ascii="Times New Roman" w:hAnsi="Times New Roman" w:eastAsia="等线" w:cs="Times New Roman"/>
          <w:kern w:val="0"/>
          <w:sz w:val="21"/>
          <w:szCs w:val="24"/>
        </w:rPr>
        <w:t xml:space="preserve"> </w:t>
      </w:r>
      <w:r>
        <w:rPr>
          <w:rFonts w:hint="eastAsia" w:ascii="Times New Roman" w:hAnsi="Times New Roman" w:eastAsia="等线" w:cs="Times New Roman"/>
          <w:sz w:val="21"/>
          <w:szCs w:val="24"/>
        </w:rPr>
        <w:t>重要性系数按</w:t>
      </w:r>
      <w:r>
        <w:rPr>
          <w:rFonts w:ascii="Times New Roman" w:hAnsi="Times New Roman" w:eastAsia="等线" w:cs="Times New Roman"/>
          <w:sz w:val="21"/>
          <w:szCs w:val="24"/>
        </w:rPr>
        <w:t>1.0</w:t>
      </w:r>
      <w:r>
        <w:rPr>
          <w:rFonts w:hint="eastAsia" w:ascii="Times New Roman" w:hAnsi="Times New Roman" w:eastAsia="等线" w:cs="Times New Roman"/>
          <w:sz w:val="21"/>
          <w:szCs w:val="24"/>
        </w:rPr>
        <w:t>考虑；</w:t>
      </w:r>
    </w:p>
    <w:p>
      <w:pPr>
        <w:widowControl w:val="0"/>
        <w:snapToGrid w:val="0"/>
        <w:spacing w:line="360" w:lineRule="auto"/>
        <w:ind w:firstLine="375" w:firstLineChars="179"/>
        <w:rPr>
          <w:rFonts w:ascii="Times New Roman" w:hAnsi="Times New Roman" w:eastAsia="等线" w:cs="Times New Roman"/>
          <w:sz w:val="21"/>
          <w:szCs w:val="24"/>
        </w:rPr>
      </w:pPr>
      <w:r>
        <w:rPr>
          <w:rFonts w:ascii="Times New Roman" w:hAnsi="Times New Roman" w:eastAsia="等线" w:cs="Times New Roman"/>
          <w:bCs/>
          <w:sz w:val="21"/>
          <w:szCs w:val="24"/>
        </w:rPr>
        <w:t xml:space="preserve">5  </w:t>
      </w:r>
      <w:r>
        <w:rPr>
          <w:rFonts w:hint="eastAsia" w:ascii="Times New Roman" w:hAnsi="Times New Roman" w:eastAsia="等线" w:cs="Times New Roman"/>
          <w:kern w:val="0"/>
          <w:sz w:val="21"/>
          <w:szCs w:val="24"/>
        </w:rPr>
        <w:t>荷载分项系数按</w:t>
      </w:r>
      <w:r>
        <w:rPr>
          <w:rFonts w:ascii="Times New Roman" w:hAnsi="Times New Roman" w:eastAsia="等线" w:cs="Times New Roman"/>
          <w:kern w:val="0"/>
          <w:sz w:val="21"/>
          <w:szCs w:val="24"/>
        </w:rPr>
        <w:t>1.25</w:t>
      </w:r>
      <w:r>
        <w:rPr>
          <w:rFonts w:hint="eastAsia" w:ascii="Times New Roman" w:hAnsi="Times New Roman" w:eastAsia="等线" w:cs="Times New Roman"/>
          <w:kern w:val="0"/>
          <w:sz w:val="21"/>
          <w:szCs w:val="24"/>
        </w:rPr>
        <w:t>考虑；</w:t>
      </w:r>
    </w:p>
    <w:p>
      <w:pPr>
        <w:widowControl w:val="0"/>
        <w:snapToGrid w:val="0"/>
        <w:spacing w:line="360" w:lineRule="auto"/>
        <w:ind w:firstLine="375" w:firstLineChars="179"/>
        <w:rPr>
          <w:rFonts w:ascii="Times New Roman" w:hAnsi="Times New Roman" w:eastAsia="等线" w:cs="Times New Roman"/>
          <w:kern w:val="0"/>
          <w:sz w:val="21"/>
          <w:szCs w:val="24"/>
        </w:rPr>
      </w:pPr>
      <w:r>
        <w:rPr>
          <w:rFonts w:ascii="Times New Roman" w:hAnsi="Times New Roman" w:eastAsia="等线" w:cs="Times New Roman"/>
          <w:bCs/>
          <w:kern w:val="0"/>
          <w:sz w:val="21"/>
          <w:szCs w:val="24"/>
        </w:rPr>
        <w:t>6</w:t>
      </w:r>
      <w:r>
        <w:rPr>
          <w:rFonts w:ascii="Times New Roman" w:hAnsi="Times New Roman" w:eastAsia="等线" w:cs="Times New Roman"/>
          <w:kern w:val="0"/>
          <w:sz w:val="21"/>
          <w:szCs w:val="24"/>
        </w:rPr>
        <w:t xml:space="preserve">  </w:t>
      </w:r>
      <w:r>
        <w:rPr>
          <w:rFonts w:hint="eastAsia" w:ascii="Times New Roman" w:hAnsi="Times New Roman" w:eastAsia="等线" w:cs="Times New Roman"/>
          <w:kern w:val="0"/>
          <w:sz w:val="21"/>
          <w:szCs w:val="24"/>
        </w:rPr>
        <w:t>未考虑预应力装置的不利影响。</w:t>
      </w:r>
    </w:p>
    <w:p>
      <w:pPr>
        <w:widowControl w:val="0"/>
        <w:snapToGrid w:val="0"/>
        <w:spacing w:line="360" w:lineRule="auto"/>
        <w:rPr>
          <w:rFonts w:ascii="Times New Roman" w:hAnsi="Times New Roman" w:eastAsia="等线" w:cs="Times New Roman"/>
          <w:sz w:val="21"/>
          <w:szCs w:val="24"/>
        </w:rPr>
      </w:pPr>
      <w:r>
        <w:rPr>
          <w:rFonts w:hint="eastAsia" w:ascii="Times New Roman" w:hAnsi="Times New Roman" w:eastAsia="等线" w:cs="Times New Roman"/>
          <w:b/>
          <w:sz w:val="21"/>
          <w:szCs w:val="24"/>
        </w:rPr>
        <w:t>M.</w:t>
      </w:r>
      <w:r>
        <w:rPr>
          <w:rFonts w:ascii="Times New Roman" w:hAnsi="Times New Roman" w:eastAsia="等线" w:cs="Times New Roman"/>
          <w:b/>
          <w:sz w:val="21"/>
          <w:szCs w:val="24"/>
        </w:rPr>
        <w:t xml:space="preserve">2.4  </w:t>
      </w:r>
      <w:r>
        <w:rPr>
          <w:rFonts w:hint="eastAsia" w:ascii="Times New Roman" w:hAnsi="Times New Roman" w:eastAsia="等线" w:cs="Times New Roman"/>
          <w:sz w:val="21"/>
          <w:szCs w:val="24"/>
        </w:rPr>
        <w:t>根据计算各类</w:t>
      </w:r>
      <w:r>
        <w:rPr>
          <w:rFonts w:ascii="Times New Roman" w:hAnsi="Times New Roman" w:eastAsia="等线" w:cs="Times New Roman"/>
          <w:sz w:val="21"/>
          <w:szCs w:val="24"/>
        </w:rPr>
        <w:t>H</w:t>
      </w:r>
      <w:r>
        <w:rPr>
          <w:rFonts w:hint="eastAsia" w:ascii="Times New Roman" w:hAnsi="Times New Roman" w:eastAsia="等线" w:cs="Times New Roman"/>
          <w:sz w:val="21"/>
          <w:szCs w:val="24"/>
        </w:rPr>
        <w:t>型钢支撑最大轴向荷载设计值如下：</w:t>
      </w:r>
    </w:p>
    <w:p>
      <w:pPr>
        <w:widowControl w:val="0"/>
        <w:snapToGrid w:val="0"/>
        <w:spacing w:line="360" w:lineRule="auto"/>
        <w:ind w:firstLine="376" w:firstLineChars="179"/>
        <w:rPr>
          <w:rFonts w:ascii="Times New Roman" w:hAnsi="Times New Roman" w:eastAsia="等线" w:cs="Times New Roman"/>
          <w:sz w:val="21"/>
          <w:szCs w:val="24"/>
        </w:rPr>
      </w:pPr>
      <w:r>
        <w:rPr>
          <w:rFonts w:ascii="Times New Roman" w:hAnsi="Times New Roman" w:eastAsia="等线" w:cs="Times New Roman"/>
          <w:b/>
          <w:bCs/>
          <w:sz w:val="21"/>
          <w:szCs w:val="24"/>
        </w:rPr>
        <w:t>1</w:t>
      </w:r>
      <w:r>
        <w:rPr>
          <w:rFonts w:ascii="Times New Roman" w:hAnsi="Times New Roman" w:eastAsia="等线" w:cs="Times New Roman"/>
          <w:sz w:val="21"/>
          <w:szCs w:val="24"/>
        </w:rPr>
        <w:t xml:space="preserve">  H300×300×10×15</w:t>
      </w:r>
      <w:r>
        <w:rPr>
          <w:rFonts w:hint="eastAsia" w:ascii="Times New Roman" w:hAnsi="Times New Roman" w:eastAsia="等线" w:cs="Times New Roman"/>
          <w:sz w:val="21"/>
          <w:szCs w:val="24"/>
        </w:rPr>
        <w:t>（</w:t>
      </w:r>
      <w:r>
        <w:rPr>
          <w:rFonts w:ascii="Times New Roman" w:hAnsi="Times New Roman" w:eastAsia="等线" w:cs="Times New Roman"/>
          <w:sz w:val="21"/>
          <w:szCs w:val="24"/>
        </w:rPr>
        <w:t>Q345</w:t>
      </w:r>
      <w:r>
        <w:rPr>
          <w:rFonts w:hint="eastAsia" w:ascii="Times New Roman" w:hAnsi="Times New Roman" w:eastAsia="等线" w:cs="Times New Roman"/>
          <w:sz w:val="21"/>
          <w:szCs w:val="24"/>
        </w:rPr>
        <w:t>）型钢支撑最大轴向荷载设计值见表M.</w:t>
      </w:r>
      <w:r>
        <w:rPr>
          <w:rFonts w:ascii="Times New Roman" w:hAnsi="Times New Roman" w:eastAsia="等线" w:cs="Times New Roman"/>
          <w:sz w:val="21"/>
          <w:szCs w:val="24"/>
        </w:rPr>
        <w:t>2.4-1</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2.4-1  H300×300×10×15</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Q345</w:t>
      </w:r>
      <w:r>
        <w:rPr>
          <w:rFonts w:hint="eastAsia" w:ascii="Times New Roman" w:hAnsi="Times New Roman" w:eastAsia="等线" w:cs="Times New Roman"/>
          <w:b/>
          <w:sz w:val="21"/>
          <w:szCs w:val="24"/>
        </w:rPr>
        <w:t>）型钢支撑最大轴向荷载设计值（</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100"/>
        <w:gridCol w:w="689"/>
        <w:gridCol w:w="689"/>
        <w:gridCol w:w="689"/>
        <w:gridCol w:w="689"/>
        <w:gridCol w:w="689"/>
        <w:gridCol w:w="689"/>
        <w:gridCol w:w="689"/>
        <w:gridCol w:w="689"/>
        <w:gridCol w:w="689"/>
        <w:gridCol w:w="689"/>
        <w:gridCol w:w="6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34" w:type="pct"/>
            <w:vMerge w:val="restart"/>
            <w:tcBorders>
              <w:tl2br w:val="nil"/>
              <w:tr2bl w:val="nil"/>
            </w:tcBorders>
            <w:vAlign w:val="center"/>
          </w:tcPr>
          <w:p>
            <w:pPr>
              <w:widowControl w:val="0"/>
              <w:spacing w:line="22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p>
          <w:p>
            <w:pPr>
              <w:widowControl w:val="0"/>
              <w:spacing w:line="22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kN</w:t>
            </w: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m</w:t>
            </w:r>
            <w:r>
              <w:rPr>
                <w:rFonts w:hint="eastAsia" w:ascii="Times New Roman" w:hAnsi="Times New Roman" w:eastAsia="等线" w:cs="Times New Roman"/>
                <w:spacing w:val="-17"/>
                <w:kern w:val="0"/>
                <w:sz w:val="21"/>
                <w:szCs w:val="21"/>
              </w:rPr>
              <w:t>）</w:t>
            </w:r>
          </w:p>
        </w:tc>
        <w:tc>
          <w:tcPr>
            <w:tcW w:w="4366" w:type="pct"/>
            <w:gridSpan w:val="11"/>
            <w:tcBorders>
              <w:tl2br w:val="nil"/>
              <w:tr2bl w:val="nil"/>
            </w:tcBorders>
            <w:vAlign w:val="center"/>
          </w:tcPr>
          <w:p>
            <w:pPr>
              <w:widowControl w:val="0"/>
              <w:spacing w:line="22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x</w:t>
            </w:r>
            <w:r>
              <w:rPr>
                <w:rFonts w:hint="eastAsia" w:ascii="Times New Roman" w:hAnsi="Times New Roman" w:eastAsia="等线" w:cs="Times New Roman"/>
                <w:kern w:val="0"/>
                <w:sz w:val="21"/>
                <w:szCs w:val="21"/>
              </w:rPr>
              <w:t>轴（强轴）受压计算长度（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34" w:type="pct"/>
            <w:vMerge w:val="continue"/>
            <w:tcBorders>
              <w:tl2br w:val="nil"/>
              <w:tr2bl w:val="nil"/>
            </w:tcBorders>
            <w:vAlign w:val="center"/>
          </w:tcPr>
          <w:p>
            <w:pPr>
              <w:widowControl w:val="0"/>
              <w:spacing w:line="220" w:lineRule="exact"/>
              <w:jc w:val="left"/>
              <w:rPr>
                <w:rFonts w:ascii="Times New Roman" w:hAnsi="Times New Roman" w:eastAsia="等线" w:cs="Times New Roman"/>
                <w:kern w:val="0"/>
                <w:sz w:val="21"/>
                <w:szCs w:val="21"/>
              </w:rPr>
            </w:pP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5</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13</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34"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1958</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1890</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1806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1701</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1576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1434</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1284</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1136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997</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870</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34" w:type="pct"/>
            <w:vMerge w:val="restart"/>
            <w:tcBorders>
              <w:tl2br w:val="nil"/>
              <w:tr2bl w:val="nil"/>
            </w:tcBorders>
            <w:vAlign w:val="center"/>
          </w:tcPr>
          <w:p>
            <w:pPr>
              <w:widowControl w:val="0"/>
              <w:spacing w:line="22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p>
          <w:p>
            <w:pPr>
              <w:widowControl w:val="0"/>
              <w:spacing w:line="22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kN</w:t>
            </w: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m</w:t>
            </w:r>
            <w:r>
              <w:rPr>
                <w:rFonts w:hint="eastAsia" w:ascii="Times New Roman" w:hAnsi="Times New Roman" w:eastAsia="等线" w:cs="Times New Roman"/>
                <w:spacing w:val="-17"/>
                <w:kern w:val="0"/>
                <w:sz w:val="21"/>
                <w:szCs w:val="21"/>
              </w:rPr>
              <w:t>）</w:t>
            </w:r>
          </w:p>
        </w:tc>
        <w:tc>
          <w:tcPr>
            <w:tcW w:w="4366" w:type="pct"/>
            <w:gridSpan w:val="11"/>
            <w:tcBorders>
              <w:tl2br w:val="nil"/>
              <w:tr2bl w:val="nil"/>
            </w:tcBorders>
            <w:vAlign w:val="center"/>
          </w:tcPr>
          <w:p>
            <w:pPr>
              <w:widowControl w:val="0"/>
              <w:spacing w:line="22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y</w:t>
            </w:r>
            <w:r>
              <w:rPr>
                <w:rFonts w:hint="eastAsia" w:ascii="Times New Roman" w:hAnsi="Times New Roman" w:eastAsia="等线" w:cs="Times New Roman"/>
                <w:kern w:val="0"/>
                <w:sz w:val="21"/>
                <w:szCs w:val="21"/>
              </w:rPr>
              <w:t>轴（弱轴）受压计算长度（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34" w:type="pct"/>
            <w:vMerge w:val="continue"/>
            <w:tcBorders>
              <w:tl2br w:val="nil"/>
              <w:tr2bl w:val="nil"/>
            </w:tcBorders>
            <w:vAlign w:val="center"/>
          </w:tcPr>
          <w:p>
            <w:pPr>
              <w:widowControl w:val="0"/>
              <w:spacing w:line="220" w:lineRule="exact"/>
              <w:jc w:val="left"/>
              <w:rPr>
                <w:rFonts w:ascii="Times New Roman" w:hAnsi="Times New Roman" w:eastAsia="等线" w:cs="Times New Roman"/>
                <w:kern w:val="0"/>
                <w:sz w:val="21"/>
                <w:szCs w:val="21"/>
              </w:rPr>
            </w:pP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5</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34"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1836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1728</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1587</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1416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1234</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1059</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906</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777</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669</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567</w:t>
            </w:r>
          </w:p>
        </w:tc>
        <w:tc>
          <w:tcPr>
            <w:tcW w:w="397" w:type="pct"/>
            <w:tcBorders>
              <w:tl2br w:val="nil"/>
              <w:tr2bl w:val="nil"/>
            </w:tcBorders>
            <w:vAlign w:val="center"/>
          </w:tcPr>
          <w:p>
            <w:pPr>
              <w:widowControl w:val="0"/>
              <w:spacing w:line="22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478</w:t>
            </w:r>
          </w:p>
        </w:tc>
      </w:tr>
    </w:tbl>
    <w:p>
      <w:pPr>
        <w:widowControl w:val="0"/>
        <w:spacing w:line="360" w:lineRule="auto"/>
        <w:ind w:firstLine="420" w:firstLineChars="200"/>
        <w:rPr>
          <w:rFonts w:ascii="Times New Roman" w:hAnsi="Times New Roman" w:eastAsia="等线" w:cs="Times New Roman"/>
          <w:b/>
          <w:sz w:val="21"/>
          <w:szCs w:val="24"/>
        </w:rPr>
      </w:pPr>
      <w:r>
        <w:rPr>
          <w:rFonts w:ascii="Times New Roman" w:hAnsi="Times New Roman" w:eastAsia="等线" w:cs="Times New Roman"/>
          <w:b/>
          <w:bCs/>
          <w:sz w:val="21"/>
          <w:szCs w:val="24"/>
        </w:rPr>
        <w:t>2</w:t>
      </w:r>
      <w:r>
        <w:rPr>
          <w:rFonts w:ascii="Times New Roman" w:hAnsi="Times New Roman" w:eastAsia="等线" w:cs="Times New Roman"/>
          <w:sz w:val="21"/>
          <w:szCs w:val="24"/>
        </w:rPr>
        <w:t xml:space="preserve">  H350×350×12×19</w:t>
      </w:r>
      <w:r>
        <w:rPr>
          <w:rFonts w:hint="eastAsia" w:ascii="Times New Roman" w:hAnsi="Times New Roman" w:eastAsia="等线" w:cs="Times New Roman"/>
          <w:sz w:val="21"/>
          <w:szCs w:val="24"/>
        </w:rPr>
        <w:t>（</w:t>
      </w:r>
      <w:r>
        <w:rPr>
          <w:rFonts w:ascii="Times New Roman" w:hAnsi="Times New Roman" w:eastAsia="等线" w:cs="Times New Roman"/>
          <w:sz w:val="21"/>
          <w:szCs w:val="24"/>
        </w:rPr>
        <w:t>Q345</w:t>
      </w:r>
      <w:r>
        <w:rPr>
          <w:rFonts w:hint="eastAsia" w:ascii="Times New Roman" w:hAnsi="Times New Roman" w:eastAsia="等线" w:cs="Times New Roman"/>
          <w:sz w:val="21"/>
          <w:szCs w:val="24"/>
        </w:rPr>
        <w:t>）型钢支撑最大轴向荷载设计值见表M.</w:t>
      </w:r>
      <w:r>
        <w:rPr>
          <w:rFonts w:ascii="Times New Roman" w:hAnsi="Times New Roman" w:eastAsia="等线" w:cs="Times New Roman"/>
          <w:sz w:val="21"/>
          <w:szCs w:val="24"/>
        </w:rPr>
        <w:t>2.4-2</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2.4-2  H350×350×12×19</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Q345</w:t>
      </w:r>
      <w:r>
        <w:rPr>
          <w:rFonts w:hint="eastAsia" w:ascii="Times New Roman" w:hAnsi="Times New Roman" w:eastAsia="等线" w:cs="Times New Roman"/>
          <w:b/>
          <w:sz w:val="21"/>
          <w:szCs w:val="24"/>
        </w:rPr>
        <w:t>）型钢支撑最大轴向荷载设计值表（</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62"/>
        <w:gridCol w:w="692"/>
        <w:gridCol w:w="691"/>
        <w:gridCol w:w="691"/>
        <w:gridCol w:w="691"/>
        <w:gridCol w:w="691"/>
        <w:gridCol w:w="691"/>
        <w:gridCol w:w="691"/>
        <w:gridCol w:w="691"/>
        <w:gridCol w:w="691"/>
        <w:gridCol w:w="691"/>
        <w:gridCol w:w="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Merge w:val="restar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kN</w:t>
            </w: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m</w:t>
            </w:r>
            <w:r>
              <w:rPr>
                <w:rFonts w:hint="eastAsia" w:ascii="Times New Roman" w:hAnsi="Times New Roman" w:eastAsia="等线" w:cs="Times New Roman"/>
                <w:spacing w:val="-17"/>
                <w:kern w:val="0"/>
                <w:sz w:val="21"/>
                <w:szCs w:val="21"/>
              </w:rPr>
              <w:t>）</w:t>
            </w:r>
          </w:p>
        </w:tc>
        <w:tc>
          <w:tcPr>
            <w:tcW w:w="4388" w:type="pct"/>
            <w:gridSpan w:val="11"/>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x</w:t>
            </w:r>
            <w:r>
              <w:rPr>
                <w:rFonts w:hint="eastAsia" w:ascii="Times New Roman" w:hAnsi="Times New Roman" w:eastAsia="等线" w:cs="Times New Roman"/>
                <w:kern w:val="0"/>
                <w:sz w:val="21"/>
                <w:szCs w:val="21"/>
              </w:rPr>
              <w:t>轴（强轴）受压计算长度（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Merge w:val="continue"/>
            <w:tcBorders>
              <w:tl2br w:val="nil"/>
              <w:tr2bl w:val="nil"/>
            </w:tcBorders>
            <w:vAlign w:val="center"/>
          </w:tcPr>
          <w:p>
            <w:pPr>
              <w:widowControl w:val="0"/>
              <w:spacing w:line="240" w:lineRule="exact"/>
              <w:jc w:val="left"/>
              <w:rPr>
                <w:rFonts w:ascii="Times New Roman" w:hAnsi="Times New Roman" w:eastAsia="等线" w:cs="Times New Roman"/>
                <w:kern w:val="0"/>
                <w:sz w:val="21"/>
                <w:szCs w:val="21"/>
              </w:rPr>
            </w:pP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5</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6</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13</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w:t>
            </w:r>
          </w:p>
        </w:tc>
        <w:tc>
          <w:tcPr>
            <w:tcW w:w="40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3085</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3005</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2909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2792</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2651</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2486</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2299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2097</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1892</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1573</w:t>
            </w:r>
          </w:p>
        </w:tc>
        <w:tc>
          <w:tcPr>
            <w:tcW w:w="40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40</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2559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2491</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2409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40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Merge w:val="restar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p>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kN</w:t>
            </w:r>
            <w:r>
              <w:rPr>
                <w:rFonts w:hint="eastAsia" w:ascii="Times New Roman" w:hAnsi="Times New Roman" w:eastAsia="等线" w:cs="Times New Roman"/>
                <w:spacing w:val="-17"/>
                <w:kern w:val="0"/>
                <w:sz w:val="21"/>
                <w:szCs w:val="21"/>
              </w:rPr>
              <w:t>﹒</w:t>
            </w:r>
            <w:r>
              <w:rPr>
                <w:rFonts w:ascii="Times New Roman" w:hAnsi="Times New Roman" w:eastAsia="等线" w:cs="Times New Roman"/>
                <w:spacing w:val="-17"/>
                <w:kern w:val="0"/>
                <w:sz w:val="21"/>
                <w:szCs w:val="21"/>
              </w:rPr>
              <w:t>m</w:t>
            </w:r>
            <w:r>
              <w:rPr>
                <w:rFonts w:hint="eastAsia" w:ascii="Times New Roman" w:hAnsi="Times New Roman" w:eastAsia="等线" w:cs="Times New Roman"/>
                <w:spacing w:val="-17"/>
                <w:kern w:val="0"/>
                <w:sz w:val="21"/>
                <w:szCs w:val="21"/>
              </w:rPr>
              <w:t>）</w:t>
            </w:r>
          </w:p>
        </w:tc>
        <w:tc>
          <w:tcPr>
            <w:tcW w:w="4388" w:type="pct"/>
            <w:gridSpan w:val="11"/>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y</w:t>
            </w:r>
            <w:r>
              <w:rPr>
                <w:rFonts w:hint="eastAsia" w:ascii="Times New Roman" w:hAnsi="Times New Roman" w:eastAsia="等线" w:cs="Times New Roman"/>
                <w:kern w:val="0"/>
                <w:sz w:val="21"/>
                <w:szCs w:val="21"/>
              </w:rPr>
              <w:t>轴（弱轴）受压计算长度（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Merge w:val="continue"/>
            <w:tcBorders>
              <w:tl2br w:val="nil"/>
              <w:tr2bl w:val="nil"/>
            </w:tcBorders>
            <w:vAlign w:val="center"/>
          </w:tcPr>
          <w:p>
            <w:pPr>
              <w:widowControl w:val="0"/>
              <w:spacing w:line="240" w:lineRule="exact"/>
              <w:jc w:val="left"/>
              <w:rPr>
                <w:rFonts w:ascii="Times New Roman" w:hAnsi="Times New Roman" w:eastAsia="等线" w:cs="Times New Roman"/>
                <w:kern w:val="0"/>
                <w:sz w:val="21"/>
                <w:szCs w:val="21"/>
              </w:rPr>
            </w:pP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5</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6</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7</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8</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w:t>
            </w:r>
          </w:p>
        </w:tc>
        <w:tc>
          <w:tcPr>
            <w:tcW w:w="40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2941</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2805</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2639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2428</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2189</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1940</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1701</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1484</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1298</w:t>
            </w:r>
          </w:p>
        </w:tc>
        <w:tc>
          <w:tcPr>
            <w:tcW w:w="399"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1121</w:t>
            </w:r>
          </w:p>
        </w:tc>
        <w:tc>
          <w:tcPr>
            <w:tcW w:w="402"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969</w:t>
            </w:r>
          </w:p>
        </w:tc>
      </w:tr>
    </w:tbl>
    <w:p>
      <w:pPr>
        <w:widowControl w:val="0"/>
        <w:spacing w:line="360" w:lineRule="auto"/>
        <w:ind w:firstLine="376" w:firstLineChars="179"/>
        <w:rPr>
          <w:rFonts w:ascii="Times New Roman" w:hAnsi="Times New Roman" w:eastAsia="等线" w:cs="Times New Roman"/>
          <w:kern w:val="0"/>
          <w:sz w:val="21"/>
          <w:szCs w:val="24"/>
        </w:rPr>
      </w:pPr>
      <w:r>
        <w:rPr>
          <w:rFonts w:ascii="Times New Roman" w:hAnsi="Times New Roman" w:eastAsia="等线" w:cs="Times New Roman"/>
          <w:b/>
          <w:bCs/>
          <w:sz w:val="21"/>
          <w:szCs w:val="24"/>
        </w:rPr>
        <w:t xml:space="preserve">3 </w:t>
      </w:r>
      <w:r>
        <w:rPr>
          <w:rFonts w:ascii="Times New Roman" w:hAnsi="Times New Roman" w:eastAsia="等线" w:cs="Times New Roman"/>
          <w:sz w:val="21"/>
          <w:szCs w:val="24"/>
        </w:rPr>
        <w:t xml:space="preserve"> H400×400×13×21</w:t>
      </w:r>
      <w:r>
        <w:rPr>
          <w:rFonts w:hint="eastAsia" w:ascii="Times New Roman" w:hAnsi="Times New Roman" w:eastAsia="等线" w:cs="Times New Roman"/>
          <w:sz w:val="21"/>
          <w:szCs w:val="24"/>
        </w:rPr>
        <w:t>（</w:t>
      </w:r>
      <w:r>
        <w:rPr>
          <w:rFonts w:ascii="Times New Roman" w:hAnsi="Times New Roman" w:eastAsia="等线" w:cs="Times New Roman"/>
          <w:sz w:val="21"/>
          <w:szCs w:val="24"/>
        </w:rPr>
        <w:t>Q345</w:t>
      </w:r>
      <w:r>
        <w:rPr>
          <w:rFonts w:hint="eastAsia" w:ascii="Times New Roman" w:hAnsi="Times New Roman" w:eastAsia="等线" w:cs="Times New Roman"/>
          <w:sz w:val="21"/>
          <w:szCs w:val="24"/>
        </w:rPr>
        <w:t>）型钢支撑最大轴向荷载设计值见表M.</w:t>
      </w:r>
      <w:r>
        <w:rPr>
          <w:rFonts w:ascii="Times New Roman" w:hAnsi="Times New Roman" w:eastAsia="等线" w:cs="Times New Roman"/>
          <w:sz w:val="21"/>
          <w:szCs w:val="24"/>
        </w:rPr>
        <w:t>2.4-3</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2.4-3  H400×400×13×21</w:t>
      </w:r>
      <w:r>
        <w:rPr>
          <w:rFonts w:hint="eastAsia" w:ascii="Times New Roman" w:hAnsi="Times New Roman" w:eastAsia="等线" w:cs="Times New Roman"/>
          <w:b/>
          <w:sz w:val="21"/>
          <w:szCs w:val="24"/>
        </w:rPr>
        <w:t>（</w:t>
      </w:r>
      <w:r>
        <w:rPr>
          <w:rFonts w:ascii="Times New Roman" w:hAnsi="Times New Roman" w:eastAsia="等线" w:cs="Times New Roman"/>
          <w:b/>
          <w:sz w:val="21"/>
          <w:szCs w:val="24"/>
        </w:rPr>
        <w:t>Q345</w:t>
      </w:r>
      <w:r>
        <w:rPr>
          <w:rFonts w:hint="eastAsia" w:ascii="Times New Roman" w:hAnsi="Times New Roman" w:eastAsia="等线" w:cs="Times New Roman"/>
          <w:b/>
          <w:sz w:val="21"/>
          <w:szCs w:val="24"/>
        </w:rPr>
        <w:t>）型钢支撑最大轴向荷载设计值表（</w:t>
      </w:r>
      <w:r>
        <w:rPr>
          <w:rFonts w:ascii="Times New Roman" w:hAnsi="Times New Roman" w:eastAsia="等线" w:cs="Times New Roman"/>
          <w:b/>
          <w:sz w:val="21"/>
          <w:szCs w:val="24"/>
        </w:rPr>
        <w:t>kN</w:t>
      </w:r>
      <w:r>
        <w:rPr>
          <w:rFonts w:hint="eastAsia" w:ascii="Times New Roman" w:hAnsi="Times New Roman" w:eastAsia="等线" w:cs="Times New Roman"/>
          <w:b/>
          <w:sz w:val="21"/>
          <w:szCs w:val="24"/>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034"/>
        <w:gridCol w:w="695"/>
        <w:gridCol w:w="695"/>
        <w:gridCol w:w="695"/>
        <w:gridCol w:w="695"/>
        <w:gridCol w:w="695"/>
        <w:gridCol w:w="695"/>
        <w:gridCol w:w="695"/>
        <w:gridCol w:w="695"/>
        <w:gridCol w:w="695"/>
        <w:gridCol w:w="695"/>
        <w:gridCol w:w="7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vMerge w:val="restar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r>
              <w:rPr>
                <w:rFonts w:hint="eastAsia" w:ascii="Times New Roman" w:hAnsi="Times New Roman" w:eastAsia="等线" w:cs="Times New Roman"/>
                <w:spacing w:val="-23"/>
                <w:kern w:val="0"/>
                <w:sz w:val="21"/>
                <w:szCs w:val="21"/>
              </w:rPr>
              <w:t>（</w:t>
            </w:r>
            <w:r>
              <w:rPr>
                <w:rFonts w:ascii="Times New Roman" w:hAnsi="Times New Roman" w:eastAsia="等线" w:cs="Times New Roman"/>
                <w:spacing w:val="-23"/>
                <w:kern w:val="0"/>
                <w:sz w:val="21"/>
                <w:szCs w:val="21"/>
              </w:rPr>
              <w:t>kN</w:t>
            </w:r>
            <w:r>
              <w:rPr>
                <w:rFonts w:hint="eastAsia" w:ascii="Times New Roman" w:hAnsi="Times New Roman" w:eastAsia="等线" w:cs="Times New Roman"/>
                <w:spacing w:val="-23"/>
                <w:kern w:val="0"/>
                <w:sz w:val="21"/>
                <w:szCs w:val="21"/>
              </w:rPr>
              <w:t>﹒</w:t>
            </w:r>
            <w:r>
              <w:rPr>
                <w:rFonts w:ascii="Times New Roman" w:hAnsi="Times New Roman" w:eastAsia="等线" w:cs="Times New Roman"/>
                <w:spacing w:val="-23"/>
                <w:kern w:val="0"/>
                <w:sz w:val="21"/>
                <w:szCs w:val="21"/>
              </w:rPr>
              <w:t>m</w:t>
            </w:r>
            <w:r>
              <w:rPr>
                <w:rFonts w:hint="eastAsia" w:ascii="Times New Roman" w:hAnsi="Times New Roman" w:eastAsia="等线" w:cs="Times New Roman"/>
                <w:spacing w:val="-23"/>
                <w:kern w:val="0"/>
                <w:sz w:val="21"/>
                <w:szCs w:val="21"/>
              </w:rPr>
              <w:t>）</w:t>
            </w:r>
          </w:p>
        </w:tc>
        <w:tc>
          <w:tcPr>
            <w:tcW w:w="4403" w:type="pct"/>
            <w:gridSpan w:val="11"/>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x</w:t>
            </w:r>
            <w:r>
              <w:rPr>
                <w:rFonts w:hint="eastAsia" w:ascii="Times New Roman" w:hAnsi="Times New Roman" w:eastAsia="等线" w:cs="Times New Roman"/>
                <w:kern w:val="0"/>
                <w:sz w:val="21"/>
                <w:szCs w:val="21"/>
              </w:rPr>
              <w:t>轴（强轴）受压计算长度（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vMerge w:val="continue"/>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11</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12</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13</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14</w:t>
            </w:r>
          </w:p>
        </w:tc>
        <w:tc>
          <w:tcPr>
            <w:tcW w:w="4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4160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4076</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3977</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3858</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3719</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3555</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3367</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3153</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2922</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2678</w:t>
            </w:r>
          </w:p>
        </w:tc>
        <w:tc>
          <w:tcPr>
            <w:tcW w:w="40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2433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3669</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3594</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3504</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3398</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3274</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3128</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2961</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2771</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2565</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2349</w:t>
            </w:r>
          </w:p>
        </w:tc>
        <w:tc>
          <w:tcPr>
            <w:tcW w:w="40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2131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vMerge w:val="restar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水平计算弯矩设计值</w:t>
            </w:r>
            <w:r>
              <w:rPr>
                <w:rFonts w:hint="eastAsia" w:ascii="Times New Roman" w:hAnsi="Times New Roman" w:eastAsia="等线" w:cs="Times New Roman"/>
                <w:spacing w:val="-23"/>
                <w:kern w:val="0"/>
                <w:sz w:val="21"/>
                <w:szCs w:val="21"/>
              </w:rPr>
              <w:t>（</w:t>
            </w:r>
            <w:r>
              <w:rPr>
                <w:rFonts w:ascii="Times New Roman" w:hAnsi="Times New Roman" w:eastAsia="等线" w:cs="Times New Roman"/>
                <w:spacing w:val="-23"/>
                <w:kern w:val="0"/>
                <w:sz w:val="21"/>
                <w:szCs w:val="21"/>
              </w:rPr>
              <w:t>kN</w:t>
            </w:r>
            <w:r>
              <w:rPr>
                <w:rFonts w:hint="eastAsia" w:ascii="Times New Roman" w:hAnsi="Times New Roman" w:eastAsia="等线" w:cs="Times New Roman"/>
                <w:spacing w:val="-23"/>
                <w:kern w:val="0"/>
                <w:sz w:val="21"/>
                <w:szCs w:val="21"/>
              </w:rPr>
              <w:t>﹒</w:t>
            </w:r>
            <w:r>
              <w:rPr>
                <w:rFonts w:ascii="Times New Roman" w:hAnsi="Times New Roman" w:eastAsia="等线" w:cs="Times New Roman"/>
                <w:spacing w:val="-23"/>
                <w:kern w:val="0"/>
                <w:sz w:val="21"/>
                <w:szCs w:val="21"/>
              </w:rPr>
              <w:t>m</w:t>
            </w:r>
            <w:r>
              <w:rPr>
                <w:rFonts w:hint="eastAsia" w:ascii="Times New Roman" w:hAnsi="Times New Roman" w:eastAsia="等线" w:cs="Times New Roman"/>
                <w:spacing w:val="-23"/>
                <w:kern w:val="0"/>
                <w:sz w:val="21"/>
                <w:szCs w:val="21"/>
              </w:rPr>
              <w:t>）</w:t>
            </w:r>
          </w:p>
        </w:tc>
        <w:tc>
          <w:tcPr>
            <w:tcW w:w="4403" w:type="pct"/>
            <w:gridSpan w:val="11"/>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y</w:t>
            </w:r>
            <w:r>
              <w:rPr>
                <w:rFonts w:hint="eastAsia" w:ascii="Times New Roman" w:hAnsi="Times New Roman" w:eastAsia="等线" w:cs="Times New Roman"/>
                <w:kern w:val="0"/>
                <w:sz w:val="21"/>
                <w:szCs w:val="21"/>
              </w:rPr>
              <w:t>轴（弱轴）受压计算长度（</w:t>
            </w:r>
            <w:r>
              <w:rPr>
                <w:rFonts w:ascii="Times New Roman" w:hAnsi="Times New Roman" w:eastAsia="等线" w:cs="Times New Roman"/>
                <w:kern w:val="0"/>
                <w:sz w:val="21"/>
                <w:szCs w:val="21"/>
              </w:rPr>
              <w:t>m</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vMerge w:val="continue"/>
            <w:tcBorders>
              <w:tl2br w:val="nil"/>
              <w:tr2bl w:val="nil"/>
            </w:tcBorders>
            <w:vAlign w:val="center"/>
          </w:tcPr>
          <w:p>
            <w:pPr>
              <w:widowControl w:val="0"/>
              <w:spacing w:line="240" w:lineRule="exact"/>
              <w:jc w:val="left"/>
              <w:rPr>
                <w:rFonts w:ascii="Times New Roman" w:hAnsi="Times New Roman" w:eastAsia="等线" w:cs="Times New Roman"/>
                <w:kern w:val="0"/>
                <w:sz w:val="21"/>
                <w:szCs w:val="21"/>
              </w:rPr>
            </w:pP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9</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11</w:t>
            </w:r>
          </w:p>
        </w:tc>
        <w:tc>
          <w:tcPr>
            <w:tcW w:w="403" w:type="pct"/>
            <w:tcBorders>
              <w:tl2br w:val="nil"/>
              <w:tr2bl w:val="nil"/>
            </w:tcBorders>
            <w:vAlign w:val="center"/>
          </w:tcPr>
          <w:p>
            <w:pPr>
              <w:widowControl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4001</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3843</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3657</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3431</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3166</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2872</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2574</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2288</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2027</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1771</w:t>
            </w:r>
          </w:p>
        </w:tc>
        <w:tc>
          <w:tcPr>
            <w:tcW w:w="40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1550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597"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40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3496</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3346</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3169</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2955</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2709</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2440</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sz w:val="21"/>
                <w:szCs w:val="21"/>
              </w:rPr>
              <w:t>2171</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400"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c>
          <w:tcPr>
            <w:tcW w:w="403" w:type="pct"/>
            <w:tcBorders>
              <w:tl2br w:val="nil"/>
              <w:tr2bl w:val="nil"/>
            </w:tcBorders>
            <w:vAlign w:val="center"/>
          </w:tcPr>
          <w:p>
            <w:pPr>
              <w:widowControl w:val="0"/>
              <w:spacing w:line="240" w:lineRule="exact"/>
              <w:jc w:val="center"/>
              <w:rPr>
                <w:rFonts w:ascii="Times New Roman" w:hAnsi="Times New Roman" w:eastAsia="等线" w:cs="Times New Roman"/>
                <w:sz w:val="21"/>
                <w:szCs w:val="21"/>
              </w:rPr>
            </w:pPr>
            <w:r>
              <w:rPr>
                <w:rFonts w:ascii="Times New Roman" w:hAnsi="Times New Roman" w:eastAsia="等线" w:cs="Times New Roman"/>
                <w:kern w:val="0"/>
                <w:sz w:val="21"/>
                <w:szCs w:val="21"/>
              </w:rPr>
              <w:t>—</w:t>
            </w:r>
          </w:p>
        </w:tc>
      </w:tr>
    </w:tbl>
    <w:p>
      <w:pPr>
        <w:widowControl w:val="0"/>
        <w:spacing w:line="360" w:lineRule="auto"/>
        <w:rPr>
          <w:rFonts w:ascii="Times New Roman" w:hAnsi="Times New Roman" w:eastAsia="等线" w:cs="Times New Roman"/>
          <w:b/>
          <w:sz w:val="21"/>
          <w:szCs w:val="24"/>
        </w:rPr>
      </w:pPr>
    </w:p>
    <w:p>
      <w:pPr>
        <w:widowControl w:val="0"/>
        <w:spacing w:line="360" w:lineRule="auto"/>
        <w:jc w:val="center"/>
        <w:rPr>
          <w:rFonts w:ascii="Times New Roman" w:hAnsi="Times New Roman" w:eastAsia="等线" w:cs="Times New Roman"/>
          <w:b/>
          <w:sz w:val="28"/>
          <w:szCs w:val="28"/>
        </w:rPr>
      </w:pPr>
      <w:r>
        <w:rPr>
          <w:rFonts w:hint="eastAsia" w:ascii="Times New Roman" w:hAnsi="Times New Roman" w:eastAsia="等线" w:cs="Times New Roman"/>
          <w:b/>
          <w:sz w:val="28"/>
          <w:szCs w:val="28"/>
        </w:rPr>
        <w:t>M.3  常用的钢围檩构件</w:t>
      </w:r>
    </w:p>
    <w:p>
      <w:pPr>
        <w:widowControl w:val="0"/>
        <w:spacing w:line="360" w:lineRule="auto"/>
        <w:rPr>
          <w:rFonts w:ascii="Times New Roman" w:hAnsi="Times New Roman" w:eastAsia="等线" w:cs="Times New Roman"/>
          <w:sz w:val="21"/>
          <w:szCs w:val="24"/>
        </w:rPr>
      </w:pPr>
      <w:r>
        <w:rPr>
          <w:rFonts w:hint="eastAsia" w:ascii="Times New Roman" w:hAnsi="Times New Roman" w:eastAsia="等线" w:cs="Times New Roman"/>
          <w:b/>
          <w:sz w:val="21"/>
          <w:szCs w:val="24"/>
        </w:rPr>
        <w:t>M.</w:t>
      </w:r>
      <w:r>
        <w:rPr>
          <w:rFonts w:ascii="Times New Roman" w:hAnsi="Times New Roman" w:eastAsia="等线" w:cs="Times New Roman"/>
          <w:b/>
          <w:sz w:val="21"/>
          <w:szCs w:val="24"/>
        </w:rPr>
        <w:t xml:space="preserve">3.1  </w:t>
      </w:r>
      <w:r>
        <w:rPr>
          <w:rFonts w:hint="eastAsia" w:ascii="Times New Roman" w:hAnsi="Times New Roman" w:eastAsia="等线" w:cs="Times New Roman"/>
          <w:sz w:val="21"/>
          <w:szCs w:val="24"/>
        </w:rPr>
        <w:t>常用的钢围檩构件规格见表M.</w:t>
      </w:r>
      <w:r>
        <w:rPr>
          <w:rFonts w:ascii="Times New Roman" w:hAnsi="Times New Roman" w:eastAsia="等线" w:cs="Times New Roman"/>
          <w:sz w:val="21"/>
          <w:szCs w:val="24"/>
        </w:rPr>
        <w:t>3.1</w:t>
      </w:r>
      <w:r>
        <w:rPr>
          <w:rFonts w:hint="eastAsia" w:ascii="Times New Roman" w:hAnsi="Times New Roman" w:eastAsia="等线" w:cs="Times New Roman"/>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 xml:space="preserve">3.1  </w:t>
      </w:r>
      <w:r>
        <w:rPr>
          <w:rFonts w:hint="eastAsia" w:ascii="Times New Roman" w:hAnsi="Times New Roman" w:eastAsia="等线" w:cs="Times New Roman"/>
          <w:b/>
          <w:sz w:val="21"/>
          <w:szCs w:val="24"/>
        </w:rPr>
        <w:t>常用的钢围檩构件规格</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17" w:type="dxa"/>
          <w:left w:w="17" w:type="dxa"/>
          <w:bottom w:w="17" w:type="dxa"/>
          <w:right w:w="17" w:type="dxa"/>
        </w:tblCellMar>
      </w:tblPr>
      <w:tblGrid>
        <w:gridCol w:w="1304"/>
        <w:gridCol w:w="1020"/>
        <w:gridCol w:w="637"/>
        <w:gridCol w:w="2025"/>
        <w:gridCol w:w="1151"/>
        <w:gridCol w:w="1276"/>
        <w:gridCol w:w="1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钢围檩规格</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材质</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骨架排列方式</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骨架</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骨架中心间距（</w:t>
            </w:r>
            <w:r>
              <w:rPr>
                <w:rFonts w:ascii="Times New Roman" w:hAnsi="Times New Roman" w:eastAsia="等线" w:cs="Times New Roman"/>
                <w:kern w:val="0"/>
                <w:sz w:val="21"/>
                <w:szCs w:val="21"/>
              </w:rPr>
              <w:t>mm</w:t>
            </w:r>
            <w:r>
              <w:rPr>
                <w:rFonts w:hint="eastAsia" w:ascii="Times New Roman" w:hAnsi="Times New Roman" w:eastAsia="等线" w:cs="Times New Roman"/>
                <w:kern w:val="0"/>
                <w:sz w:val="21"/>
                <w:szCs w:val="21"/>
              </w:rPr>
              <w:t>）</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内侧组件</w:t>
            </w:r>
          </w:p>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（面向基坑）</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外侧组件</w:t>
            </w:r>
          </w:p>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（面向围护墙）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H400×400</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H400×400×13×21</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2H488×300</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竖向</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2H488×300×11×18</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300</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2H400×400</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竖向</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2H400×400×13×21</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400</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2I45C</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竖向</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2I45C</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450</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通长钢板</w:t>
            </w:r>
            <w:r>
              <w:rPr>
                <w:rFonts w:ascii="Times New Roman" w:hAnsi="Times New Roman" w:eastAsia="等线" w:cs="Times New Roman"/>
                <w:kern w:val="0"/>
                <w:sz w:val="21"/>
                <w:szCs w:val="21"/>
              </w:rPr>
              <w:t>700×20</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通长钢板</w:t>
            </w:r>
            <w:r>
              <w:rPr>
                <w:rFonts w:ascii="Times New Roman" w:hAnsi="Times New Roman" w:eastAsia="等线" w:cs="Times New Roman"/>
                <w:kern w:val="0"/>
                <w:sz w:val="21"/>
                <w:szCs w:val="21"/>
              </w:rPr>
              <w:t>700×12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2H700×300</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Q345</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竖向</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11"/>
                <w:kern w:val="0"/>
                <w:sz w:val="21"/>
                <w:szCs w:val="21"/>
              </w:rPr>
              <w:t>2H700×300×13×24</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300</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65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2I56C</w:t>
            </w:r>
          </w:p>
        </w:tc>
        <w:tc>
          <w:tcPr>
            <w:tcW w:w="663"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Q235</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Q345</w:t>
            </w:r>
          </w:p>
        </w:tc>
        <w:tc>
          <w:tcPr>
            <w:tcW w:w="44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竖向</w:t>
            </w:r>
          </w:p>
        </w:tc>
        <w:tc>
          <w:tcPr>
            <w:tcW w:w="884"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6"/>
                <w:kern w:val="0"/>
                <w:sz w:val="21"/>
                <w:szCs w:val="21"/>
              </w:rPr>
            </w:pPr>
            <w:r>
              <w:rPr>
                <w:rFonts w:ascii="Times New Roman" w:hAnsi="Times New Roman" w:eastAsia="等线" w:cs="Times New Roman"/>
                <w:spacing w:val="-6"/>
                <w:kern w:val="0"/>
                <w:sz w:val="21"/>
                <w:szCs w:val="21"/>
              </w:rPr>
              <w:t>2I56C</w:t>
            </w:r>
          </w:p>
        </w:tc>
        <w:tc>
          <w:tcPr>
            <w:tcW w:w="738"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710</w:t>
            </w:r>
          </w:p>
        </w:tc>
        <w:tc>
          <w:tcPr>
            <w:tcW w:w="81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通长钢板</w:t>
            </w:r>
            <w:r>
              <w:rPr>
                <w:rFonts w:ascii="Times New Roman" w:hAnsi="Times New Roman" w:eastAsia="等线" w:cs="Times New Roman"/>
                <w:kern w:val="0"/>
                <w:sz w:val="21"/>
                <w:szCs w:val="21"/>
              </w:rPr>
              <w:t>900×20</w:t>
            </w:r>
          </w:p>
        </w:tc>
        <w:tc>
          <w:tcPr>
            <w:tcW w:w="80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通长钢板</w:t>
            </w:r>
            <w:r>
              <w:rPr>
                <w:rFonts w:ascii="Times New Roman" w:hAnsi="Times New Roman" w:eastAsia="等线" w:cs="Times New Roman"/>
                <w:kern w:val="0"/>
                <w:sz w:val="21"/>
                <w:szCs w:val="21"/>
              </w:rPr>
              <w:t>900×20</w:t>
            </w:r>
          </w:p>
        </w:tc>
      </w:tr>
    </w:tbl>
    <w:p>
      <w:pPr>
        <w:widowControl w:val="0"/>
        <w:autoSpaceDE w:val="0"/>
        <w:autoSpaceDN w:val="0"/>
        <w:spacing w:line="360" w:lineRule="auto"/>
        <w:jc w:val="left"/>
        <w:rPr>
          <w:rFonts w:ascii="Times New Roman" w:hAnsi="Times New Roman" w:eastAsia="等线" w:cs="Times New Roman"/>
          <w:kern w:val="0"/>
          <w:sz w:val="21"/>
          <w:szCs w:val="24"/>
        </w:rPr>
      </w:pPr>
      <w:r>
        <w:rPr>
          <w:rFonts w:hint="eastAsia" w:ascii="Times New Roman" w:hAnsi="Times New Roman" w:eastAsia="等线" w:cs="Times New Roman"/>
          <w:b/>
          <w:sz w:val="21"/>
          <w:szCs w:val="24"/>
        </w:rPr>
        <w:t>M.</w:t>
      </w:r>
      <w:r>
        <w:rPr>
          <w:rFonts w:ascii="Times New Roman" w:hAnsi="Times New Roman" w:eastAsia="等线" w:cs="Times New Roman"/>
          <w:b/>
          <w:sz w:val="21"/>
          <w:szCs w:val="24"/>
        </w:rPr>
        <w:t>3.2</w:t>
      </w:r>
      <w:r>
        <w:rPr>
          <w:rFonts w:ascii="Times New Roman" w:hAnsi="Times New Roman" w:eastAsia="等线" w:cs="Times New Roman"/>
          <w:b/>
          <w:bCs/>
          <w:kern w:val="0"/>
          <w:sz w:val="21"/>
          <w:szCs w:val="24"/>
        </w:rPr>
        <w:t xml:space="preserve"> </w:t>
      </w:r>
      <w:r>
        <w:rPr>
          <w:rFonts w:ascii="Times New Roman" w:hAnsi="Times New Roman" w:eastAsia="等线" w:cs="Times New Roman"/>
          <w:kern w:val="0"/>
          <w:sz w:val="21"/>
          <w:szCs w:val="24"/>
        </w:rPr>
        <w:t xml:space="preserve"> </w:t>
      </w:r>
      <w:r>
        <w:rPr>
          <w:rFonts w:hint="eastAsia" w:ascii="Times New Roman" w:hAnsi="Times New Roman" w:eastAsia="等线" w:cs="Times New Roman"/>
          <w:kern w:val="0"/>
          <w:sz w:val="21"/>
          <w:szCs w:val="24"/>
        </w:rPr>
        <w:t>常用的钢围檩构件几何参数见表M.</w:t>
      </w:r>
      <w:r>
        <w:rPr>
          <w:rFonts w:ascii="Times New Roman" w:hAnsi="Times New Roman" w:eastAsia="等线" w:cs="Times New Roman"/>
          <w:kern w:val="0"/>
          <w:sz w:val="21"/>
          <w:szCs w:val="24"/>
        </w:rPr>
        <w:t>3.2</w:t>
      </w:r>
      <w:r>
        <w:rPr>
          <w:rFonts w:hint="eastAsia" w:ascii="Times New Roman" w:hAnsi="Times New Roman" w:eastAsia="等线" w:cs="Times New Roman"/>
          <w:kern w:val="0"/>
          <w:sz w:val="21"/>
          <w:szCs w:val="24"/>
        </w:rPr>
        <w:t>。</w:t>
      </w:r>
    </w:p>
    <w:p>
      <w:pPr>
        <w:widowControl w:val="0"/>
        <w:spacing w:line="360" w:lineRule="auto"/>
        <w:ind w:firstLine="420" w:firstLineChars="200"/>
        <w:jc w:val="center"/>
        <w:rPr>
          <w:rFonts w:ascii="Times New Roman" w:hAnsi="Times New Roman" w:eastAsia="等线" w:cs="Times New Roman"/>
          <w:b/>
          <w:sz w:val="21"/>
          <w:szCs w:val="24"/>
        </w:rPr>
      </w:pPr>
      <w:r>
        <w:rPr>
          <w:rFonts w:hint="eastAsia" w:ascii="Times New Roman" w:hAnsi="Times New Roman" w:eastAsia="等线" w:cs="Times New Roman"/>
          <w:b/>
          <w:sz w:val="21"/>
          <w:szCs w:val="24"/>
        </w:rPr>
        <w:t>表M.</w:t>
      </w:r>
      <w:r>
        <w:rPr>
          <w:rFonts w:ascii="Times New Roman" w:hAnsi="Times New Roman" w:eastAsia="等线" w:cs="Times New Roman"/>
          <w:b/>
          <w:sz w:val="21"/>
          <w:szCs w:val="24"/>
        </w:rPr>
        <w:t xml:space="preserve">3.2  </w:t>
      </w:r>
      <w:r>
        <w:rPr>
          <w:rFonts w:hint="eastAsia" w:ascii="Times New Roman" w:hAnsi="Times New Roman" w:eastAsia="等线" w:cs="Times New Roman"/>
          <w:b/>
          <w:sz w:val="21"/>
          <w:szCs w:val="24"/>
        </w:rPr>
        <w:t>常用的钢围檩构件几何参数</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7" w:type="dxa"/>
          <w:left w:w="17" w:type="dxa"/>
          <w:bottom w:w="17" w:type="dxa"/>
          <w:right w:w="17" w:type="dxa"/>
        </w:tblCellMar>
      </w:tblPr>
      <w:tblGrid>
        <w:gridCol w:w="1471"/>
        <w:gridCol w:w="1068"/>
        <w:gridCol w:w="1036"/>
        <w:gridCol w:w="1439"/>
        <w:gridCol w:w="1424"/>
        <w:gridCol w:w="1080"/>
        <w:gridCol w:w="1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钢围檩</w:t>
            </w:r>
          </w:p>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hint="eastAsia" w:ascii="Times New Roman" w:hAnsi="Times New Roman" w:eastAsia="等线" w:cs="Times New Roman"/>
                <w:kern w:val="0"/>
                <w:sz w:val="21"/>
                <w:szCs w:val="21"/>
              </w:rPr>
              <w:t>规格</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截面积</w:t>
            </w:r>
            <w:r>
              <w:rPr>
                <w:rFonts w:ascii="Times New Roman" w:hAnsi="Times New Roman" w:eastAsia="等线" w:cs="Times New Roman"/>
                <w:i/>
                <w:iCs/>
                <w:kern w:val="0"/>
                <w:sz w:val="21"/>
                <w:szCs w:val="21"/>
              </w:rPr>
              <w:t>A</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2</w:t>
            </w:r>
            <w:r>
              <w:rPr>
                <w:rFonts w:hint="eastAsia" w:ascii="Times New Roman" w:hAnsi="Times New Roman" w:eastAsia="等线" w:cs="Times New Roman"/>
                <w:kern w:val="0"/>
                <w:sz w:val="21"/>
                <w:szCs w:val="21"/>
              </w:rPr>
              <w:t>）</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截面惯性矩</w:t>
            </w:r>
            <w:r>
              <w:rPr>
                <w:rFonts w:ascii="Times New Roman" w:hAnsi="Times New Roman" w:eastAsia="等线" w:cs="Times New Roman"/>
                <w:i/>
                <w:iCs/>
                <w:kern w:val="0"/>
                <w:sz w:val="21"/>
                <w:szCs w:val="21"/>
              </w:rPr>
              <w:t>I</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4</w:t>
            </w:r>
            <w:r>
              <w:rPr>
                <w:rFonts w:hint="eastAsia" w:ascii="Times New Roman" w:hAnsi="Times New Roman" w:eastAsia="等线" w:cs="Times New Roman"/>
                <w:kern w:val="0"/>
                <w:sz w:val="21"/>
                <w:szCs w:val="21"/>
              </w:rPr>
              <w:t>）</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截面抵抗矩</w:t>
            </w:r>
            <w:r>
              <w:rPr>
                <w:rFonts w:ascii="Times New Roman" w:hAnsi="Times New Roman" w:eastAsia="等线" w:cs="Times New Roman"/>
                <w:i/>
                <w:iCs/>
                <w:kern w:val="0"/>
                <w:sz w:val="21"/>
                <w:szCs w:val="21"/>
              </w:rPr>
              <w:t>W</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3</w:t>
            </w:r>
            <w:r>
              <w:rPr>
                <w:rFonts w:hint="eastAsia" w:ascii="Times New Roman" w:hAnsi="Times New Roman" w:eastAsia="等线" w:cs="Times New Roman"/>
                <w:kern w:val="0"/>
                <w:sz w:val="21"/>
                <w:szCs w:val="21"/>
              </w:rPr>
              <w:t>）</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截面惯性矩</w:t>
            </w:r>
            <w:r>
              <w:rPr>
                <w:rFonts w:ascii="Times New Roman" w:hAnsi="Times New Roman" w:eastAsia="等线" w:cs="Times New Roman"/>
                <w:i/>
                <w:iCs/>
                <w:kern w:val="0"/>
                <w:sz w:val="21"/>
                <w:szCs w:val="21"/>
              </w:rPr>
              <w:t>I</w:t>
            </w:r>
            <w:r>
              <w:rPr>
                <w:rFonts w:ascii="Times New Roman" w:hAnsi="Times New Roman" w:eastAsia="等线" w:cs="Times New Roman"/>
                <w:kern w:val="0"/>
                <w:sz w:val="21"/>
                <w:szCs w:val="21"/>
                <w:vertAlign w:val="subscript"/>
              </w:rPr>
              <w:t>y</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4</w:t>
            </w:r>
            <w:r>
              <w:rPr>
                <w:rFonts w:hint="eastAsia" w:ascii="Times New Roman" w:hAnsi="Times New Roman" w:eastAsia="等线" w:cs="Times New Roman"/>
                <w:kern w:val="0"/>
                <w:sz w:val="21"/>
                <w:szCs w:val="21"/>
              </w:rPr>
              <w:t>）</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截面抵抗矩</w:t>
            </w:r>
            <w:r>
              <w:rPr>
                <w:rFonts w:ascii="Times New Roman" w:hAnsi="Times New Roman" w:eastAsia="等线" w:cs="Times New Roman"/>
                <w:i/>
                <w:iCs/>
                <w:kern w:val="0"/>
                <w:sz w:val="21"/>
                <w:szCs w:val="21"/>
              </w:rPr>
              <w:t>W</w:t>
            </w:r>
            <w:r>
              <w:rPr>
                <w:rFonts w:ascii="Times New Roman" w:hAnsi="Times New Roman" w:eastAsia="等线" w:cs="Times New Roman"/>
                <w:kern w:val="0"/>
                <w:sz w:val="21"/>
                <w:szCs w:val="21"/>
                <w:vertAlign w:val="subscript"/>
              </w:rPr>
              <w:t>y</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3</w:t>
            </w:r>
            <w:r>
              <w:rPr>
                <w:rFonts w:hint="eastAsia" w:ascii="Times New Roman" w:hAnsi="Times New Roman" w:eastAsia="等线" w:cs="Times New Roman"/>
                <w:kern w:val="0"/>
                <w:sz w:val="21"/>
                <w:szCs w:val="21"/>
              </w:rPr>
              <w:t>）</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面积矩</w:t>
            </w:r>
            <w:r>
              <w:rPr>
                <w:rFonts w:ascii="Times New Roman" w:hAnsi="Times New Roman" w:eastAsia="等线" w:cs="Times New Roman"/>
                <w:i/>
                <w:iCs/>
                <w:kern w:val="0"/>
                <w:sz w:val="21"/>
                <w:szCs w:val="21"/>
              </w:rPr>
              <w:t>S</w:t>
            </w:r>
            <w:r>
              <w:rPr>
                <w:rFonts w:ascii="Times New Roman" w:hAnsi="Times New Roman" w:eastAsia="等线" w:cs="Times New Roman"/>
                <w:kern w:val="0"/>
                <w:sz w:val="21"/>
                <w:szCs w:val="21"/>
                <w:vertAlign w:val="subscript"/>
              </w:rPr>
              <w:t>x</w:t>
            </w:r>
            <w:r>
              <w:rPr>
                <w:rFonts w:hint="eastAsia" w:ascii="Times New Roman" w:hAnsi="Times New Roman" w:eastAsia="等线" w:cs="Times New Roman"/>
                <w:kern w:val="0"/>
                <w:sz w:val="21"/>
                <w:szCs w:val="21"/>
              </w:rPr>
              <w:t>（</w:t>
            </w:r>
            <w:r>
              <w:rPr>
                <w:rFonts w:ascii="Times New Roman" w:hAnsi="Times New Roman" w:eastAsia="等线" w:cs="Times New Roman"/>
                <w:kern w:val="0"/>
                <w:sz w:val="21"/>
                <w:szCs w:val="21"/>
              </w:rPr>
              <w:t>cm</w:t>
            </w:r>
            <w:r>
              <w:rPr>
                <w:rFonts w:ascii="Times New Roman" w:hAnsi="Times New Roman" w:eastAsia="等线" w:cs="Times New Roman"/>
                <w:kern w:val="0"/>
                <w:sz w:val="21"/>
                <w:szCs w:val="21"/>
                <w:vertAlign w:val="superscript"/>
              </w:rPr>
              <w:t>3</w:t>
            </w:r>
            <w:r>
              <w:rPr>
                <w:rFonts w:hint="eastAsia" w:ascii="Times New Roman" w:hAnsi="Times New Roman" w:eastAsia="等线"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H400×400</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218.69</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65362</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3267</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22406</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1120</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2H488×300</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315.44</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136274</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5585</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87184</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2906</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2H400×400</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437.38</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130723</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6536</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216444</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5411</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2I45C</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464.00</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188830</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7096</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157676</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4505</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4424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2H700×300</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457.50</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389214</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11121</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124566</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4152</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6249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7" w:type="dxa"/>
            <w:left w:w="17" w:type="dxa"/>
            <w:bottom w:w="17" w:type="dxa"/>
            <w:right w:w="17" w:type="dxa"/>
          </w:tblCellMar>
        </w:tblPrEx>
        <w:trPr>
          <w:trHeight w:val="340" w:hRule="atLeast"/>
          <w:jc w:val="center"/>
        </w:trPr>
        <w:tc>
          <w:tcPr>
            <w:tcW w:w="84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spacing w:val="-11"/>
                <w:kern w:val="0"/>
                <w:sz w:val="21"/>
                <w:szCs w:val="21"/>
              </w:rPr>
            </w:pPr>
            <w:r>
              <w:rPr>
                <w:rFonts w:ascii="Times New Roman" w:hAnsi="Times New Roman" w:eastAsia="等线" w:cs="Times New Roman"/>
                <w:spacing w:val="-11"/>
                <w:kern w:val="0"/>
                <w:sz w:val="21"/>
                <w:szCs w:val="21"/>
              </w:rPr>
              <w:t>2I56C</w:t>
            </w:r>
          </w:p>
        </w:tc>
        <w:tc>
          <w:tcPr>
            <w:tcW w:w="615"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675.95</w:t>
            </w:r>
          </w:p>
        </w:tc>
        <w:tc>
          <w:tcPr>
            <w:tcW w:w="597"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375163</w:t>
            </w:r>
          </w:p>
        </w:tc>
        <w:tc>
          <w:tcPr>
            <w:tcW w:w="829"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11463</w:t>
            </w:r>
          </w:p>
        </w:tc>
        <w:tc>
          <w:tcPr>
            <w:tcW w:w="82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492480</w:t>
            </w:r>
          </w:p>
        </w:tc>
        <w:tc>
          <w:tcPr>
            <w:tcW w:w="622"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10944</w:t>
            </w:r>
          </w:p>
        </w:tc>
        <w:tc>
          <w:tcPr>
            <w:tcW w:w="670" w:type="pct"/>
            <w:tcBorders>
              <w:tl2br w:val="nil"/>
              <w:tr2bl w:val="nil"/>
            </w:tcBorders>
            <w:vAlign w:val="center"/>
          </w:tcPr>
          <w:p>
            <w:pPr>
              <w:widowControl w:val="0"/>
              <w:autoSpaceDE w:val="0"/>
              <w:autoSpaceDN w:val="0"/>
              <w:spacing w:line="240" w:lineRule="exact"/>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7099</w:t>
            </w:r>
          </w:p>
        </w:tc>
      </w:tr>
    </w:tbl>
    <w:p>
      <w:pPr>
        <w:rPr>
          <w:rFonts w:ascii="Times New Roman" w:hAnsi="Times New Roman" w:eastAsia="黑体"/>
          <w:sz w:val="21"/>
        </w:rPr>
      </w:pPr>
      <w:r>
        <w:rPr>
          <w:rFonts w:ascii="Times New Roman" w:hAnsi="Times New Roman"/>
          <w:szCs w:val="24"/>
        </w:rPr>
        <w:br w:type="page"/>
      </w:r>
    </w:p>
    <w:p>
      <w:pPr>
        <w:pStyle w:val="2"/>
        <w:bidi w:val="0"/>
        <w:rPr>
          <w:rFonts w:hint="eastAsia"/>
          <w:lang w:val="en-US" w:eastAsia="zh-CN"/>
        </w:rPr>
      </w:pPr>
      <w:bookmarkStart w:id="1051" w:name="_Toc10120"/>
      <w:bookmarkStart w:id="1052" w:name="_Toc5115"/>
      <w:r>
        <w:rPr>
          <w:rFonts w:hint="eastAsia"/>
          <w:lang w:val="en-US" w:eastAsia="zh-CN"/>
        </w:rPr>
        <w:t>本标准用词说明</w:t>
      </w:r>
      <w:bookmarkEnd w:id="1051"/>
      <w:bookmarkEnd w:id="1052"/>
    </w:p>
    <w:p>
      <w:pPr>
        <w:pStyle w:val="97"/>
        <w:keepNext w:val="0"/>
        <w:keepLines w:val="0"/>
        <w:pageBreakBefore w:val="0"/>
        <w:widowControl w:val="0"/>
        <w:kinsoku/>
        <w:wordWrap/>
        <w:overflowPunct/>
        <w:topLinePunct w:val="0"/>
        <w:autoSpaceDE/>
        <w:autoSpaceDN/>
        <w:bidi w:val="0"/>
        <w:adjustRightInd/>
        <w:snapToGrid/>
        <w:spacing w:line="500" w:lineRule="exact"/>
        <w:ind w:left="0" w:right="0" w:firstLine="481"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1</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为了便于在执行本标准条文时区别对待，对要求严格程度不同的用词说明如下：</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720" w:firstLineChars="3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1）表示很严格，非这样做不可的：</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1080" w:firstLineChars="45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正面词采用“必须”，反面词采用“严禁”；</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720" w:firstLineChars="3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2）表示严格，正常情况下均应这样做的：</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1080" w:firstLineChars="45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正面词采用“应”，反面词采用“不应”或“不得”；</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720" w:firstLineChars="3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3）表示允许稍有选择，在条件许可时首先应这样做的：</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1080" w:firstLineChars="45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正面词采用“宜”，反面词采用“不宜”；</w:t>
      </w:r>
    </w:p>
    <w:p>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720" w:firstLineChars="3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4）表示有选择，在一定条件下可以这样做的，采用“可”。</w:t>
      </w:r>
    </w:p>
    <w:p>
      <w:pPr>
        <w:pStyle w:val="97"/>
        <w:keepNext w:val="0"/>
        <w:keepLines w:val="0"/>
        <w:pageBreakBefore w:val="0"/>
        <w:widowControl w:val="0"/>
        <w:kinsoku/>
        <w:wordWrap/>
        <w:overflowPunct/>
        <w:topLinePunct w:val="0"/>
        <w:autoSpaceDE/>
        <w:autoSpaceDN/>
        <w:bidi w:val="0"/>
        <w:adjustRightInd/>
        <w:snapToGrid/>
        <w:spacing w:line="500" w:lineRule="exact"/>
        <w:ind w:left="0" w:right="0" w:firstLine="481"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2</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color w:val="auto"/>
          <w:spacing w:val="-6"/>
          <w:sz w:val="24"/>
          <w:szCs w:val="24"/>
        </w:rPr>
        <w:t>条文中指明应按其他有关标准执行的写法</w:t>
      </w:r>
      <w:r>
        <w:rPr>
          <w:rFonts w:hint="eastAsia" w:asciiTheme="minorEastAsia" w:hAnsiTheme="minorEastAsia" w:eastAsiaTheme="minorEastAsia" w:cstheme="minorEastAsia"/>
          <w:color w:val="auto"/>
          <w:kern w:val="2"/>
          <w:sz w:val="24"/>
          <w:szCs w:val="24"/>
          <w:lang w:val="en-US" w:eastAsia="zh-CN" w:bidi="ar-SA"/>
        </w:rPr>
        <w:t>为：“应符合……的规定”或“应按……执行”</w:t>
      </w:r>
      <w:r>
        <w:rPr>
          <w:rFonts w:hint="eastAsia" w:asciiTheme="minorEastAsia" w:hAnsiTheme="minorEastAsia" w:eastAsiaTheme="minorEastAsia" w:cstheme="minorEastAsia"/>
          <w:color w:val="auto"/>
          <w:spacing w:val="-6"/>
          <w:sz w:val="24"/>
          <w:szCs w:val="24"/>
        </w:rPr>
        <w:t>。</w:t>
      </w:r>
    </w:p>
    <w:p>
      <w:pPr>
        <w:keepNext w:val="0"/>
        <w:keepLines w:val="0"/>
        <w:pageBreakBefore w:val="0"/>
        <w:kinsoku/>
        <w:wordWrap/>
        <w:overflowPunct/>
        <w:topLinePunct w:val="0"/>
        <w:autoSpaceDE/>
        <w:autoSpaceDN/>
        <w:bidi w:val="0"/>
        <w:adjustRightInd/>
        <w:snapToGrid/>
        <w:spacing w:line="500" w:lineRule="exact"/>
        <w:textAlignment w:val="auto"/>
        <w:rPr>
          <w:rFonts w:hint="eastAsia"/>
          <w:lang w:val="en-US" w:eastAsia="zh-CN"/>
        </w:rPr>
      </w:pPr>
      <w:r>
        <w:rPr>
          <w:rFonts w:hint="eastAsia" w:ascii="Times New Roman" w:hAnsi="Times New Roman" w:cs="宋体"/>
          <w:sz w:val="32"/>
          <w:szCs w:val="32"/>
          <w:lang w:val="en-US" w:eastAsia="zh-CN" w:bidi="ar"/>
        </w:rPr>
        <w:br w:type="page"/>
      </w:r>
    </w:p>
    <w:p>
      <w:pPr>
        <w:pStyle w:val="2"/>
        <w:bidi w:val="0"/>
        <w:rPr>
          <w:rFonts w:hint="eastAsia"/>
          <w:lang w:val="en-US" w:eastAsia="zh-CN"/>
        </w:rPr>
      </w:pPr>
      <w:bookmarkStart w:id="1053" w:name="_Toc23466"/>
      <w:bookmarkStart w:id="1054" w:name="_Toc10848"/>
      <w:r>
        <w:rPr>
          <w:rFonts w:hint="eastAsia"/>
          <w:lang w:val="en-US" w:eastAsia="zh-CN"/>
        </w:rPr>
        <w:t>引用标准名录</w:t>
      </w:r>
      <w:bookmarkEnd w:id="1053"/>
      <w:bookmarkEnd w:id="1054"/>
    </w:p>
    <w:p>
      <w:pPr>
        <w:widowControl w:val="0"/>
        <w:spacing w:line="480" w:lineRule="exact"/>
        <w:rPr>
          <w:rFonts w:ascii="宋体" w:hAnsi="宋体" w:cs="Times New Roman"/>
          <w:szCs w:val="24"/>
        </w:rPr>
      </w:pPr>
      <w:r>
        <w:rPr>
          <w:rFonts w:hint="eastAsia" w:ascii="宋体" w:hAnsi="宋体" w:cs="Times New Roman"/>
          <w:szCs w:val="24"/>
        </w:rPr>
        <w:t>《建筑与市政地基基础通用规范》GB55003</w:t>
      </w:r>
    </w:p>
    <w:p>
      <w:pPr>
        <w:widowControl w:val="0"/>
        <w:spacing w:line="480" w:lineRule="exact"/>
        <w:rPr>
          <w:rFonts w:ascii="宋体" w:hAnsi="宋体" w:cs="Times New Roman"/>
          <w:szCs w:val="24"/>
        </w:rPr>
      </w:pPr>
      <w:r>
        <w:rPr>
          <w:rFonts w:hint="eastAsia" w:ascii="宋体" w:hAnsi="宋体" w:cs="Times New Roman"/>
          <w:szCs w:val="24"/>
        </w:rPr>
        <w:t>《工程勘察通用规范》GB55017</w:t>
      </w:r>
    </w:p>
    <w:p>
      <w:pPr>
        <w:widowControl w:val="0"/>
        <w:spacing w:line="480" w:lineRule="exact"/>
        <w:rPr>
          <w:rFonts w:ascii="宋体" w:hAnsi="宋体" w:cs="Times New Roman"/>
          <w:szCs w:val="24"/>
        </w:rPr>
      </w:pPr>
      <w:r>
        <w:rPr>
          <w:rFonts w:hint="eastAsia" w:ascii="宋体" w:hAnsi="宋体" w:cs="Times New Roman"/>
          <w:szCs w:val="24"/>
        </w:rPr>
        <w:t>《工程结构通用规范》GB55001</w:t>
      </w:r>
    </w:p>
    <w:p>
      <w:pPr>
        <w:widowControl w:val="0"/>
        <w:spacing w:line="480" w:lineRule="exact"/>
        <w:rPr>
          <w:rFonts w:ascii="宋体" w:hAnsi="宋体" w:cs="Times New Roman"/>
          <w:szCs w:val="24"/>
        </w:rPr>
      </w:pPr>
      <w:r>
        <w:rPr>
          <w:rFonts w:hint="eastAsia" w:ascii="宋体" w:hAnsi="宋体" w:cs="Times New Roman"/>
          <w:szCs w:val="24"/>
        </w:rPr>
        <w:t>《混凝土结构通用规范》GB55008</w:t>
      </w:r>
    </w:p>
    <w:p>
      <w:pPr>
        <w:widowControl w:val="0"/>
        <w:spacing w:line="480" w:lineRule="exact"/>
        <w:rPr>
          <w:rFonts w:ascii="宋体" w:hAnsi="宋体" w:cs="Times New Roman"/>
          <w:szCs w:val="24"/>
        </w:rPr>
      </w:pPr>
      <w:r>
        <w:rPr>
          <w:rFonts w:hint="eastAsia" w:ascii="宋体" w:hAnsi="宋体" w:cs="Times New Roman"/>
          <w:szCs w:val="24"/>
        </w:rPr>
        <w:t>《钢结构通用规范》GB55006</w:t>
      </w:r>
    </w:p>
    <w:p>
      <w:pPr>
        <w:widowControl w:val="0"/>
        <w:spacing w:line="480" w:lineRule="exact"/>
        <w:rPr>
          <w:rFonts w:ascii="宋体" w:hAnsi="宋体" w:cs="Times New Roman"/>
          <w:szCs w:val="24"/>
        </w:rPr>
      </w:pPr>
      <w:r>
        <w:rPr>
          <w:rFonts w:hint="eastAsia" w:ascii="宋体" w:hAnsi="宋体" w:cs="Times New Roman"/>
          <w:szCs w:val="24"/>
        </w:rPr>
        <w:t>《建筑节能与可再生能源利用通用规范》GB55015</w:t>
      </w:r>
    </w:p>
    <w:p>
      <w:pPr>
        <w:widowControl w:val="0"/>
        <w:spacing w:line="480" w:lineRule="exact"/>
        <w:rPr>
          <w:rFonts w:ascii="宋体" w:hAnsi="宋体" w:cs="Times New Roman"/>
          <w:szCs w:val="24"/>
        </w:rPr>
      </w:pPr>
      <w:r>
        <w:rPr>
          <w:rFonts w:ascii="宋体" w:hAnsi="宋体" w:cs="Times New Roman"/>
          <w:szCs w:val="24"/>
        </w:rPr>
        <w:t>《建筑地基基础设计规范》GB50007</w:t>
      </w:r>
    </w:p>
    <w:p>
      <w:pPr>
        <w:widowControl w:val="0"/>
        <w:spacing w:line="480" w:lineRule="exact"/>
        <w:rPr>
          <w:rFonts w:ascii="宋体" w:hAnsi="宋体" w:cs="Times New Roman"/>
          <w:szCs w:val="24"/>
        </w:rPr>
      </w:pPr>
      <w:r>
        <w:rPr>
          <w:rFonts w:ascii="宋体" w:hAnsi="宋体" w:cs="Times New Roman"/>
          <w:szCs w:val="24"/>
        </w:rPr>
        <w:t>《建筑地基基础</w:t>
      </w:r>
      <w:r>
        <w:rPr>
          <w:rFonts w:hint="eastAsia" w:ascii="宋体" w:hAnsi="宋体" w:cs="Times New Roman"/>
          <w:szCs w:val="24"/>
        </w:rPr>
        <w:t>工程施工质量验收</w:t>
      </w:r>
      <w:r>
        <w:rPr>
          <w:rFonts w:ascii="宋体" w:hAnsi="宋体" w:cs="Times New Roman"/>
          <w:szCs w:val="24"/>
        </w:rPr>
        <w:t>规范》GB50</w:t>
      </w:r>
      <w:r>
        <w:rPr>
          <w:rFonts w:hint="eastAsia" w:ascii="宋体" w:hAnsi="宋体" w:cs="Times New Roman"/>
          <w:szCs w:val="24"/>
        </w:rPr>
        <w:t>202</w:t>
      </w:r>
    </w:p>
    <w:p>
      <w:pPr>
        <w:widowControl w:val="0"/>
        <w:spacing w:line="480" w:lineRule="exact"/>
        <w:rPr>
          <w:rFonts w:ascii="宋体" w:hAnsi="宋体" w:cs="Times New Roman"/>
          <w:szCs w:val="24"/>
        </w:rPr>
      </w:pPr>
      <w:r>
        <w:rPr>
          <w:rFonts w:ascii="宋体" w:hAnsi="宋体" w:cs="Times New Roman"/>
          <w:szCs w:val="24"/>
        </w:rPr>
        <w:t>《建筑</w:t>
      </w:r>
      <w:r>
        <w:rPr>
          <w:rFonts w:hint="eastAsia" w:ascii="宋体" w:hAnsi="宋体" w:cs="Times New Roman"/>
          <w:szCs w:val="24"/>
        </w:rPr>
        <w:t>基坑工程监测技术</w:t>
      </w:r>
      <w:r>
        <w:rPr>
          <w:rFonts w:ascii="宋体" w:hAnsi="宋体" w:cs="Times New Roman"/>
          <w:szCs w:val="24"/>
        </w:rPr>
        <w:t>规范》GB50</w:t>
      </w:r>
      <w:r>
        <w:rPr>
          <w:rFonts w:hint="eastAsia" w:ascii="宋体" w:hAnsi="宋体" w:cs="Times New Roman"/>
          <w:szCs w:val="24"/>
        </w:rPr>
        <w:t>49</w:t>
      </w:r>
      <w:r>
        <w:rPr>
          <w:rFonts w:ascii="宋体" w:hAnsi="宋体" w:cs="Times New Roman"/>
          <w:szCs w:val="24"/>
        </w:rPr>
        <w:t>7</w:t>
      </w:r>
    </w:p>
    <w:p>
      <w:pPr>
        <w:widowControl w:val="0"/>
        <w:spacing w:line="480" w:lineRule="exact"/>
        <w:rPr>
          <w:rFonts w:ascii="宋体" w:hAnsi="宋体" w:cs="Times New Roman"/>
          <w:szCs w:val="24"/>
        </w:rPr>
      </w:pPr>
      <w:r>
        <w:rPr>
          <w:rFonts w:ascii="宋体" w:hAnsi="宋体" w:cs="Times New Roman"/>
          <w:szCs w:val="24"/>
        </w:rPr>
        <w:t>《</w:t>
      </w:r>
      <w:r>
        <w:rPr>
          <w:rFonts w:hint="eastAsia" w:ascii="宋体" w:hAnsi="宋体" w:cs="Times New Roman"/>
          <w:szCs w:val="24"/>
        </w:rPr>
        <w:t>复合土钉墙基坑支护技术</w:t>
      </w:r>
      <w:r>
        <w:rPr>
          <w:rFonts w:ascii="宋体" w:hAnsi="宋体" w:cs="Times New Roman"/>
          <w:szCs w:val="24"/>
        </w:rPr>
        <w:t>规范》GB507</w:t>
      </w:r>
      <w:r>
        <w:rPr>
          <w:rFonts w:hint="eastAsia" w:ascii="宋体" w:hAnsi="宋体" w:cs="Times New Roman"/>
          <w:szCs w:val="24"/>
        </w:rPr>
        <w:t>39</w:t>
      </w:r>
    </w:p>
    <w:p>
      <w:pPr>
        <w:widowControl w:val="0"/>
        <w:spacing w:line="480" w:lineRule="exact"/>
        <w:rPr>
          <w:rFonts w:ascii="宋体" w:hAnsi="宋体" w:cs="Times New Roman"/>
          <w:szCs w:val="24"/>
        </w:rPr>
      </w:pPr>
      <w:r>
        <w:rPr>
          <w:rFonts w:hint="eastAsia" w:ascii="宋体" w:hAnsi="宋体" w:cs="Times New Roman"/>
          <w:szCs w:val="24"/>
        </w:rPr>
        <w:t>《水力发电工程地质勘察规范》GB50287</w:t>
      </w:r>
    </w:p>
    <w:p>
      <w:pPr>
        <w:widowControl w:val="0"/>
        <w:spacing w:line="480" w:lineRule="exact"/>
        <w:rPr>
          <w:rFonts w:ascii="宋体" w:hAnsi="宋体" w:cs="Times New Roman"/>
          <w:szCs w:val="24"/>
        </w:rPr>
      </w:pPr>
      <w:r>
        <w:rPr>
          <w:rFonts w:hint="eastAsia" w:ascii="宋体" w:hAnsi="宋体" w:cs="Times New Roman"/>
          <w:szCs w:val="24"/>
        </w:rPr>
        <w:t>《城市轨道交通岩土工程勘察规范》GB50307</w:t>
      </w:r>
    </w:p>
    <w:p>
      <w:pPr>
        <w:widowControl w:val="0"/>
        <w:spacing w:line="480" w:lineRule="exact"/>
        <w:rPr>
          <w:rFonts w:ascii="宋体" w:hAnsi="宋体" w:cs="Times New Roman"/>
          <w:szCs w:val="24"/>
        </w:rPr>
      </w:pPr>
      <w:r>
        <w:rPr>
          <w:rFonts w:hint="eastAsia" w:ascii="宋体" w:hAnsi="宋体" w:cs="Times New Roman"/>
          <w:szCs w:val="24"/>
        </w:rPr>
        <w:t>《岩土工程勘察规范》GB50021</w:t>
      </w:r>
    </w:p>
    <w:p>
      <w:pPr>
        <w:widowControl w:val="0"/>
        <w:spacing w:line="480" w:lineRule="exact"/>
        <w:rPr>
          <w:rFonts w:ascii="宋体" w:hAnsi="宋体" w:cs="Times New Roman"/>
          <w:szCs w:val="24"/>
        </w:rPr>
      </w:pPr>
      <w:r>
        <w:rPr>
          <w:rFonts w:hint="eastAsia" w:ascii="宋体" w:hAnsi="宋体" w:cs="Times New Roman"/>
          <w:szCs w:val="24"/>
        </w:rPr>
        <w:t>《湿陷性黄土地区建筑规范》GB50025</w:t>
      </w:r>
    </w:p>
    <w:p>
      <w:pPr>
        <w:widowControl w:val="0"/>
        <w:spacing w:line="480" w:lineRule="exact"/>
        <w:rPr>
          <w:rFonts w:ascii="宋体" w:hAnsi="宋体" w:cs="Times New Roman"/>
          <w:szCs w:val="24"/>
        </w:rPr>
      </w:pPr>
      <w:r>
        <w:rPr>
          <w:rFonts w:hint="eastAsia" w:ascii="宋体" w:hAnsi="宋体" w:cs="Times New Roman"/>
          <w:szCs w:val="24"/>
        </w:rPr>
        <w:t>《土方与爆破工程施工及验收规范》</w:t>
      </w:r>
      <w:r>
        <w:rPr>
          <w:rFonts w:ascii="宋体" w:hAnsi="宋体" w:cs="Times New Roman"/>
          <w:szCs w:val="24"/>
        </w:rPr>
        <w:t>GB50201</w:t>
      </w:r>
    </w:p>
    <w:p>
      <w:pPr>
        <w:widowControl w:val="0"/>
        <w:spacing w:line="480" w:lineRule="exact"/>
        <w:rPr>
          <w:rFonts w:ascii="宋体" w:hAnsi="宋体" w:cs="Times New Roman"/>
          <w:szCs w:val="24"/>
        </w:rPr>
      </w:pPr>
      <w:r>
        <w:rPr>
          <w:rFonts w:hint="eastAsia" w:ascii="宋体" w:hAnsi="宋体" w:cs="Times New Roman"/>
          <w:szCs w:val="24"/>
        </w:rPr>
        <w:t>《建筑基坑支护技术规程》JGJ120</w:t>
      </w:r>
    </w:p>
    <w:p>
      <w:pPr>
        <w:widowControl w:val="0"/>
        <w:spacing w:line="480" w:lineRule="exact"/>
        <w:rPr>
          <w:rFonts w:ascii="宋体" w:hAnsi="宋体" w:cs="Times New Roman"/>
          <w:szCs w:val="24"/>
        </w:rPr>
      </w:pPr>
      <w:r>
        <w:rPr>
          <w:rFonts w:hint="eastAsia" w:ascii="宋体" w:hAnsi="宋体" w:cs="Times New Roman"/>
          <w:szCs w:val="24"/>
        </w:rPr>
        <w:t>《建筑基坑工程技术规范》YB9258</w:t>
      </w:r>
    </w:p>
    <w:p>
      <w:pPr>
        <w:widowControl w:val="0"/>
        <w:spacing w:line="480" w:lineRule="exact"/>
        <w:rPr>
          <w:rFonts w:ascii="宋体" w:hAnsi="宋体" w:cs="Times New Roman"/>
          <w:szCs w:val="24"/>
        </w:rPr>
      </w:pPr>
      <w:r>
        <w:rPr>
          <w:rFonts w:hint="eastAsia" w:ascii="宋体" w:hAnsi="宋体" w:cs="Times New Roman"/>
          <w:szCs w:val="24"/>
        </w:rPr>
        <w:t>《湿陷性黄土地区建筑基坑工程安全技术规程》JGJ167</w:t>
      </w:r>
    </w:p>
    <w:p>
      <w:pPr>
        <w:widowControl w:val="0"/>
        <w:spacing w:line="480" w:lineRule="exact"/>
        <w:rPr>
          <w:rFonts w:ascii="宋体" w:hAnsi="宋体" w:cs="Times New Roman"/>
          <w:szCs w:val="24"/>
        </w:rPr>
      </w:pPr>
      <w:r>
        <w:rPr>
          <w:rFonts w:hint="eastAsia" w:ascii="宋体" w:hAnsi="宋体" w:cs="Times New Roman"/>
          <w:szCs w:val="24"/>
        </w:rPr>
        <w:t>《建筑地基基础勘察设计规范》DBJ04-258</w:t>
      </w:r>
    </w:p>
    <w:p>
      <w:pPr>
        <w:widowControl w:val="0"/>
        <w:spacing w:line="480" w:lineRule="exact"/>
        <w:rPr>
          <w:rFonts w:ascii="宋体" w:hAnsi="宋体" w:cs="Times New Roman"/>
          <w:szCs w:val="24"/>
        </w:rPr>
      </w:pPr>
      <w:r>
        <w:rPr>
          <w:rFonts w:hint="eastAsia" w:ascii="宋体" w:hAnsi="宋体" w:cs="Times New Roman"/>
          <w:szCs w:val="24"/>
        </w:rPr>
        <w:t>上海市工程建设规范《基坑工程技术规范》DG/TJ08-61</w:t>
      </w:r>
    </w:p>
    <w:p>
      <w:pPr>
        <w:widowControl w:val="0"/>
        <w:spacing w:line="480" w:lineRule="exact"/>
        <w:rPr>
          <w:rFonts w:ascii="宋体" w:hAnsi="宋体" w:cs="Times New Roman"/>
          <w:szCs w:val="24"/>
        </w:rPr>
      </w:pPr>
      <w:r>
        <w:rPr>
          <w:rFonts w:hint="eastAsia" w:ascii="宋体" w:hAnsi="宋体" w:cs="Times New Roman"/>
          <w:szCs w:val="24"/>
        </w:rPr>
        <w:t>北京市地方标准《建筑基坑支护技术规程》DB11/489</w:t>
      </w:r>
    </w:p>
    <w:p>
      <w:pPr>
        <w:widowControl w:val="0"/>
        <w:spacing w:line="480" w:lineRule="exact"/>
        <w:rPr>
          <w:rFonts w:ascii="宋体" w:hAnsi="宋体" w:cs="Times New Roman"/>
          <w:szCs w:val="24"/>
        </w:rPr>
      </w:pPr>
      <w:r>
        <w:rPr>
          <w:rFonts w:hint="eastAsia" w:ascii="宋体" w:hAnsi="宋体" w:cs="Times New Roman"/>
          <w:szCs w:val="24"/>
        </w:rPr>
        <w:t>天津市工程建设标准《建筑基坑工程技术规程》DB29-202</w:t>
      </w:r>
    </w:p>
    <w:p>
      <w:pPr>
        <w:widowControl w:val="0"/>
        <w:spacing w:line="480" w:lineRule="exact"/>
        <w:rPr>
          <w:rFonts w:ascii="宋体" w:hAnsi="宋体" w:cs="Times New Roman"/>
          <w:szCs w:val="24"/>
        </w:rPr>
      </w:pPr>
      <w:r>
        <w:rPr>
          <w:rFonts w:hint="eastAsia" w:ascii="宋体" w:hAnsi="宋体" w:cs="Times New Roman"/>
          <w:szCs w:val="24"/>
        </w:rPr>
        <w:t>湖北省地方标准《基坑工程技术规程》DB42/159</w:t>
      </w:r>
    </w:p>
    <w:p>
      <w:pPr>
        <w:widowControl w:val="0"/>
        <w:spacing w:line="480" w:lineRule="exact"/>
        <w:jc w:val="left"/>
        <w:rPr>
          <w:rFonts w:ascii="宋体" w:hAnsi="宋体" w:cs="Times New Roman"/>
          <w:szCs w:val="24"/>
        </w:rPr>
      </w:pPr>
      <w:r>
        <w:rPr>
          <w:rFonts w:hint="eastAsia" w:ascii="宋体" w:hAnsi="宋体" w:cs="Times New Roman"/>
          <w:szCs w:val="24"/>
        </w:rPr>
        <w:t>浙江省标准《建筑基坑工程技术规程》DB33/T1008</w:t>
      </w:r>
    </w:p>
    <w:p>
      <w:pPr>
        <w:widowControl w:val="0"/>
        <w:spacing w:line="480" w:lineRule="exact"/>
        <w:jc w:val="left"/>
        <w:rPr>
          <w:rFonts w:ascii="宋体" w:hAnsi="宋体" w:cs="Times New Roman"/>
          <w:szCs w:val="24"/>
        </w:rPr>
      </w:pPr>
      <w:r>
        <w:rPr>
          <w:rFonts w:hint="eastAsia" w:ascii="宋体" w:hAnsi="宋体" w:cs="Times New Roman"/>
          <w:szCs w:val="24"/>
        </w:rPr>
        <w:t>河南省基坑工程技术规范DBJ 41/139</w:t>
      </w:r>
    </w:p>
    <w:p>
      <w:pPr>
        <w:rPr>
          <w:rFonts w:hint="eastAsia"/>
          <w:lang w:val="en-US" w:eastAsia="zh-CN"/>
        </w:rPr>
      </w:pPr>
    </w:p>
    <w:p>
      <w:pPr>
        <w:rPr>
          <w:rFonts w:hint="eastAsia" w:ascii="Times New Roman" w:hAnsi="Times New Roman" w:cs="宋体"/>
          <w:sz w:val="32"/>
          <w:szCs w:val="32"/>
          <w:lang w:val="en-US" w:eastAsia="zh-CN" w:bidi="ar"/>
        </w:rPr>
      </w:pPr>
      <w:r>
        <w:rPr>
          <w:rFonts w:hint="eastAsia" w:ascii="Times New Roman" w:hAnsi="Times New Roman" w:cs="宋体"/>
          <w:sz w:val="32"/>
          <w:szCs w:val="32"/>
          <w:lang w:val="en-US" w:eastAsia="zh-CN" w:bidi="ar"/>
        </w:rPr>
        <w:br w:type="page"/>
      </w:r>
    </w:p>
    <w:p>
      <w:pPr>
        <w:pStyle w:val="13"/>
        <w:rPr>
          <w:rFonts w:hint="eastAsia"/>
          <w:lang w:val="en-US" w:eastAsia="zh-CN"/>
        </w:rPr>
      </w:pPr>
    </w:p>
    <w:p>
      <w:pPr>
        <w:widowControl w:val="0"/>
        <w:spacing w:line="800" w:lineRule="exact"/>
        <w:jc w:val="center"/>
        <w:rPr>
          <w:rFonts w:ascii="宋体" w:hAnsi="宋体" w:cs="宋体"/>
          <w:sz w:val="44"/>
          <w:szCs w:val="44"/>
        </w:rPr>
      </w:pPr>
      <w:bookmarkStart w:id="1055" w:name="_Toc385576972"/>
      <w:bookmarkStart w:id="1056" w:name="_Toc384310115"/>
      <w:bookmarkStart w:id="1057" w:name="_Toc384309894"/>
      <w:bookmarkStart w:id="1058" w:name="_Toc382559780"/>
      <w:bookmarkStart w:id="1059" w:name="_Toc368170528"/>
      <w:bookmarkStart w:id="1060" w:name="_Toc369880226"/>
      <w:bookmarkStart w:id="1061" w:name="_Toc381951440"/>
      <w:bookmarkStart w:id="1062" w:name="_Toc381951635"/>
      <w:bookmarkStart w:id="1063" w:name="_Toc385518875"/>
      <w:bookmarkStart w:id="1064" w:name="_Toc385579357"/>
      <w:bookmarkStart w:id="1065" w:name="_Toc381951056"/>
      <w:bookmarkStart w:id="1066" w:name="_Toc384300174"/>
      <w:bookmarkStart w:id="1067" w:name="_Toc388643479"/>
      <w:bookmarkStart w:id="1068" w:name="_Toc382559942"/>
      <w:bookmarkStart w:id="1069" w:name="_Toc14674"/>
      <w:bookmarkStart w:id="1070" w:name="_Toc384304402"/>
      <w:bookmarkStart w:id="1071" w:name="_Toc384300322"/>
      <w:bookmarkStart w:id="1072" w:name="_Toc369733247"/>
      <w:bookmarkStart w:id="1073" w:name="_Toc375034030"/>
      <w:bookmarkStart w:id="1074" w:name="_Toc388643596"/>
      <w:bookmarkStart w:id="1075" w:name="_Toc375039731"/>
      <w:bookmarkStart w:id="1076" w:name="_Toc381950794"/>
      <w:r>
        <w:rPr>
          <w:rFonts w:hint="eastAsia" w:ascii="宋体" w:hAnsi="宋体" w:cs="宋体"/>
          <w:sz w:val="44"/>
          <w:szCs w:val="44"/>
        </w:rPr>
        <w:t>山西省工程建设地方标准</w:t>
      </w:r>
    </w:p>
    <w:p>
      <w:pPr>
        <w:widowControl w:val="0"/>
        <w:spacing w:line="800" w:lineRule="exact"/>
        <w:jc w:val="center"/>
        <w:rPr>
          <w:rFonts w:ascii="宋体" w:hAnsi="宋体" w:cs="宋体"/>
          <w:b/>
          <w:bCs/>
          <w:sz w:val="52"/>
          <w:szCs w:val="52"/>
        </w:rPr>
      </w:pPr>
      <w:r>
        <w:rPr>
          <w:rFonts w:ascii="宋体" w:hAnsi="宋体" w:cs="宋体"/>
          <w:b/>
          <w:bCs/>
          <w:sz w:val="52"/>
          <w:szCs w:val="52"/>
        </w:rPr>
        <w:t xml:space="preserve">                     </w:t>
      </w:r>
    </w:p>
    <w:p>
      <w:pPr>
        <w:widowControl w:val="0"/>
        <w:spacing w:line="800" w:lineRule="exact"/>
        <w:jc w:val="center"/>
        <w:rPr>
          <w:rFonts w:ascii="黑体" w:eastAsia="黑体"/>
          <w:sz w:val="48"/>
          <w:szCs w:val="48"/>
        </w:rPr>
      </w:pPr>
      <w:r>
        <w:rPr>
          <w:rFonts w:hint="eastAsia" w:ascii="黑体" w:eastAsia="黑体" w:cs="黑体"/>
          <w:sz w:val="48"/>
          <w:szCs w:val="48"/>
        </w:rPr>
        <w:t>建筑基坑工程技术</w:t>
      </w:r>
      <w:r>
        <w:rPr>
          <w:rFonts w:hint="eastAsia" w:ascii="黑体" w:eastAsia="黑体" w:cs="黑体"/>
          <w:sz w:val="48"/>
          <w:szCs w:val="48"/>
          <w:lang w:val="en-US" w:eastAsia="zh-CN"/>
        </w:rPr>
        <w:t>标准</w:t>
      </w:r>
    </w:p>
    <w:p>
      <w:pPr>
        <w:widowControl w:val="0"/>
        <w:spacing w:line="800" w:lineRule="exact"/>
        <w:jc w:val="center"/>
        <w:rPr>
          <w:rFonts w:hint="default" w:ascii="Times New Roman" w:hAnsi="Times New Roman" w:eastAsia="宋体"/>
          <w:b/>
          <w:bCs/>
          <w:spacing w:val="-20"/>
          <w:sz w:val="32"/>
          <w:szCs w:val="32"/>
          <w:lang w:val="en-US" w:eastAsia="zh-CN"/>
        </w:rPr>
      </w:pPr>
      <w:r>
        <w:rPr>
          <w:rFonts w:ascii="Times New Roman" w:hAnsi="Times New Roman" w:cs="宋体"/>
          <w:b/>
          <w:bCs/>
          <w:spacing w:val="-20"/>
          <w:sz w:val="32"/>
          <w:szCs w:val="32"/>
        </w:rPr>
        <w:t>DBJ</w:t>
      </w:r>
      <w:r>
        <w:rPr>
          <w:rFonts w:hint="eastAsia" w:ascii="Times New Roman" w:hAnsi="Times New Roman" w:cs="宋体"/>
          <w:b/>
          <w:bCs/>
          <w:spacing w:val="-20"/>
          <w:sz w:val="32"/>
          <w:szCs w:val="32"/>
        </w:rPr>
        <w:t>04/T306</w:t>
      </w:r>
      <w:r>
        <w:rPr>
          <w:rFonts w:hint="eastAsia" w:ascii="Times New Roman" w:hAnsi="宋体" w:cs="宋体"/>
          <w:b/>
          <w:bCs/>
          <w:spacing w:val="-20"/>
          <w:sz w:val="32"/>
          <w:szCs w:val="32"/>
        </w:rPr>
        <w:t>－</w:t>
      </w:r>
      <w:r>
        <w:rPr>
          <w:rFonts w:ascii="Times New Roman" w:hAnsi="Times New Roman" w:cs="宋体"/>
          <w:b/>
          <w:bCs/>
          <w:spacing w:val="-20"/>
          <w:sz w:val="32"/>
          <w:szCs w:val="32"/>
        </w:rPr>
        <w:t>20</w:t>
      </w:r>
      <w:r>
        <w:rPr>
          <w:rFonts w:hint="eastAsia" w:ascii="Times New Roman" w:hAnsi="Times New Roman" w:cs="宋体"/>
          <w:b/>
          <w:bCs/>
          <w:spacing w:val="-20"/>
          <w:sz w:val="32"/>
          <w:szCs w:val="32"/>
          <w:lang w:val="en-US" w:eastAsia="zh-CN"/>
        </w:rPr>
        <w:t>23</w:t>
      </w:r>
    </w:p>
    <w:p>
      <w:pPr>
        <w:widowControl w:val="0"/>
        <w:spacing w:line="800" w:lineRule="exact"/>
        <w:jc w:val="center"/>
        <w:rPr>
          <w:sz w:val="36"/>
          <w:szCs w:val="36"/>
        </w:rPr>
      </w:pPr>
      <w:r>
        <w:rPr>
          <w:rFonts w:hint="eastAsia"/>
          <w:sz w:val="36"/>
          <w:szCs w:val="36"/>
        </w:rPr>
        <w:t>条文说明</w:t>
      </w:r>
    </w:p>
    <w:p>
      <w:pPr>
        <w:widowControl w:val="0"/>
        <w:spacing w:line="800" w:lineRule="exact"/>
        <w:jc w:val="center"/>
        <w:rPr>
          <w:sz w:val="36"/>
          <w:szCs w:val="36"/>
        </w:rPr>
      </w:pPr>
    </w:p>
    <w:p>
      <w:pPr>
        <w:widowControl w:val="0"/>
        <w:spacing w:line="800" w:lineRule="exact"/>
        <w:jc w:val="center"/>
        <w:rPr>
          <w:sz w:val="36"/>
          <w:szCs w:val="36"/>
        </w:rPr>
      </w:pPr>
    </w:p>
    <w:p>
      <w:pPr>
        <w:widowControl w:val="0"/>
        <w:spacing w:line="800" w:lineRule="exact"/>
        <w:jc w:val="center"/>
        <w:rPr>
          <w:sz w:val="36"/>
          <w:szCs w:val="36"/>
        </w:rPr>
      </w:pPr>
    </w:p>
    <w:p>
      <w:pPr>
        <w:widowControl w:val="0"/>
        <w:spacing w:line="800" w:lineRule="exact"/>
        <w:jc w:val="center"/>
        <w:rPr>
          <w:sz w:val="36"/>
          <w:szCs w:val="36"/>
        </w:rPr>
      </w:pPr>
    </w:p>
    <w:p>
      <w:pPr>
        <w:widowControl w:val="0"/>
        <w:spacing w:line="800" w:lineRule="exact"/>
        <w:jc w:val="center"/>
        <w:rPr>
          <w:sz w:val="36"/>
          <w:szCs w:val="36"/>
        </w:rPr>
      </w:pPr>
    </w:p>
    <w:p>
      <w:pPr>
        <w:widowControl w:val="0"/>
        <w:spacing w:line="800" w:lineRule="exact"/>
        <w:jc w:val="center"/>
        <w:rPr>
          <w:sz w:val="36"/>
          <w:szCs w:val="36"/>
        </w:rPr>
      </w:pPr>
    </w:p>
    <w:p>
      <w:pPr>
        <w:widowControl w:val="0"/>
        <w:spacing w:line="800" w:lineRule="exact"/>
        <w:jc w:val="center"/>
        <w:rPr>
          <w:sz w:val="36"/>
          <w:szCs w:val="36"/>
        </w:rPr>
      </w:pPr>
    </w:p>
    <w:p>
      <w:pPr>
        <w:rPr>
          <w:rFonts w:hint="eastAsia" w:ascii="Times New Roman" w:hAnsi="Times New Roman"/>
          <w:sz w:val="36"/>
          <w:szCs w:val="36"/>
        </w:rPr>
      </w:pPr>
      <w:r>
        <w:rPr>
          <w:rFonts w:hint="eastAsia" w:ascii="Times New Roman" w:hAnsi="Times New Roman"/>
          <w:sz w:val="36"/>
          <w:szCs w:val="36"/>
        </w:rPr>
        <w:br w:type="page"/>
      </w:r>
    </w:p>
    <w:p>
      <w:pPr>
        <w:jc w:val="center"/>
        <w:rPr>
          <w:rFonts w:hint="eastAsia" w:ascii="Times New Roman" w:hAnsi="Times New Roman"/>
          <w:b/>
          <w:bCs/>
          <w:color w:val="auto"/>
          <w:sz w:val="44"/>
          <w:szCs w:val="44"/>
        </w:rPr>
      </w:pPr>
      <w:r>
        <w:rPr>
          <w:rFonts w:hint="eastAsia" w:ascii="Times New Roman" w:hAnsi="Times New Roman"/>
          <w:b/>
          <w:bCs/>
          <w:color w:val="auto"/>
          <w:sz w:val="44"/>
          <w:szCs w:val="44"/>
          <w:lang w:val="en-US" w:eastAsia="zh-CN"/>
        </w:rPr>
        <w:t>修订说明</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lang w:val="en-US" w:eastAsia="zh-CN"/>
        </w:rPr>
      </w:pPr>
      <w:r>
        <w:rPr>
          <w:rFonts w:hint="eastAsia" w:ascii="Times New Roman" w:hAnsi="Times New Roman"/>
          <w:lang w:val="en-US" w:eastAsia="zh-CN"/>
        </w:rPr>
        <w:t>《建筑基坑工程技术规程》DBJ04/T306-2023，根据山西省住房和城乡建设厅</w:t>
      </w:r>
      <w:r>
        <w:rPr>
          <w:rFonts w:hint="eastAsia" w:ascii="宋体" w:hAnsi="宋体" w:eastAsia="宋体" w:cs="宋体"/>
          <w:szCs w:val="24"/>
        </w:rPr>
        <w:t>《2022年工程建设地方标准制（修）订计划（第</w:t>
      </w:r>
      <w:r>
        <w:rPr>
          <w:rFonts w:hint="eastAsia" w:ascii="Times New Roman" w:hAnsi="Times New Roman"/>
          <w:lang w:val="en-US" w:eastAsia="zh-CN"/>
        </w:rPr>
        <w:t>二批）》晋建科字〔2022〕232号的要求修改编制。本标准经山西省住房和城乡建设厅X年X月X日以第X号公告批准、发布。</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lang w:val="en-US" w:eastAsia="zh-CN"/>
        </w:rPr>
      </w:pPr>
      <w:r>
        <w:rPr>
          <w:rFonts w:hint="eastAsia" w:ascii="Times New Roman" w:hAnsi="Times New Roman"/>
          <w:lang w:val="en-US" w:eastAsia="zh-CN"/>
        </w:rPr>
        <w:t>本标准是在《建筑基坑工程技术规程》 DBJ04/T306-2014基础上修订而成，上一版的主编单位是山西建筑工程（集团）总公司、太原理工大学，参编单位是山西省设计审核室、山西省勘察设计研究院、山西省建筑设计研究院、山西省建筑科学研究院、中国水电基础局有限公司、山西裕祥基础工程有限公司、太原市建筑设计研究院、山西建勘岩土工程有限公司、山西省交通科学研究院、中北大学、山西建筑职业技术学院、太原市建设工程质量监督站、太原建工集团有限公司、山西建工建筑工程检测有限公司、山西建工集团基础分公司、山西机械化建设集团公司、山西冶金岩土工程勘察总公司、山西太行建设开发有限公司、阳泉市建筑设计院、吕梁市建筑勘察设计院，主要起草人是张循当、梁仁旺、贾迎泽、李康、贺永俊、史卫平、</w:t>
      </w:r>
      <w:r>
        <w:rPr>
          <w:rFonts w:hint="eastAsia" w:ascii="Times New Roman" w:hAnsi="Times New Roman"/>
          <w:color w:val="auto"/>
          <w:bdr w:val="single" w:sz="4" w:space="0"/>
          <w:lang w:val="en-US" w:eastAsia="zh-CN"/>
        </w:rPr>
        <w:t>原永智</w:t>
      </w:r>
      <w:r>
        <w:rPr>
          <w:rFonts w:hint="eastAsia" w:ascii="Times New Roman" w:hAnsi="Times New Roman"/>
          <w:color w:val="auto"/>
          <w:lang w:val="en-US" w:eastAsia="zh-CN"/>
        </w:rPr>
        <w:t>、胡</w:t>
      </w:r>
      <w:r>
        <w:rPr>
          <w:rFonts w:hint="eastAsia" w:ascii="Times New Roman" w:hAnsi="Times New Roman"/>
          <w:lang w:val="en-US" w:eastAsia="zh-CN"/>
        </w:rPr>
        <w:t>启胜、王敏泽、何亮、杨振甲、李根、李永伟、苏培仁、史晋荣、弓晓丽、韩云山、杨印旺、经明、张吉人、曾国红、马克生、贺武斌、葛忻声、都智刚、吴正杰、张霞、李建国、李保华、周兴高、张世嫒、王惠荣、董彦莉、相兴华、张佩琳、江志安、程培武、荆和平、闫金忠、王昌威。</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lang w:val="en-US" w:eastAsia="zh-CN"/>
        </w:rPr>
        <w:t>本次修订的主要技术内容为：1.将《钢板桩支护技术规程》DBJ04/T328-2016合并入本标准；2.第8章支护结构中增加了钢板桩、型钢水泥土搅拌墙的相关内容；3.对原有章节的顺序进行了调整；4.增加了</w:t>
      </w:r>
      <w:r>
        <w:rPr>
          <w:rFonts w:hint="eastAsia" w:ascii="宋体" w:hAnsi="宋体" w:eastAsia="宋体" w:cs="宋体"/>
          <w:color w:val="auto"/>
          <w:sz w:val="24"/>
          <w:szCs w:val="24"/>
        </w:rPr>
        <w:t>附录F基坑涌水量估算</w:t>
      </w:r>
      <w:r>
        <w:rPr>
          <w:rFonts w:hint="eastAsia" w:ascii="宋体" w:hAnsi="宋体" w:cs="宋体"/>
          <w:color w:val="auto"/>
          <w:sz w:val="24"/>
          <w:szCs w:val="24"/>
          <w:lang w:eastAsia="zh-CN"/>
        </w:rPr>
        <w:t>、</w:t>
      </w:r>
      <w:r>
        <w:rPr>
          <w:rFonts w:hint="eastAsia" w:ascii="宋体" w:hAnsi="宋体" w:eastAsia="宋体" w:cs="宋体"/>
          <w:sz w:val="24"/>
          <w:szCs w:val="24"/>
        </w:rPr>
        <w:t>附录</w:t>
      </w:r>
      <w:r>
        <w:rPr>
          <w:rFonts w:hint="eastAsia" w:cs="宋体"/>
          <w:sz w:val="24"/>
          <w:szCs w:val="24"/>
          <w:lang w:val="en-US" w:eastAsia="zh-CN"/>
        </w:rPr>
        <w:t>G</w:t>
      </w:r>
      <w:r>
        <w:rPr>
          <w:rFonts w:hint="eastAsia" w:ascii="宋体" w:hAnsi="宋体" w:eastAsia="宋体" w:cs="宋体"/>
          <w:sz w:val="24"/>
          <w:szCs w:val="24"/>
        </w:rPr>
        <w:t>钢板桩截面类型</w:t>
      </w:r>
      <w:r>
        <w:rPr>
          <w:rFonts w:hint="eastAsia" w:ascii="宋体" w:hAnsi="宋体" w:cs="宋体"/>
          <w:sz w:val="24"/>
          <w:szCs w:val="24"/>
          <w:lang w:eastAsia="zh-CN"/>
        </w:rPr>
        <w:t>、</w:t>
      </w:r>
      <w:r>
        <w:rPr>
          <w:rFonts w:hint="eastAsia" w:ascii="宋体" w:hAnsi="宋体" w:eastAsia="宋体" w:cs="宋体"/>
          <w:sz w:val="24"/>
          <w:szCs w:val="24"/>
        </w:rPr>
        <w:t>附录</w:t>
      </w:r>
      <w:r>
        <w:rPr>
          <w:rFonts w:hint="eastAsia" w:cs="宋体"/>
          <w:sz w:val="24"/>
          <w:szCs w:val="24"/>
          <w:lang w:val="en-US" w:eastAsia="zh-CN"/>
        </w:rPr>
        <w:t>H</w:t>
      </w:r>
      <w:r>
        <w:rPr>
          <w:rFonts w:hint="eastAsia" w:ascii="宋体" w:hAnsi="宋体" w:eastAsia="宋体" w:cs="宋体"/>
          <w:sz w:val="24"/>
          <w:szCs w:val="24"/>
        </w:rPr>
        <w:t>沉桩方法及沉桩设备的选用</w:t>
      </w:r>
      <w:r>
        <w:rPr>
          <w:rFonts w:hint="eastAsia" w:ascii="宋体" w:hAnsi="宋体" w:cs="宋体"/>
          <w:sz w:val="24"/>
          <w:szCs w:val="24"/>
          <w:lang w:eastAsia="zh-CN"/>
        </w:rPr>
        <w:t>、</w:t>
      </w:r>
      <w:r>
        <w:rPr>
          <w:rFonts w:hint="eastAsia" w:ascii="宋体" w:hAnsi="宋体" w:eastAsia="宋体" w:cs="宋体"/>
          <w:sz w:val="24"/>
          <w:szCs w:val="24"/>
        </w:rPr>
        <w:t>附录</w:t>
      </w:r>
      <w:r>
        <w:rPr>
          <w:rFonts w:hint="eastAsia" w:cs="宋体"/>
          <w:sz w:val="24"/>
          <w:szCs w:val="24"/>
          <w:lang w:val="en-US" w:eastAsia="zh-CN"/>
        </w:rPr>
        <w:t>J</w:t>
      </w:r>
      <w:r>
        <w:rPr>
          <w:rFonts w:hint="eastAsia" w:ascii="宋体" w:hAnsi="宋体" w:eastAsia="宋体" w:cs="宋体"/>
          <w:sz w:val="24"/>
          <w:szCs w:val="24"/>
        </w:rPr>
        <w:t>型钢水泥土搅拌墙常用规格及计算参数</w:t>
      </w:r>
      <w:r>
        <w:rPr>
          <w:rFonts w:hint="eastAsia" w:ascii="宋体" w:hAnsi="宋体" w:eastAsia="宋体" w:cs="宋体"/>
          <w:sz w:val="24"/>
          <w:szCs w:val="24"/>
          <w:lang w:eastAsia="zh-CN"/>
        </w:rPr>
        <w:t>、</w:t>
      </w:r>
      <w:r>
        <w:rPr>
          <w:rFonts w:hint="eastAsia" w:ascii="宋体" w:hAnsi="宋体" w:eastAsia="宋体" w:cs="宋体"/>
          <w:sz w:val="24"/>
          <w:szCs w:val="24"/>
        </w:rPr>
        <w:t>附录</w:t>
      </w:r>
      <w:r>
        <w:rPr>
          <w:rFonts w:hint="eastAsia" w:ascii="宋体" w:hAnsi="宋体" w:eastAsia="宋体" w:cs="宋体"/>
          <w:sz w:val="24"/>
          <w:szCs w:val="24"/>
          <w:lang w:val="en-US" w:eastAsia="zh-CN"/>
        </w:rPr>
        <w:t>K</w:t>
      </w:r>
      <w:r>
        <w:rPr>
          <w:rFonts w:hint="eastAsia" w:ascii="宋体" w:hAnsi="宋体" w:eastAsia="宋体" w:cs="宋体"/>
          <w:sz w:val="24"/>
          <w:szCs w:val="24"/>
        </w:rPr>
        <w:t>常用预应力混凝土预制桩选型</w:t>
      </w:r>
      <w:r>
        <w:rPr>
          <w:rFonts w:hint="eastAsia" w:ascii="宋体" w:hAnsi="宋体" w:eastAsia="宋体" w:cs="宋体"/>
          <w:sz w:val="24"/>
          <w:szCs w:val="24"/>
          <w:lang w:eastAsia="zh-CN"/>
        </w:rPr>
        <w:t>、</w:t>
      </w:r>
      <w:r>
        <w:rPr>
          <w:rFonts w:hint="eastAsia" w:ascii="宋体" w:hAnsi="宋体" w:eastAsia="宋体" w:cs="宋体"/>
          <w:sz w:val="24"/>
          <w:szCs w:val="24"/>
        </w:rPr>
        <w:t>附录</w:t>
      </w:r>
      <w:r>
        <w:rPr>
          <w:rFonts w:hint="eastAsia" w:ascii="宋体" w:hAnsi="宋体" w:eastAsia="宋体" w:cs="宋体"/>
          <w:sz w:val="24"/>
          <w:szCs w:val="24"/>
          <w:lang w:val="en-US" w:eastAsia="zh-CN"/>
        </w:rPr>
        <w:t>L</w:t>
      </w:r>
      <w:r>
        <w:rPr>
          <w:rFonts w:hint="eastAsia" w:ascii="宋体" w:hAnsi="宋体" w:eastAsia="宋体" w:cs="宋体"/>
          <w:sz w:val="24"/>
          <w:szCs w:val="24"/>
        </w:rPr>
        <w:t>锚杆杆体材料力学性能</w:t>
      </w:r>
      <w:r>
        <w:rPr>
          <w:rFonts w:hint="eastAsia" w:ascii="宋体" w:hAnsi="宋体" w:eastAsia="宋体" w:cs="宋体"/>
          <w:sz w:val="24"/>
          <w:szCs w:val="24"/>
          <w:lang w:eastAsia="zh-CN"/>
        </w:rPr>
        <w:t>、</w:t>
      </w:r>
      <w:r>
        <w:rPr>
          <w:rFonts w:hint="eastAsia" w:ascii="宋体" w:hAnsi="宋体" w:eastAsia="宋体" w:cs="宋体"/>
          <w:sz w:val="24"/>
          <w:szCs w:val="24"/>
        </w:rPr>
        <w:t>附录</w:t>
      </w:r>
      <w:r>
        <w:rPr>
          <w:rFonts w:hint="eastAsia" w:ascii="宋体" w:hAnsi="宋体" w:eastAsia="宋体" w:cs="宋体"/>
          <w:sz w:val="24"/>
          <w:szCs w:val="24"/>
          <w:lang w:val="en-US" w:eastAsia="zh-CN"/>
        </w:rPr>
        <w:t>M</w:t>
      </w:r>
      <w:r>
        <w:rPr>
          <w:rFonts w:hint="eastAsia" w:ascii="宋体" w:hAnsi="宋体" w:eastAsia="宋体" w:cs="宋体"/>
          <w:sz w:val="24"/>
          <w:szCs w:val="24"/>
        </w:rPr>
        <w:t>常用的钢支撑及钢腰梁构件技术参数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5.充实了各类支护结构构造与施工的有关规定；6.细化了新增内容的类型、使用、规格参数及性能。</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编制组通过对省内地铁</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号线长度</w:t>
      </w:r>
      <w:r>
        <w:rPr>
          <w:rFonts w:hint="default" w:ascii="宋体" w:hAnsi="宋体" w:eastAsia="宋体" w:cs="宋体"/>
          <w:sz w:val="24"/>
          <w:szCs w:val="24"/>
          <w:lang w:val="en-US" w:eastAsia="zh-CN"/>
        </w:rPr>
        <w:t>23.345km</w:t>
      </w:r>
      <w:r>
        <w:rPr>
          <w:rFonts w:hint="eastAsia" w:ascii="宋体" w:hAnsi="宋体" w:eastAsia="宋体" w:cs="宋体"/>
          <w:sz w:val="24"/>
          <w:szCs w:val="24"/>
          <w:lang w:val="en-US" w:eastAsia="zh-CN"/>
        </w:rPr>
        <w:t>线路</w:t>
      </w:r>
      <w:r>
        <w:rPr>
          <w:rFonts w:hint="eastAsia" w:ascii="宋体" w:hAnsi="宋体" w:cs="宋体"/>
          <w:sz w:val="24"/>
          <w:szCs w:val="24"/>
          <w:lang w:val="en-US" w:eastAsia="zh-CN"/>
        </w:rPr>
        <w:t>、</w:t>
      </w:r>
      <w:r>
        <w:rPr>
          <w:rFonts w:hint="default" w:ascii="宋体" w:hAnsi="宋体" w:eastAsia="宋体" w:cs="宋体"/>
          <w:sz w:val="24"/>
          <w:szCs w:val="24"/>
          <w:lang w:val="en-US" w:eastAsia="zh-CN"/>
        </w:rPr>
        <w:t xml:space="preserve">22 </w:t>
      </w:r>
      <w:r>
        <w:rPr>
          <w:rFonts w:hint="eastAsia" w:ascii="宋体" w:hAnsi="宋体" w:eastAsia="宋体" w:cs="宋体"/>
          <w:sz w:val="24"/>
          <w:szCs w:val="24"/>
          <w:lang w:val="en-US" w:eastAsia="zh-CN"/>
        </w:rPr>
        <w:t>座车站</w:t>
      </w:r>
      <w:r>
        <w:rPr>
          <w:rFonts w:hint="eastAsia" w:ascii="宋体" w:hAnsi="宋体" w:cs="宋体"/>
          <w:sz w:val="24"/>
          <w:szCs w:val="24"/>
          <w:lang w:val="en-US" w:eastAsia="zh-CN"/>
        </w:rPr>
        <w:t>及山西省其他</w:t>
      </w:r>
      <w:r>
        <w:rPr>
          <w:rFonts w:hint="eastAsia" w:ascii="宋体" w:hAnsi="宋体" w:eastAsia="宋体" w:cs="宋体"/>
          <w:sz w:val="24"/>
          <w:szCs w:val="24"/>
          <w:lang w:val="en-US" w:eastAsia="zh-CN"/>
        </w:rPr>
        <w:t>重要工程的深基坑结构设计</w:t>
      </w:r>
      <w:r>
        <w:rPr>
          <w:rFonts w:hint="eastAsia" w:ascii="宋体" w:hAnsi="宋体" w:cs="宋体"/>
          <w:sz w:val="24"/>
          <w:szCs w:val="24"/>
          <w:lang w:val="en-US" w:eastAsia="zh-CN"/>
        </w:rPr>
        <w:t>及</w:t>
      </w:r>
      <w:r>
        <w:rPr>
          <w:rFonts w:hint="eastAsia" w:ascii="宋体" w:hAnsi="宋体" w:eastAsia="宋体" w:cs="宋体"/>
          <w:sz w:val="24"/>
          <w:szCs w:val="24"/>
          <w:lang w:val="en-US" w:eastAsia="zh-CN"/>
        </w:rPr>
        <w:t>应用情况进行</w:t>
      </w:r>
      <w:r>
        <w:rPr>
          <w:rFonts w:hint="eastAsia" w:ascii="宋体" w:hAnsi="宋体" w:cs="宋体"/>
          <w:sz w:val="24"/>
          <w:szCs w:val="24"/>
          <w:lang w:val="en-US" w:eastAsia="zh-CN"/>
        </w:rPr>
        <w:t>了</w:t>
      </w:r>
      <w:r>
        <w:rPr>
          <w:rFonts w:hint="eastAsia" w:ascii="宋体" w:hAnsi="宋体" w:eastAsia="宋体" w:cs="宋体"/>
          <w:sz w:val="24"/>
          <w:szCs w:val="24"/>
          <w:lang w:val="en-US" w:eastAsia="zh-CN"/>
        </w:rPr>
        <w:t>调查研究，结合山西省的工程经验和实践成果，同时参考了现行国家行业标准和其他省、市地方标准，并通过征求意见取得了本标准修订技术内容的有关重要技术参数。</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lang w:val="en-US" w:eastAsia="zh-CN"/>
        </w:rPr>
      </w:pPr>
      <w:r>
        <w:rPr>
          <w:rFonts w:hint="eastAsia" w:ascii="Times New Roman" w:hAnsi="Times New Roman"/>
          <w:lang w:val="en-US" w:eastAsia="zh-CN"/>
        </w:rPr>
        <w:t>为了便于广大设计、施工、科研、院校等单位有关人员在使用本标准时能正确理解和执行条文规定，编制组按章、节、条顺序编制了本标准的条文说明，对条文的目的、依据以及执行中需要注意的有关事项进行了说明。但是，本条文说明不具备与规程正文同等的法律效力，仅供使用者作为理解和把握规程规定的参考。</w:t>
      </w:r>
    </w:p>
    <w:p>
      <w:pPr>
        <w:rPr>
          <w:rFonts w:hint="default" w:ascii="Times New Roman" w:hAnsi="Times New Roman" w:eastAsia="宋体"/>
          <w:lang w:val="en-US" w:eastAsia="zh-CN"/>
        </w:rPr>
        <w:sectPr>
          <w:footerReference r:id="rId5" w:type="default"/>
          <w:pgSz w:w="12240" w:h="15840"/>
          <w:pgMar w:top="1440" w:right="1797" w:bottom="1440" w:left="1797" w:header="851" w:footer="992" w:gutter="0"/>
          <w:pgNumType w:fmt="decimal"/>
          <w:cols w:space="425" w:num="1"/>
          <w:docGrid w:type="lines" w:linePitch="312" w:charSpace="0"/>
        </w:sectPr>
      </w:pPr>
    </w:p>
    <w:p>
      <w:pPr>
        <w:rPr>
          <w:rFonts w:ascii="Times New Roman" w:hAnsi="Times New Roman"/>
        </w:rPr>
      </w:pPr>
    </w:p>
    <w:sdt>
      <w:sdtPr>
        <w:rPr>
          <w:rFonts w:ascii="宋体" w:hAnsi="宋体" w:eastAsia="宋体" w:cs="Times New Roman"/>
          <w:b/>
          <w:bCs/>
          <w:kern w:val="2"/>
          <w:sz w:val="28"/>
          <w:szCs w:val="32"/>
          <w:lang w:val="en-US" w:eastAsia="zh-CN" w:bidi="ar-SA"/>
        </w:rPr>
        <w:id w:val="147458709"/>
        <w15:color w:val="DBDBDB"/>
        <w:docPartObj>
          <w:docPartGallery w:val="Table of Contents"/>
          <w:docPartUnique/>
        </w:docPartObj>
      </w:sdtPr>
      <w:sdtEndPr>
        <w:rPr>
          <w:rFonts w:ascii="宋体" w:hAnsi="宋体" w:eastAsia="宋体" w:cs="Times New Roman"/>
          <w:b/>
          <w:bCs/>
          <w:kern w:val="2"/>
          <w:sz w:val="28"/>
          <w:szCs w:val="32"/>
          <w:lang w:val="en-US" w:eastAsia="zh-CN" w:bidi="ar-SA"/>
        </w:rPr>
      </w:sdtEndPr>
      <w:sdtContent>
        <w:p>
          <w:pPr>
            <w:spacing w:before="0" w:beforeLines="0" w:after="0" w:afterLines="0" w:line="240" w:lineRule="auto"/>
            <w:ind w:left="0" w:leftChars="0" w:right="0" w:rightChars="0" w:firstLine="0" w:firstLineChars="0"/>
            <w:jc w:val="center"/>
            <w:rPr>
              <w:b/>
              <w:bCs/>
              <w:color w:val="FF0000"/>
              <w:sz w:val="32"/>
              <w:szCs w:val="32"/>
            </w:rPr>
          </w:pPr>
          <w:r>
            <w:rPr>
              <w:rFonts w:ascii="宋体" w:hAnsi="宋体" w:eastAsia="宋体"/>
              <w:b/>
              <w:bCs/>
              <w:color w:val="FF0000"/>
              <w:sz w:val="32"/>
              <w:szCs w:val="32"/>
            </w:rPr>
            <w:t>目</w:t>
          </w:r>
          <w:r>
            <w:rPr>
              <w:rFonts w:hint="eastAsia" w:ascii="宋体" w:hAnsi="宋体"/>
              <w:b/>
              <w:bCs/>
              <w:color w:val="FF0000"/>
              <w:sz w:val="32"/>
              <w:szCs w:val="32"/>
              <w:lang w:val="en-US" w:eastAsia="zh-CN"/>
            </w:rPr>
            <w:t xml:space="preserve">    </w:t>
          </w:r>
          <w:r>
            <w:rPr>
              <w:rFonts w:ascii="宋体" w:hAnsi="宋体" w:eastAsia="宋体"/>
              <w:b/>
              <w:bCs/>
              <w:color w:val="FF0000"/>
              <w:sz w:val="32"/>
              <w:szCs w:val="32"/>
            </w:rPr>
            <w:t>录</w:t>
          </w:r>
        </w:p>
        <w:sdt>
          <w:sdtPr>
            <w:rPr>
              <w:lang w:val="en-US" w:eastAsia="zh-CN"/>
            </w:rPr>
            <w:id w:val="147482522"/>
            <w15:color w:val="DBDBDB"/>
            <w:docPartObj>
              <w:docPartGallery w:val="Table of Contents"/>
              <w:docPartUnique/>
            </w:docPartObj>
          </w:sdtPr>
          <w:sdtEndPr>
            <w:rPr>
              <w:rFonts w:hint="eastAsia"/>
              <w:lang w:val="en-US" w:eastAsia="zh-CN"/>
            </w:rPr>
          </w:sdtEndPr>
          <w:sdtContent>
            <w:p>
              <w:pPr>
                <w:pStyle w:val="95"/>
                <w:tabs>
                  <w:tab w:val="right" w:leader="dot" w:pos="8646"/>
                </w:tabs>
              </w:pPr>
              <w:r>
                <w:rPr>
                  <w:rFonts w:hint="eastAsia"/>
                </w:rPr>
                <w:fldChar w:fldCharType="begin"/>
              </w:r>
              <w:r>
                <w:rPr>
                  <w:rFonts w:hint="eastAsia"/>
                </w:rPr>
                <w:instrText xml:space="preserve">TOC \o "1-2" \h \u </w:instrText>
              </w:r>
              <w:r>
                <w:rPr>
                  <w:rFonts w:hint="eastAsia"/>
                </w:rPr>
                <w:fldChar w:fldCharType="separate"/>
              </w:r>
            </w:p>
            <w:p>
              <w:pPr>
                <w:pStyle w:val="5"/>
                <w:tabs>
                  <w:tab w:val="right" w:leader="dot" w:pos="8646"/>
                  <w:tab w:val="clear" w:pos="9628"/>
                </w:tabs>
              </w:pPr>
              <w:r>
                <w:rPr>
                  <w:rFonts w:hint="eastAsia"/>
                </w:rPr>
                <w:fldChar w:fldCharType="begin"/>
              </w:r>
              <w:r>
                <w:rPr>
                  <w:rFonts w:hint="eastAsia"/>
                </w:rPr>
                <w:instrText xml:space="preserve"> HYPERLINK \l _Toc29459 </w:instrText>
              </w:r>
              <w:r>
                <w:rPr>
                  <w:rFonts w:hint="eastAsia"/>
                </w:rPr>
                <w:fldChar w:fldCharType="separate"/>
              </w:r>
              <w:r>
                <w:rPr>
                  <w:rFonts w:ascii="Times New Roman" w:hAnsi="Times New Roman"/>
                </w:rPr>
                <w:t>1</w:t>
              </w:r>
              <w:r>
                <w:rPr>
                  <w:rFonts w:hint="eastAsia" w:ascii="Times New Roman" w:hAnsi="Times New Roman"/>
                </w:rPr>
                <w:t xml:space="preserve"> </w:t>
              </w:r>
              <w:r>
                <w:rPr>
                  <w:rFonts w:hint="eastAsia"/>
                </w:rPr>
                <w:t xml:space="preserve"> 总则</w:t>
              </w:r>
              <w:r>
                <w:tab/>
              </w:r>
              <w:r>
                <w:fldChar w:fldCharType="begin"/>
              </w:r>
              <w:r>
                <w:instrText xml:space="preserve"> PAGEREF _Toc29459 \h </w:instrText>
              </w:r>
              <w:r>
                <w:fldChar w:fldCharType="separate"/>
              </w:r>
              <w:r>
                <w:t>202</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_Toc17496 </w:instrText>
              </w:r>
              <w:r>
                <w:rPr>
                  <w:rFonts w:hint="eastAsia"/>
                </w:rPr>
                <w:fldChar w:fldCharType="separate"/>
              </w:r>
              <w:r>
                <w:rPr>
                  <w:rFonts w:ascii="Times New Roman" w:hAnsi="Times New Roman"/>
                </w:rPr>
                <w:t>3</w:t>
              </w:r>
              <w:r>
                <w:rPr>
                  <w:rFonts w:hint="eastAsia"/>
                </w:rPr>
                <w:t xml:space="preserve">  基本规定</w:t>
              </w:r>
              <w:r>
                <w:tab/>
              </w:r>
              <w:r>
                <w:fldChar w:fldCharType="begin"/>
              </w:r>
              <w:r>
                <w:instrText xml:space="preserve"> PAGEREF _Toc17496 \h </w:instrText>
              </w:r>
              <w:r>
                <w:fldChar w:fldCharType="separate"/>
              </w:r>
              <w:r>
                <w:t>203</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_Toc12600 </w:instrText>
              </w:r>
              <w:r>
                <w:rPr>
                  <w:rFonts w:hint="eastAsia"/>
                </w:rPr>
                <w:fldChar w:fldCharType="separate"/>
              </w:r>
              <w:r>
                <w:rPr>
                  <w:rFonts w:ascii="Times New Roman" w:hAnsi="Times New Roman" w:eastAsia="黑体" w:cs="Times New Roman"/>
                  <w:bCs/>
                  <w:kern w:val="44"/>
                  <w:szCs w:val="44"/>
                  <w:lang w:val="en-US" w:eastAsia="zh-CN" w:bidi="ar-SA"/>
                </w:rPr>
                <w:t>4</w:t>
              </w:r>
              <w:r>
                <w:rPr>
                  <w:rFonts w:hint="eastAsia" w:ascii="宋体" w:hAnsi="宋体" w:eastAsia="黑体" w:cs="Times New Roman"/>
                  <w:bCs/>
                  <w:kern w:val="44"/>
                  <w:szCs w:val="44"/>
                  <w:lang w:val="en-US" w:eastAsia="zh-CN" w:bidi="ar-SA"/>
                </w:rPr>
                <w:t xml:space="preserve">  </w:t>
              </w:r>
              <w:r>
                <w:rPr>
                  <w:rFonts w:hint="eastAsia" w:ascii="Calibri" w:hAnsi="Calibri" w:eastAsia="黑体" w:cs="Times New Roman"/>
                  <w:bCs/>
                  <w:kern w:val="44"/>
                  <w:szCs w:val="44"/>
                  <w:lang w:val="en-US" w:eastAsia="zh-CN" w:bidi="ar-SA"/>
                </w:rPr>
                <w:t>岩土勘察</w:t>
              </w:r>
              <w:r>
                <w:tab/>
              </w:r>
              <w:r>
                <w:fldChar w:fldCharType="begin"/>
              </w:r>
              <w:r>
                <w:instrText xml:space="preserve"> PAGEREF _Toc12600 \h </w:instrText>
              </w:r>
              <w:r>
                <w:fldChar w:fldCharType="separate"/>
              </w:r>
              <w:r>
                <w:t>205</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_Toc4857 </w:instrText>
              </w:r>
              <w:r>
                <w:rPr>
                  <w:rFonts w:hint="eastAsia"/>
                </w:rPr>
                <w:fldChar w:fldCharType="separate"/>
              </w:r>
              <w:r>
                <w:rPr>
                  <w:rFonts w:hint="eastAsia" w:ascii="Cambria" w:hAnsi="Cambria" w:eastAsia="宋体" w:cs="Times New Roman"/>
                  <w:bCs/>
                  <w:kern w:val="2"/>
                  <w:szCs w:val="32"/>
                  <w:lang w:val="en-US" w:eastAsia="zh-CN" w:bidi="ar-SA"/>
                </w:rPr>
                <w:t>4.1  一般规定</w:t>
              </w:r>
              <w:r>
                <w:tab/>
              </w:r>
              <w:r>
                <w:fldChar w:fldCharType="begin"/>
              </w:r>
              <w:r>
                <w:instrText xml:space="preserve"> PAGEREF _Toc4857 \h </w:instrText>
              </w:r>
              <w:r>
                <w:fldChar w:fldCharType="separate"/>
              </w:r>
              <w:r>
                <w:t>205</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_Toc21830 </w:instrText>
              </w:r>
              <w:r>
                <w:rPr>
                  <w:rFonts w:hint="eastAsia"/>
                </w:rPr>
                <w:fldChar w:fldCharType="separate"/>
              </w:r>
              <w:r>
                <w:rPr>
                  <w:rFonts w:hint="eastAsia" w:ascii="Cambria" w:hAnsi="Cambria" w:eastAsia="宋体" w:cs="Times New Roman"/>
                  <w:bCs/>
                  <w:kern w:val="2"/>
                  <w:szCs w:val="32"/>
                  <w:lang w:val="en-US" w:eastAsia="zh-CN" w:bidi="ar-SA"/>
                </w:rPr>
                <w:t>4.2  勘探与测试</w:t>
              </w:r>
              <w:r>
                <w:tab/>
              </w:r>
              <w:r>
                <w:fldChar w:fldCharType="begin"/>
              </w:r>
              <w:r>
                <w:instrText xml:space="preserve"> PAGEREF _Toc21830 \h </w:instrText>
              </w:r>
              <w:r>
                <w:fldChar w:fldCharType="separate"/>
              </w:r>
              <w:r>
                <w:t>207</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_Toc30116 </w:instrText>
              </w:r>
              <w:r>
                <w:rPr>
                  <w:rFonts w:hint="eastAsia"/>
                </w:rPr>
                <w:fldChar w:fldCharType="separate"/>
              </w:r>
              <w:r>
                <w:rPr>
                  <w:rFonts w:hint="eastAsia" w:ascii="Cambria" w:hAnsi="Cambria" w:eastAsia="宋体" w:cs="Times New Roman"/>
                  <w:bCs/>
                  <w:kern w:val="2"/>
                  <w:szCs w:val="32"/>
                  <w:lang w:val="en-US" w:eastAsia="zh-CN" w:bidi="ar-SA"/>
                </w:rPr>
                <w:t>4.3  室内试验</w:t>
              </w:r>
              <w:r>
                <w:tab/>
              </w:r>
              <w:r>
                <w:fldChar w:fldCharType="begin"/>
              </w:r>
              <w:r>
                <w:instrText xml:space="preserve"> PAGEREF _Toc30116 \h </w:instrText>
              </w:r>
              <w:r>
                <w:fldChar w:fldCharType="separate"/>
              </w:r>
              <w:r>
                <w:t>210</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_Toc17646 </w:instrText>
              </w:r>
              <w:r>
                <w:rPr>
                  <w:rFonts w:hint="eastAsia"/>
                </w:rPr>
                <w:fldChar w:fldCharType="separate"/>
              </w:r>
              <w:r>
                <w:rPr>
                  <w:rFonts w:hint="eastAsia" w:ascii="Cambria" w:hAnsi="Cambria" w:eastAsia="宋体" w:cs="Times New Roman"/>
                  <w:bCs/>
                  <w:kern w:val="2"/>
                  <w:szCs w:val="32"/>
                  <w:lang w:val="en-US" w:eastAsia="zh-CN" w:bidi="ar-SA"/>
                </w:rPr>
                <w:t>4.4  勘察成果</w:t>
              </w:r>
              <w:r>
                <w:tab/>
              </w:r>
              <w:r>
                <w:fldChar w:fldCharType="begin"/>
              </w:r>
              <w:r>
                <w:instrText xml:space="preserve"> PAGEREF _Toc17646 \h </w:instrText>
              </w:r>
              <w:r>
                <w:fldChar w:fldCharType="separate"/>
              </w:r>
              <w:r>
                <w:t>212</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_Toc21330 </w:instrText>
              </w:r>
              <w:r>
                <w:rPr>
                  <w:rFonts w:hint="eastAsia"/>
                </w:rPr>
                <w:fldChar w:fldCharType="separate"/>
              </w:r>
              <w:r>
                <w:rPr>
                  <w:rFonts w:hint="eastAsia" w:ascii="Times New Roman" w:hAnsi="Times New Roman"/>
                  <w:lang w:val="en-US" w:eastAsia="zh-CN"/>
                </w:rPr>
                <w:t>5  土压力计算</w:t>
              </w:r>
              <w:r>
                <w:tab/>
              </w:r>
              <w:r>
                <w:fldChar w:fldCharType="begin"/>
              </w:r>
              <w:r>
                <w:instrText xml:space="preserve"> PAGEREF _Toc21330 \h </w:instrText>
              </w:r>
              <w:r>
                <w:fldChar w:fldCharType="separate"/>
              </w:r>
              <w:r>
                <w:t>215</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_Toc19215 </w:instrText>
              </w:r>
              <w:r>
                <w:rPr>
                  <w:rFonts w:hint="eastAsia"/>
                </w:rPr>
                <w:fldChar w:fldCharType="separate"/>
              </w:r>
              <w:r>
                <w:t xml:space="preserve">5.1  </w:t>
              </w:r>
              <w:r>
                <w:rPr>
                  <w:rFonts w:hint="eastAsia"/>
                </w:rPr>
                <w:t>一般规定</w:t>
              </w:r>
              <w:r>
                <w:tab/>
              </w:r>
              <w:r>
                <w:fldChar w:fldCharType="begin"/>
              </w:r>
              <w:r>
                <w:instrText xml:space="preserve"> PAGEREF _Toc19215 \h </w:instrText>
              </w:r>
              <w:r>
                <w:fldChar w:fldCharType="separate"/>
              </w:r>
              <w:r>
                <w:t>215</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_Toc29709 </w:instrText>
              </w:r>
              <w:r>
                <w:rPr>
                  <w:rFonts w:hint="eastAsia"/>
                </w:rPr>
                <w:fldChar w:fldCharType="separate"/>
              </w:r>
              <w:r>
                <w:t xml:space="preserve">5.2  </w:t>
              </w:r>
              <w:r>
                <w:rPr>
                  <w:rFonts w:hint="eastAsia"/>
                </w:rPr>
                <w:t>荷载组合</w:t>
              </w:r>
              <w:r>
                <w:tab/>
              </w:r>
              <w:r>
                <w:fldChar w:fldCharType="begin"/>
              </w:r>
              <w:r>
                <w:instrText xml:space="preserve"> PAGEREF _Toc29709 \h </w:instrText>
              </w:r>
              <w:r>
                <w:fldChar w:fldCharType="separate"/>
              </w:r>
              <w:r>
                <w:t>215</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_Toc7592 </w:instrText>
              </w:r>
              <w:r>
                <w:rPr>
                  <w:rFonts w:hint="eastAsia"/>
                </w:rPr>
                <w:fldChar w:fldCharType="separate"/>
              </w:r>
              <w:r>
                <w:t xml:space="preserve">5.3  </w:t>
              </w:r>
              <w:r>
                <w:rPr>
                  <w:rFonts w:hint="eastAsia"/>
                </w:rPr>
                <w:t>参数选择</w:t>
              </w:r>
              <w:r>
                <w:tab/>
              </w:r>
              <w:r>
                <w:fldChar w:fldCharType="begin"/>
              </w:r>
              <w:r>
                <w:instrText xml:space="preserve"> PAGEREF _Toc7592 \h </w:instrText>
              </w:r>
              <w:r>
                <w:fldChar w:fldCharType="separate"/>
              </w:r>
              <w:r>
                <w:t>216</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_Toc29574 </w:instrText>
              </w:r>
              <w:r>
                <w:rPr>
                  <w:rFonts w:hint="eastAsia"/>
                </w:rPr>
                <w:fldChar w:fldCharType="separate"/>
              </w:r>
              <w:r>
                <w:t xml:space="preserve">5.4  </w:t>
              </w:r>
              <w:r>
                <w:rPr>
                  <w:rFonts w:hint="eastAsia"/>
                </w:rPr>
                <w:t>计算原则</w:t>
              </w:r>
              <w:r>
                <w:tab/>
              </w:r>
              <w:r>
                <w:fldChar w:fldCharType="begin"/>
              </w:r>
              <w:r>
                <w:instrText xml:space="preserve"> PAGEREF _Toc29574 \h </w:instrText>
              </w:r>
              <w:r>
                <w:fldChar w:fldCharType="separate"/>
              </w:r>
              <w:r>
                <w:t>217</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_Toc30859 </w:instrText>
              </w:r>
              <w:r>
                <w:rPr>
                  <w:rFonts w:hint="eastAsia"/>
                </w:rPr>
                <w:fldChar w:fldCharType="separate"/>
              </w:r>
              <w:r>
                <w:t xml:space="preserve">5.5  </w:t>
              </w:r>
              <w:r>
                <w:rPr>
                  <w:rFonts w:hint="eastAsia"/>
                </w:rPr>
                <w:t>水平荷载</w:t>
              </w:r>
              <w:r>
                <w:tab/>
              </w:r>
              <w:r>
                <w:fldChar w:fldCharType="begin"/>
              </w:r>
              <w:r>
                <w:instrText xml:space="preserve"> PAGEREF _Toc30859 \h </w:instrText>
              </w:r>
              <w:r>
                <w:fldChar w:fldCharType="separate"/>
              </w:r>
              <w:r>
                <w:t>218</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_Toc6539 </w:instrText>
              </w:r>
              <w:r>
                <w:rPr>
                  <w:rFonts w:hint="eastAsia"/>
                </w:rPr>
                <w:fldChar w:fldCharType="separate"/>
              </w:r>
              <w:r>
                <w:rPr>
                  <w:rFonts w:ascii="Times New Roman" w:hAnsi="Times New Roman"/>
                </w:rPr>
                <w:t>6</w:t>
              </w:r>
              <w:r>
                <w:rPr>
                  <w:rFonts w:hint="eastAsia"/>
                </w:rPr>
                <w:t xml:space="preserve">  基坑稳定性</w:t>
              </w:r>
              <w:r>
                <w:tab/>
              </w:r>
              <w:r>
                <w:fldChar w:fldCharType="begin"/>
              </w:r>
              <w:r>
                <w:instrText xml:space="preserve"> PAGEREF _Toc6539 \h </w:instrText>
              </w:r>
              <w:r>
                <w:fldChar w:fldCharType="separate"/>
              </w:r>
              <w:r>
                <w:t>221</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_Toc6799 </w:instrText>
              </w:r>
              <w:r>
                <w:rPr>
                  <w:rFonts w:hint="eastAsia"/>
                </w:rPr>
                <w:fldChar w:fldCharType="separate"/>
              </w:r>
              <w:r>
                <w:rPr>
                  <w:rFonts w:ascii="Times New Roman" w:hAnsi="Times New Roman"/>
                </w:rPr>
                <w:t>6.1</w:t>
              </w:r>
              <w:r>
                <w:rPr>
                  <w:rFonts w:hint="eastAsia"/>
                </w:rPr>
                <w:t xml:space="preserve">  一般规定</w:t>
              </w:r>
              <w:r>
                <w:tab/>
              </w:r>
              <w:r>
                <w:fldChar w:fldCharType="begin"/>
              </w:r>
              <w:r>
                <w:instrText xml:space="preserve"> PAGEREF _Toc6799 \h </w:instrText>
              </w:r>
              <w:r>
                <w:fldChar w:fldCharType="separate"/>
              </w:r>
              <w:r>
                <w:t>221</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_Toc20205 </w:instrText>
              </w:r>
              <w:r>
                <w:rPr>
                  <w:rFonts w:hint="eastAsia"/>
                </w:rPr>
                <w:fldChar w:fldCharType="separate"/>
              </w:r>
              <w:r>
                <w:rPr>
                  <w:rFonts w:hint="eastAsia" w:ascii="Times New Roman" w:hAnsi="Times New Roman"/>
                </w:rPr>
                <w:t>6.2</w:t>
              </w:r>
              <w:r>
                <w:rPr>
                  <w:rFonts w:hint="eastAsia"/>
                </w:rPr>
                <w:t xml:space="preserve">  基坑整体稳定性验算</w:t>
              </w:r>
              <w:r>
                <w:tab/>
              </w:r>
              <w:r>
                <w:fldChar w:fldCharType="begin"/>
              </w:r>
              <w:r>
                <w:instrText xml:space="preserve"> PAGEREF _Toc20205 \h </w:instrText>
              </w:r>
              <w:r>
                <w:fldChar w:fldCharType="separate"/>
              </w:r>
              <w:r>
                <w:t>221</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_Toc8516 </w:instrText>
              </w:r>
              <w:r>
                <w:rPr>
                  <w:rFonts w:hint="eastAsia"/>
                </w:rPr>
                <w:fldChar w:fldCharType="separate"/>
              </w:r>
              <w:r>
                <w:rPr>
                  <w:rFonts w:ascii="Times New Roman" w:hAnsi="Times New Roman"/>
                </w:rPr>
                <w:t xml:space="preserve">6.3 </w:t>
              </w:r>
              <w:r>
                <w:rPr>
                  <w:rFonts w:hint="eastAsia" w:ascii="Times New Roman" w:hAnsi="Times New Roman"/>
                </w:rPr>
                <w:t xml:space="preserve"> </w:t>
              </w:r>
              <w:r>
                <w:rPr>
                  <w:rFonts w:hint="eastAsia"/>
                </w:rPr>
                <w:t>支护结构的稳定入土深度的验算</w:t>
              </w:r>
              <w:r>
                <w:tab/>
              </w:r>
              <w:r>
                <w:fldChar w:fldCharType="begin"/>
              </w:r>
              <w:r>
                <w:instrText xml:space="preserve"> PAGEREF _Toc8516 \h </w:instrText>
              </w:r>
              <w:r>
                <w:fldChar w:fldCharType="separate"/>
              </w:r>
              <w:r>
                <w:t>221</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_Toc23256 </w:instrText>
              </w:r>
              <w:r>
                <w:rPr>
                  <w:rFonts w:hint="eastAsia"/>
                </w:rPr>
                <w:fldChar w:fldCharType="separate"/>
              </w:r>
              <w:r>
                <w:rPr>
                  <w:rFonts w:ascii="Times New Roman" w:hAnsi="Times New Roman"/>
                </w:rPr>
                <w:t>6.4</w:t>
              </w:r>
              <w:r>
                <w:rPr>
                  <w:rFonts w:hint="eastAsia"/>
                </w:rPr>
                <w:t xml:space="preserve">  基坑抗隆起稳定性验算</w:t>
              </w:r>
              <w:r>
                <w:tab/>
              </w:r>
              <w:r>
                <w:fldChar w:fldCharType="begin"/>
              </w:r>
              <w:r>
                <w:instrText xml:space="preserve"> PAGEREF _Toc23256 \h </w:instrText>
              </w:r>
              <w:r>
                <w:fldChar w:fldCharType="separate"/>
              </w:r>
              <w:r>
                <w:t>222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_Toc24454 </w:instrText>
              </w:r>
              <w:r>
                <w:rPr>
                  <w:rFonts w:hint="eastAsia"/>
                </w:rPr>
                <w:fldChar w:fldCharType="separate"/>
              </w:r>
              <w:r>
                <w:rPr>
                  <w:rFonts w:hint="eastAsia" w:ascii="Times New Roman" w:hAnsi="Times New Roman"/>
                </w:rPr>
                <w:t xml:space="preserve">6.5  </w:t>
              </w:r>
              <w:r>
                <w:rPr>
                  <w:rFonts w:hint="eastAsia"/>
                </w:rPr>
                <w:t>基坑底抗渗流稳定性验算</w:t>
              </w:r>
              <w:r>
                <w:tab/>
              </w:r>
              <w:r>
                <w:fldChar w:fldCharType="begin"/>
              </w:r>
              <w:r>
                <w:instrText xml:space="preserve"> PAGEREF _Toc24454 \h </w:instrText>
              </w:r>
              <w:r>
                <w:fldChar w:fldCharType="separate"/>
              </w:r>
              <w:r>
                <w:t>222</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_Toc13227 </w:instrText>
              </w:r>
              <w:r>
                <w:rPr>
                  <w:rFonts w:hint="eastAsia"/>
                </w:rPr>
                <w:fldChar w:fldCharType="separate"/>
              </w:r>
              <w:r>
                <w:rPr>
                  <w:rFonts w:ascii="Times New Roman" w:hAnsi="Times New Roman" w:eastAsia="黑体" w:cs="Times New Roman"/>
                  <w:bCs/>
                  <w:kern w:val="44"/>
                  <w:szCs w:val="44"/>
                </w:rPr>
                <w:t>7  支护结构选型</w:t>
              </w:r>
              <w:r>
                <w:tab/>
              </w:r>
              <w:r>
                <w:fldChar w:fldCharType="begin"/>
              </w:r>
              <w:r>
                <w:instrText xml:space="preserve"> PAGEREF _Toc13227 \h </w:instrText>
              </w:r>
              <w:r>
                <w:fldChar w:fldCharType="separate"/>
              </w:r>
              <w:r>
                <w:t>223</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_Toc27997 </w:instrText>
              </w:r>
              <w:r>
                <w:rPr>
                  <w:rFonts w:hint="eastAsia"/>
                </w:rPr>
                <w:fldChar w:fldCharType="separate"/>
              </w:r>
              <w:r>
                <w:rPr>
                  <w:rFonts w:ascii="Times New Roman" w:hAnsi="Times New Roman" w:eastAsia="宋体" w:cs="Times New Roman"/>
                  <w:bCs/>
                  <w:szCs w:val="32"/>
                </w:rPr>
                <w:t>7.1  一般规定</w:t>
              </w:r>
              <w:r>
                <w:tab/>
              </w:r>
              <w:r>
                <w:fldChar w:fldCharType="begin"/>
              </w:r>
              <w:r>
                <w:instrText xml:space="preserve"> PAGEREF _Toc27997 \h </w:instrText>
              </w:r>
              <w:r>
                <w:fldChar w:fldCharType="separate"/>
              </w:r>
              <w:r>
                <w:t>223</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_Toc18386 </w:instrText>
              </w:r>
              <w:r>
                <w:rPr>
                  <w:rFonts w:hint="eastAsia"/>
                </w:rPr>
                <w:fldChar w:fldCharType="separate"/>
              </w:r>
              <w:r>
                <w:rPr>
                  <w:rFonts w:ascii="Times New Roman" w:hAnsi="Times New Roman" w:eastAsia="宋体" w:cs="Times New Roman"/>
                  <w:bCs/>
                  <w:szCs w:val="32"/>
                </w:rPr>
                <w:t>7.2  现场周边环境</w:t>
              </w:r>
              <w:r>
                <w:tab/>
              </w:r>
              <w:r>
                <w:fldChar w:fldCharType="begin"/>
              </w:r>
              <w:r>
                <w:instrText xml:space="preserve"> PAGEREF _Toc18386 \h </w:instrText>
              </w:r>
              <w:r>
                <w:fldChar w:fldCharType="separate"/>
              </w:r>
              <w:r>
                <w:t>223</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_Toc25603 </w:instrText>
              </w:r>
              <w:r>
                <w:rPr>
                  <w:rFonts w:hint="eastAsia"/>
                </w:rPr>
                <w:fldChar w:fldCharType="separate"/>
              </w:r>
              <w:r>
                <w:rPr>
                  <w:rFonts w:ascii="Times New Roman" w:hAnsi="Times New Roman" w:eastAsia="宋体" w:cs="Times New Roman"/>
                  <w:bCs/>
                  <w:szCs w:val="32"/>
                </w:rPr>
                <w:t>7.3  支护结构及适用条件</w:t>
              </w:r>
              <w:r>
                <w:tab/>
              </w:r>
              <w:r>
                <w:fldChar w:fldCharType="begin"/>
              </w:r>
              <w:r>
                <w:instrText xml:space="preserve"> PAGEREF _Toc25603 \h </w:instrText>
              </w:r>
              <w:r>
                <w:fldChar w:fldCharType="separate"/>
              </w:r>
              <w:r>
                <w:t>223</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_Toc1586 </w:instrText>
              </w:r>
              <w:r>
                <w:rPr>
                  <w:rFonts w:hint="eastAsia"/>
                </w:rPr>
                <w:fldChar w:fldCharType="separate"/>
              </w:r>
              <w:r>
                <w:rPr>
                  <w:rFonts w:ascii="Times New Roman" w:hAnsi="Times New Roman"/>
                </w:rPr>
                <w:t>8</w:t>
              </w:r>
              <w:r>
                <w:rPr>
                  <w:rFonts w:hint="eastAsia"/>
                </w:rPr>
                <w:t xml:space="preserve">  支护结构</w:t>
              </w:r>
              <w:r>
                <w:tab/>
              </w:r>
              <w:r>
                <w:fldChar w:fldCharType="begin"/>
              </w:r>
              <w:r>
                <w:instrText xml:space="preserve"> PAGEREF _Toc1586 \h </w:instrText>
              </w:r>
              <w:r>
                <w:fldChar w:fldCharType="separate"/>
              </w:r>
              <w:r>
                <w:t>226</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_Toc3856 </w:instrText>
              </w:r>
              <w:r>
                <w:rPr>
                  <w:rFonts w:hint="eastAsia"/>
                </w:rPr>
                <w:fldChar w:fldCharType="separate"/>
              </w:r>
              <w:r>
                <w:rPr>
                  <w:rFonts w:ascii="Times New Roman" w:hAnsi="Times New Roman"/>
                </w:rPr>
                <w:t>8.1</w:t>
              </w:r>
              <w:r>
                <w:rPr>
                  <w:rFonts w:hint="eastAsia" w:ascii="Times New Roman" w:hAnsi="Times New Roman"/>
                </w:rPr>
                <w:t xml:space="preserve">  </w:t>
              </w:r>
              <w:r>
                <w:rPr>
                  <w:rFonts w:hint="eastAsia"/>
                </w:rPr>
                <w:t>排桩支护</w:t>
              </w:r>
              <w:r>
                <w:tab/>
              </w:r>
              <w:r>
                <w:fldChar w:fldCharType="begin"/>
              </w:r>
              <w:r>
                <w:instrText xml:space="preserve"> PAGEREF _Toc3856 \h </w:instrText>
              </w:r>
              <w:r>
                <w:fldChar w:fldCharType="separate"/>
              </w:r>
              <w:r>
                <w:t>226</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_Toc27426 </w:instrText>
              </w:r>
              <w:r>
                <w:rPr>
                  <w:rFonts w:hint="eastAsia"/>
                </w:rPr>
                <w:fldChar w:fldCharType="separate"/>
              </w:r>
              <w:r>
                <w:rPr>
                  <w:rFonts w:hint="eastAsia"/>
                </w:rPr>
                <w:t>8.2  钢板桩</w:t>
              </w:r>
              <w:r>
                <w:tab/>
              </w:r>
              <w:r>
                <w:fldChar w:fldCharType="begin"/>
              </w:r>
              <w:r>
                <w:instrText xml:space="preserve"> PAGEREF _Toc27426 \h </w:instrText>
              </w:r>
              <w:r>
                <w:fldChar w:fldCharType="separate"/>
              </w:r>
              <w:r>
                <w:t>233</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_Toc15881 </w:instrText>
              </w:r>
              <w:r>
                <w:rPr>
                  <w:rFonts w:hint="eastAsia"/>
                </w:rPr>
                <w:fldChar w:fldCharType="separate"/>
              </w:r>
              <w:r>
                <w:rPr>
                  <w:rFonts w:hint="eastAsia"/>
                </w:rPr>
                <w:t>8.</w:t>
              </w:r>
              <w:r>
                <w:rPr>
                  <w:rFonts w:hint="eastAsia"/>
                  <w:lang w:eastAsia="zh-CN"/>
                </w:rPr>
                <w:t>3</w:t>
              </w:r>
              <w:r>
                <w:rPr>
                  <w:rFonts w:hint="eastAsia"/>
                </w:rPr>
                <w:t xml:space="preserve">  型钢水泥土搅拌墙</w:t>
              </w:r>
              <w:r>
                <w:tab/>
              </w:r>
              <w:r>
                <w:fldChar w:fldCharType="begin"/>
              </w:r>
              <w:r>
                <w:instrText xml:space="preserve"> PAGEREF _Toc15881 \h </w:instrText>
              </w:r>
              <w:r>
                <w:fldChar w:fldCharType="separate"/>
              </w:r>
              <w:r>
                <w:t>239</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_Toc23643 </w:instrText>
              </w:r>
              <w:r>
                <w:rPr>
                  <w:rFonts w:hint="eastAsia"/>
                </w:rPr>
                <w:fldChar w:fldCharType="separate"/>
              </w:r>
              <w:r>
                <w:t>8.</w:t>
              </w:r>
              <w:r>
                <w:rPr>
                  <w:rFonts w:hint="eastAsia"/>
                  <w:lang w:eastAsia="zh-CN"/>
                </w:rPr>
                <w:t>4</w:t>
              </w:r>
              <w:r>
                <w:rPr>
                  <w:rFonts w:hint="eastAsia"/>
                </w:rPr>
                <w:t xml:space="preserve"> </w:t>
              </w:r>
              <w:r>
                <w:t xml:space="preserve"> </w:t>
              </w:r>
              <w:r>
                <w:rPr>
                  <w:rFonts w:hint="eastAsia"/>
                </w:rPr>
                <w:t>地下连续墙</w:t>
              </w:r>
              <w:r>
                <w:tab/>
              </w:r>
              <w:r>
                <w:fldChar w:fldCharType="begin"/>
              </w:r>
              <w:r>
                <w:instrText xml:space="preserve"> PAGEREF _Toc23643 \h </w:instrText>
              </w:r>
              <w:r>
                <w:fldChar w:fldCharType="separate"/>
              </w:r>
              <w:r>
                <w:t>250</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_Toc19739 </w:instrText>
              </w:r>
              <w:r>
                <w:rPr>
                  <w:rFonts w:hint="eastAsia"/>
                </w:rPr>
                <w:fldChar w:fldCharType="separate"/>
              </w:r>
              <w:r>
                <w:t>8.</w:t>
              </w:r>
              <w:r>
                <w:rPr>
                  <w:rFonts w:hint="eastAsia"/>
                  <w:lang w:eastAsia="zh-CN"/>
                </w:rPr>
                <w:t>5</w:t>
              </w:r>
              <w:r>
                <w:rPr>
                  <w:rFonts w:hint="eastAsia"/>
                </w:rPr>
                <w:t xml:space="preserve">  锚杆</w:t>
              </w:r>
              <w:r>
                <w:tab/>
              </w:r>
              <w:r>
                <w:fldChar w:fldCharType="begin"/>
              </w:r>
              <w:r>
                <w:instrText xml:space="preserve"> PAGEREF _Toc19739 \h </w:instrText>
              </w:r>
              <w:r>
                <w:fldChar w:fldCharType="separate"/>
              </w:r>
              <w:r>
                <w:t>252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_Toc26599 </w:instrText>
              </w:r>
              <w:r>
                <w:rPr>
                  <w:rFonts w:hint="eastAsia"/>
                </w:rPr>
                <w:fldChar w:fldCharType="separate"/>
              </w:r>
              <w:r>
                <w:rPr>
                  <w:rFonts w:hint="eastAsia"/>
                </w:rPr>
                <w:t>8.</w:t>
              </w:r>
              <w:r>
                <w:rPr>
                  <w:rFonts w:hint="eastAsia"/>
                  <w:lang w:eastAsia="zh-CN"/>
                </w:rPr>
                <w:t>6</w:t>
              </w:r>
              <w:r>
                <w:rPr>
                  <w:rFonts w:hint="eastAsia"/>
                </w:rPr>
                <w:t xml:space="preserve">  内支撑结构</w:t>
              </w:r>
              <w:r>
                <w:tab/>
              </w:r>
              <w:r>
                <w:fldChar w:fldCharType="begin"/>
              </w:r>
              <w:r>
                <w:instrText xml:space="preserve"> PAGEREF _Toc26599 \h </w:instrText>
              </w:r>
              <w:r>
                <w:fldChar w:fldCharType="separate"/>
              </w:r>
              <w:r>
                <w:t>254</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_Toc8139 </w:instrText>
              </w:r>
              <w:r>
                <w:rPr>
                  <w:rFonts w:hint="eastAsia"/>
                </w:rPr>
                <w:fldChar w:fldCharType="separate"/>
              </w:r>
              <w:r>
                <w:rPr>
                  <w:rFonts w:ascii="Times New Roman" w:hAnsi="Times New Roman"/>
                </w:rPr>
                <w:t>8.</w:t>
              </w:r>
              <w:r>
                <w:rPr>
                  <w:rFonts w:hint="eastAsia" w:ascii="Times New Roman" w:hAnsi="Times New Roman"/>
                  <w:lang w:val="en-US" w:eastAsia="zh-CN"/>
                </w:rPr>
                <w:t>7</w:t>
              </w:r>
              <w:r>
                <w:rPr>
                  <w:rFonts w:hint="eastAsia" w:ascii="Times New Roman" w:hAnsi="Times New Roman"/>
                </w:rPr>
                <w:t xml:space="preserve"> </w:t>
              </w:r>
              <w:r>
                <w:rPr>
                  <w:rFonts w:hint="eastAsia"/>
                </w:rPr>
                <w:t xml:space="preserve"> 逆作法</w:t>
              </w:r>
              <w:r>
                <w:tab/>
              </w:r>
              <w:r>
                <w:fldChar w:fldCharType="begin"/>
              </w:r>
              <w:r>
                <w:instrText xml:space="preserve"> PAGEREF _Toc8139 \h </w:instrText>
              </w:r>
              <w:r>
                <w:fldChar w:fldCharType="separate"/>
              </w:r>
              <w:r>
                <w:t>257</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_Toc12533 </w:instrText>
              </w:r>
              <w:r>
                <w:rPr>
                  <w:rFonts w:hint="eastAsia"/>
                </w:rPr>
                <w:fldChar w:fldCharType="separate"/>
              </w:r>
              <w:r>
                <w:rPr>
                  <w:rFonts w:ascii="Times New Roman" w:hAnsi="Times New Roman" w:eastAsia="黑体" w:cs="Times New Roman"/>
                  <w:bCs/>
                  <w:kern w:val="44"/>
                  <w:szCs w:val="44"/>
                </w:rPr>
                <w:t>9  土钉墙及复合土钉墙</w:t>
              </w:r>
              <w:r>
                <w:tab/>
              </w:r>
              <w:r>
                <w:fldChar w:fldCharType="begin"/>
              </w:r>
              <w:r>
                <w:instrText xml:space="preserve"> PAGEREF _Toc12533 \h </w:instrText>
              </w:r>
              <w:r>
                <w:fldChar w:fldCharType="separate"/>
              </w:r>
              <w:r>
                <w:t>262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_Toc7652 </w:instrText>
              </w:r>
              <w:r>
                <w:rPr>
                  <w:rFonts w:hint="eastAsia"/>
                </w:rPr>
                <w:fldChar w:fldCharType="separate"/>
              </w:r>
              <w:r>
                <w:rPr>
                  <w:rFonts w:ascii="Cambria" w:hAnsi="Cambria" w:eastAsia="宋体" w:cs="Times New Roman"/>
                  <w:bCs/>
                  <w:szCs w:val="32"/>
                </w:rPr>
                <w:t>9.1 一般规定</w:t>
              </w:r>
              <w:r>
                <w:tab/>
              </w:r>
              <w:r>
                <w:fldChar w:fldCharType="begin"/>
              </w:r>
              <w:r>
                <w:instrText xml:space="preserve"> PAGEREF _Toc7652 \h </w:instrText>
              </w:r>
              <w:r>
                <w:fldChar w:fldCharType="separate"/>
              </w:r>
              <w:r>
                <w:t>262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_Toc21757 </w:instrText>
              </w:r>
              <w:r>
                <w:rPr>
                  <w:rFonts w:hint="eastAsia"/>
                </w:rPr>
                <w:fldChar w:fldCharType="separate"/>
              </w:r>
              <w:r>
                <w:rPr>
                  <w:rFonts w:ascii="Cambria" w:hAnsi="Cambria" w:eastAsia="宋体" w:cs="Times New Roman"/>
                  <w:bCs/>
                  <w:szCs w:val="32"/>
                </w:rPr>
                <w:t>9.2 设 计</w:t>
              </w:r>
              <w:r>
                <w:tab/>
              </w:r>
              <w:r>
                <w:fldChar w:fldCharType="begin"/>
              </w:r>
              <w:r>
                <w:instrText xml:space="preserve"> PAGEREF _Toc21757 \h </w:instrText>
              </w:r>
              <w:r>
                <w:fldChar w:fldCharType="separate"/>
              </w:r>
              <w:r>
                <w:t>263</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_Toc22642 </w:instrText>
              </w:r>
              <w:r>
                <w:rPr>
                  <w:rFonts w:hint="eastAsia"/>
                </w:rPr>
                <w:fldChar w:fldCharType="separate"/>
              </w:r>
              <w:r>
                <w:rPr>
                  <w:rFonts w:ascii="Times New Roman" w:hAnsi="Times New Roman" w:eastAsia="黑体" w:cs="Times New Roman"/>
                  <w:bCs/>
                  <w:kern w:val="44"/>
                  <w:szCs w:val="44"/>
                </w:rPr>
                <w:t>10  重力式水泥土墙</w:t>
              </w:r>
              <w:r>
                <w:tab/>
              </w:r>
              <w:r>
                <w:fldChar w:fldCharType="begin"/>
              </w:r>
              <w:r>
                <w:instrText xml:space="preserve"> PAGEREF _Toc22642 \h </w:instrText>
              </w:r>
              <w:r>
                <w:fldChar w:fldCharType="separate"/>
              </w:r>
              <w:r>
                <w:t>268</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_Toc11399 </w:instrText>
              </w:r>
              <w:r>
                <w:rPr>
                  <w:rFonts w:hint="eastAsia"/>
                </w:rPr>
                <w:fldChar w:fldCharType="separate"/>
              </w:r>
              <w:r>
                <w:rPr>
                  <w:rFonts w:ascii="Times New Roman" w:hAnsi="Times New Roman" w:eastAsia="宋体" w:cs="Times New Roman"/>
                  <w:bCs/>
                  <w:szCs w:val="32"/>
                </w:rPr>
                <w:t>10.1 一</w:t>
              </w:r>
              <w:r>
                <w:rPr>
                  <w:rFonts w:hint="eastAsia" w:ascii="Cambria" w:hAnsi="Cambria" w:eastAsia="宋体" w:cs="Times New Roman"/>
                  <w:bCs/>
                  <w:szCs w:val="32"/>
                </w:rPr>
                <w:t>般规定</w:t>
              </w:r>
              <w:r>
                <w:tab/>
              </w:r>
              <w:r>
                <w:fldChar w:fldCharType="begin"/>
              </w:r>
              <w:r>
                <w:instrText xml:space="preserve"> PAGEREF _Toc11399 \h </w:instrText>
              </w:r>
              <w:r>
                <w:fldChar w:fldCharType="separate"/>
              </w:r>
              <w:r>
                <w:t>268</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_Toc19162 </w:instrText>
              </w:r>
              <w:r>
                <w:rPr>
                  <w:rFonts w:hint="eastAsia"/>
                </w:rPr>
                <w:fldChar w:fldCharType="separate"/>
              </w:r>
              <w:r>
                <w:rPr>
                  <w:rFonts w:ascii="Times New Roman" w:hAnsi="Times New Roman" w:eastAsia="宋体" w:cs="Times New Roman"/>
                  <w:bCs/>
                  <w:szCs w:val="32"/>
                </w:rPr>
                <w:t>10.2 设计</w:t>
              </w:r>
              <w:r>
                <w:tab/>
              </w:r>
              <w:r>
                <w:fldChar w:fldCharType="begin"/>
              </w:r>
              <w:r>
                <w:instrText xml:space="preserve"> PAGEREF _Toc19162 \h </w:instrText>
              </w:r>
              <w:r>
                <w:fldChar w:fldCharType="separate"/>
              </w:r>
              <w:r>
                <w:t>268</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_Toc15964 </w:instrText>
              </w:r>
              <w:r>
                <w:rPr>
                  <w:rFonts w:hint="eastAsia"/>
                </w:rPr>
                <w:fldChar w:fldCharType="separate"/>
              </w:r>
              <w:r>
                <w:rPr>
                  <w:rFonts w:ascii="Cambria" w:hAnsi="Cambria" w:eastAsia="宋体" w:cs="Times New Roman"/>
                  <w:bCs/>
                  <w:szCs w:val="32"/>
                </w:rPr>
                <w:t>10.3</w:t>
              </w:r>
              <w:r>
                <w:rPr>
                  <w:rFonts w:hint="eastAsia" w:ascii="Cambria" w:hAnsi="Cambria" w:eastAsia="宋体" w:cs="Times New Roman"/>
                  <w:bCs/>
                  <w:szCs w:val="32"/>
                </w:rPr>
                <w:t xml:space="preserve"> 构造</w:t>
              </w:r>
              <w:r>
                <w:tab/>
              </w:r>
              <w:r>
                <w:fldChar w:fldCharType="begin"/>
              </w:r>
              <w:r>
                <w:instrText xml:space="preserve"> PAGEREF _Toc15964 \h </w:instrText>
              </w:r>
              <w:r>
                <w:fldChar w:fldCharType="separate"/>
              </w:r>
              <w:r>
                <w:t>268</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_Toc24021 </w:instrText>
              </w:r>
              <w:r>
                <w:rPr>
                  <w:rFonts w:hint="eastAsia"/>
                </w:rPr>
                <w:fldChar w:fldCharType="separate"/>
              </w:r>
              <w:r>
                <w:rPr>
                  <w:rFonts w:ascii="Times New Roman" w:hAnsi="Times New Roman" w:eastAsia="黑体" w:cs="Times New Roman"/>
                  <w:bCs/>
                  <w:kern w:val="44"/>
                  <w:szCs w:val="44"/>
                </w:rPr>
                <w:t>12  土体加固</w:t>
              </w:r>
              <w:r>
                <w:tab/>
              </w:r>
              <w:r>
                <w:fldChar w:fldCharType="begin"/>
              </w:r>
              <w:r>
                <w:instrText xml:space="preserve"> PAGEREF _Toc24021 \h </w:instrText>
              </w:r>
              <w:r>
                <w:fldChar w:fldCharType="separate"/>
              </w:r>
              <w:r>
                <w:t>270</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_Toc8473 </w:instrText>
              </w:r>
              <w:r>
                <w:rPr>
                  <w:rFonts w:hint="eastAsia"/>
                </w:rPr>
                <w:fldChar w:fldCharType="separate"/>
              </w:r>
              <w:r>
                <w:rPr>
                  <w:rFonts w:hint="eastAsia"/>
                  <w:lang w:val="en-US" w:eastAsia="zh-CN"/>
                </w:rPr>
                <w:t>13</w:t>
              </w:r>
              <w:r>
                <w:rPr>
                  <w:rFonts w:hint="eastAsia"/>
                </w:rPr>
                <w:t xml:space="preserve">  地下水控制</w:t>
              </w:r>
              <w:r>
                <w:tab/>
              </w:r>
              <w:r>
                <w:fldChar w:fldCharType="begin"/>
              </w:r>
              <w:r>
                <w:instrText xml:space="preserve"> PAGEREF _Toc8473 \h </w:instrText>
              </w:r>
              <w:r>
                <w:fldChar w:fldCharType="separate"/>
              </w:r>
              <w:r>
                <w:t>271</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_Toc816 </w:instrText>
              </w:r>
              <w:r>
                <w:rPr>
                  <w:rFonts w:hint="eastAsia"/>
                </w:rPr>
                <w:fldChar w:fldCharType="separate"/>
              </w:r>
              <w:r>
                <w:rPr>
                  <w:rFonts w:hint="eastAsia"/>
                  <w:lang w:val="en-US" w:eastAsia="zh-CN"/>
                </w:rPr>
                <w:t>13</w:t>
              </w:r>
              <w:r>
                <w:rPr>
                  <w:rFonts w:hint="eastAsia"/>
                </w:rPr>
                <w:t>.1  一般规定</w:t>
              </w:r>
              <w:r>
                <w:tab/>
              </w:r>
              <w:r>
                <w:fldChar w:fldCharType="begin"/>
              </w:r>
              <w:r>
                <w:instrText xml:space="preserve"> PAGEREF _Toc816 \h </w:instrText>
              </w:r>
              <w:r>
                <w:fldChar w:fldCharType="separate"/>
              </w:r>
              <w:r>
                <w:t>271</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_Toc26231 </w:instrText>
              </w:r>
              <w:r>
                <w:rPr>
                  <w:rFonts w:hint="eastAsia"/>
                </w:rPr>
                <w:fldChar w:fldCharType="separate"/>
              </w:r>
              <w:r>
                <w:rPr>
                  <w:rFonts w:hint="eastAsia"/>
                  <w:lang w:val="en-US" w:eastAsia="zh-CN"/>
                </w:rPr>
                <w:t>13</w:t>
              </w:r>
              <w:r>
                <w:rPr>
                  <w:rFonts w:hint="eastAsia"/>
                </w:rPr>
                <w:t xml:space="preserve">.2  </w:t>
              </w:r>
              <w:r>
                <w:rPr>
                  <w:rFonts w:hint="eastAsia"/>
                  <w:lang w:eastAsia="zh-CN"/>
                </w:rPr>
                <w:t>基坑</w:t>
              </w:r>
              <w:r>
                <w:rPr>
                  <w:rFonts w:hint="eastAsia"/>
                </w:rPr>
                <w:t>降水设计</w:t>
              </w:r>
              <w:r>
                <w:tab/>
              </w:r>
              <w:r>
                <w:fldChar w:fldCharType="begin"/>
              </w:r>
              <w:r>
                <w:instrText xml:space="preserve"> PAGEREF _Toc26231 \h </w:instrText>
              </w:r>
              <w:r>
                <w:fldChar w:fldCharType="separate"/>
              </w:r>
              <w:r>
                <w:t>274</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_Toc14448 </w:instrText>
              </w:r>
              <w:r>
                <w:rPr>
                  <w:rFonts w:hint="eastAsia"/>
                </w:rPr>
                <w:fldChar w:fldCharType="separate"/>
              </w:r>
              <w:r>
                <w:rPr>
                  <w:rFonts w:hint="eastAsia"/>
                  <w:lang w:val="en-US" w:eastAsia="zh-CN"/>
                </w:rPr>
                <w:t>13</w:t>
              </w:r>
              <w:r>
                <w:rPr>
                  <w:rFonts w:hint="eastAsia"/>
                </w:rPr>
                <w:t>.3  管井降水</w:t>
              </w:r>
              <w:r>
                <w:tab/>
              </w:r>
              <w:r>
                <w:fldChar w:fldCharType="begin"/>
              </w:r>
              <w:r>
                <w:instrText xml:space="preserve"> PAGEREF _Toc14448 \h </w:instrText>
              </w:r>
              <w:r>
                <w:fldChar w:fldCharType="separate"/>
              </w:r>
              <w:r>
                <w:t>276</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_Toc17866 </w:instrText>
              </w:r>
              <w:r>
                <w:rPr>
                  <w:rFonts w:hint="eastAsia"/>
                </w:rPr>
                <w:fldChar w:fldCharType="separate"/>
              </w:r>
              <w:r>
                <w:rPr>
                  <w:rFonts w:hint="eastAsia"/>
                  <w:lang w:val="en-US" w:eastAsia="zh-CN"/>
                </w:rPr>
                <w:t>13.5</w:t>
              </w:r>
              <w:r>
                <w:t xml:space="preserve">  截水帷幕</w:t>
              </w:r>
              <w:r>
                <w:tab/>
              </w:r>
              <w:r>
                <w:fldChar w:fldCharType="begin"/>
              </w:r>
              <w:r>
                <w:instrText xml:space="preserve"> PAGEREF _Toc17866 \h </w:instrText>
              </w:r>
              <w:r>
                <w:fldChar w:fldCharType="separate"/>
              </w:r>
              <w:r>
                <w:t>279</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_Toc28632 </w:instrText>
              </w:r>
              <w:r>
                <w:rPr>
                  <w:rFonts w:hint="eastAsia"/>
                </w:rPr>
                <w:fldChar w:fldCharType="separate"/>
              </w:r>
              <w:r>
                <w:rPr>
                  <w:rFonts w:hint="eastAsia"/>
                </w:rPr>
                <w:t>1</w:t>
              </w:r>
              <w:r>
                <w:rPr>
                  <w:rFonts w:hint="eastAsia"/>
                  <w:lang w:val="en-US" w:eastAsia="zh-CN"/>
                </w:rPr>
                <w:t>5</w:t>
              </w:r>
              <w:r>
                <w:rPr>
                  <w:rFonts w:hint="eastAsia"/>
                </w:rPr>
                <w:t xml:space="preserve"> </w:t>
              </w:r>
              <w:r>
                <w:rPr>
                  <w:rFonts w:hint="eastAsia" w:ascii="Times New Roman" w:hAnsi="Times New Roman"/>
                </w:rPr>
                <w:t>环境影响评价及</w:t>
              </w:r>
              <w:r>
                <w:rPr>
                  <w:rFonts w:hint="eastAsia" w:ascii="Times New Roman" w:hAnsi="Times New Roman"/>
                  <w:lang w:val="en-US" w:eastAsia="zh-CN"/>
                </w:rPr>
                <w:t>保护</w:t>
              </w:r>
              <w:r>
                <w:rPr>
                  <w:rFonts w:hint="eastAsia" w:ascii="Times New Roman" w:hAnsi="Times New Roman"/>
                </w:rPr>
                <w:t>措施</w:t>
              </w:r>
              <w:r>
                <w:tab/>
              </w:r>
              <w:r>
                <w:fldChar w:fldCharType="begin"/>
              </w:r>
              <w:r>
                <w:instrText xml:space="preserve"> PAGEREF _Toc28632 \h </w:instrText>
              </w:r>
              <w:r>
                <w:fldChar w:fldCharType="separate"/>
              </w:r>
              <w:r>
                <w:t>282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_Toc10119 </w:instrText>
              </w:r>
              <w:r>
                <w:rPr>
                  <w:rFonts w:hint="eastAsia"/>
                </w:rPr>
                <w:fldChar w:fldCharType="separate"/>
              </w:r>
              <w:r>
                <w:rPr>
                  <w:rFonts w:hint="eastAsia" w:ascii="Times New Roman" w:hAnsi="Times New Roman"/>
                </w:rPr>
                <w:t>1</w:t>
              </w:r>
              <w:r>
                <w:rPr>
                  <w:rFonts w:hint="eastAsia" w:ascii="Times New Roman" w:hAnsi="Times New Roman"/>
                  <w:lang w:val="en-US" w:eastAsia="zh-CN"/>
                </w:rPr>
                <w:t>5</w:t>
              </w:r>
              <w:r>
                <w:rPr>
                  <w:rFonts w:hint="eastAsia" w:ascii="Times New Roman" w:hAnsi="Times New Roman"/>
                </w:rPr>
                <w:t>.1  一般规定</w:t>
              </w:r>
              <w:r>
                <w:tab/>
              </w:r>
              <w:r>
                <w:fldChar w:fldCharType="begin"/>
              </w:r>
              <w:r>
                <w:instrText xml:space="preserve"> PAGEREF _Toc10119 \h </w:instrText>
              </w:r>
              <w:r>
                <w:fldChar w:fldCharType="separate"/>
              </w:r>
              <w:r>
                <w:t>282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_Toc6756 </w:instrText>
              </w:r>
              <w:r>
                <w:rPr>
                  <w:rFonts w:hint="eastAsia"/>
                </w:rPr>
                <w:fldChar w:fldCharType="separate"/>
              </w:r>
              <w:r>
                <w:rPr>
                  <w:rFonts w:hint="eastAsia" w:ascii="Times New Roman" w:hAnsi="Times New Roman"/>
                </w:rPr>
                <w:t>1</w:t>
              </w:r>
              <w:r>
                <w:rPr>
                  <w:rFonts w:hint="eastAsia" w:ascii="Times New Roman" w:hAnsi="Times New Roman"/>
                  <w:lang w:val="en-US" w:eastAsia="zh-CN"/>
                </w:rPr>
                <w:t>5</w:t>
              </w:r>
              <w:r>
                <w:rPr>
                  <w:rFonts w:hint="eastAsia" w:ascii="Times New Roman" w:hAnsi="Times New Roman"/>
                </w:rPr>
                <w:t>.2  评估内容</w:t>
              </w:r>
              <w:r>
                <w:tab/>
              </w:r>
              <w:r>
                <w:fldChar w:fldCharType="begin"/>
              </w:r>
              <w:r>
                <w:instrText xml:space="preserve"> PAGEREF _Toc6756 \h </w:instrText>
              </w:r>
              <w:r>
                <w:fldChar w:fldCharType="separate"/>
              </w:r>
              <w:r>
                <w:t>282</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_Toc453 </w:instrText>
              </w:r>
              <w:r>
                <w:rPr>
                  <w:rFonts w:hint="eastAsia"/>
                </w:rPr>
                <w:fldChar w:fldCharType="separate"/>
              </w:r>
              <w:r>
                <w:rPr>
                  <w:rFonts w:hint="eastAsia" w:ascii="Times New Roman" w:hAnsi="Times New Roman"/>
                </w:rPr>
                <w:t>1</w:t>
              </w:r>
              <w:r>
                <w:rPr>
                  <w:rFonts w:hint="eastAsia" w:ascii="Times New Roman" w:hAnsi="Times New Roman"/>
                  <w:lang w:val="en-US" w:eastAsia="zh-CN"/>
                </w:rPr>
                <w:t>5</w:t>
              </w:r>
              <w:r>
                <w:rPr>
                  <w:rFonts w:hint="eastAsia" w:ascii="Times New Roman" w:hAnsi="Times New Roman"/>
                </w:rPr>
                <w:t>.3  基坑变形预估</w:t>
              </w:r>
              <w:r>
                <w:tab/>
              </w:r>
              <w:r>
                <w:fldChar w:fldCharType="begin"/>
              </w:r>
              <w:r>
                <w:instrText xml:space="preserve"> PAGEREF _Toc453 \h </w:instrText>
              </w:r>
              <w:r>
                <w:fldChar w:fldCharType="separate"/>
              </w:r>
              <w:r>
                <w:t>283</w:t>
              </w:r>
              <w:r>
                <w:fldChar w:fldCharType="end"/>
              </w:r>
              <w:r>
                <w:rPr>
                  <w:rFonts w:hint="eastAsia"/>
                </w:rPr>
                <w:fldChar w:fldCharType="end"/>
              </w:r>
            </w:p>
            <w:p>
              <w:pPr>
                <w:pStyle w:val="5"/>
                <w:tabs>
                  <w:tab w:val="right" w:leader="dot" w:pos="8646"/>
                  <w:tab w:val="clear" w:pos="9628"/>
                </w:tabs>
              </w:pPr>
              <w:r>
                <w:rPr>
                  <w:rFonts w:hint="eastAsia"/>
                </w:rPr>
                <w:fldChar w:fldCharType="begin"/>
              </w:r>
              <w:r>
                <w:rPr>
                  <w:rFonts w:hint="eastAsia"/>
                </w:rPr>
                <w:instrText xml:space="preserve"> HYPERLINK \l _Toc8871 </w:instrText>
              </w:r>
              <w:r>
                <w:rPr>
                  <w:rFonts w:hint="eastAsia"/>
                </w:rPr>
                <w:fldChar w:fldCharType="separate"/>
              </w:r>
              <w:r>
                <w:rPr>
                  <w:rFonts w:hint="eastAsia"/>
                </w:rPr>
                <w:t>1</w:t>
              </w:r>
              <w:r>
                <w:rPr>
                  <w:rFonts w:hint="eastAsia"/>
                  <w:lang w:val="en-US" w:eastAsia="zh-CN"/>
                </w:rPr>
                <w:t>6</w:t>
              </w:r>
              <w:r>
                <w:rPr>
                  <w:rFonts w:hint="eastAsia"/>
                </w:rPr>
                <w:t xml:space="preserve"> </w:t>
              </w:r>
              <w:r>
                <w:rPr>
                  <w:rFonts w:hint="eastAsia"/>
                  <w:lang w:val="en-US" w:eastAsia="zh-CN"/>
                </w:rPr>
                <w:t>基坑监测</w:t>
              </w:r>
              <w:r>
                <w:tab/>
              </w:r>
              <w:r>
                <w:fldChar w:fldCharType="begin"/>
              </w:r>
              <w:r>
                <w:instrText xml:space="preserve"> PAGEREF _Toc8871 \h </w:instrText>
              </w:r>
              <w:r>
                <w:fldChar w:fldCharType="separate"/>
              </w:r>
              <w:r>
                <w:t>284</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_Toc13858 </w:instrText>
              </w:r>
              <w:r>
                <w:rPr>
                  <w:rFonts w:hint="eastAsia"/>
                </w:rPr>
                <w:fldChar w:fldCharType="separate"/>
              </w:r>
              <w:r>
                <w:rPr>
                  <w:rFonts w:hint="eastAsia"/>
                </w:rPr>
                <w:t>1</w:t>
              </w:r>
              <w:r>
                <w:rPr>
                  <w:rFonts w:hint="eastAsia"/>
                  <w:lang w:val="en-US" w:eastAsia="zh-CN"/>
                </w:rPr>
                <w:t>6</w:t>
              </w:r>
              <w:r>
                <w:rPr>
                  <w:rFonts w:hint="eastAsia"/>
                </w:rPr>
                <w:t>.1  一般规定</w:t>
              </w:r>
              <w:r>
                <w:tab/>
              </w:r>
              <w:r>
                <w:fldChar w:fldCharType="begin"/>
              </w:r>
              <w:r>
                <w:instrText xml:space="preserve"> PAGEREF _Toc13858 \h </w:instrText>
              </w:r>
              <w:r>
                <w:fldChar w:fldCharType="separate"/>
              </w:r>
              <w:r>
                <w:t>284</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_Toc26558 </w:instrText>
              </w:r>
              <w:r>
                <w:rPr>
                  <w:rFonts w:hint="eastAsia"/>
                </w:rPr>
                <w:fldChar w:fldCharType="separate"/>
              </w:r>
              <w:r>
                <w:t>1</w:t>
              </w:r>
              <w:r>
                <w:rPr>
                  <w:rFonts w:hint="eastAsia"/>
                  <w:lang w:val="en-US" w:eastAsia="zh-CN"/>
                </w:rPr>
                <w:t>6</w:t>
              </w:r>
              <w:r>
                <w:t>.2  监测点布置</w:t>
              </w:r>
              <w:r>
                <w:tab/>
              </w:r>
              <w:r>
                <w:fldChar w:fldCharType="begin"/>
              </w:r>
              <w:r>
                <w:instrText xml:space="preserve"> PAGEREF _Toc26558 \h </w:instrText>
              </w:r>
              <w:r>
                <w:fldChar w:fldCharType="separate"/>
              </w:r>
              <w:r>
                <w:t>284</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_Toc25456 </w:instrText>
              </w:r>
              <w:r>
                <w:rPr>
                  <w:rFonts w:hint="eastAsia"/>
                </w:rPr>
                <w:fldChar w:fldCharType="separate"/>
              </w:r>
              <w:r>
                <w:rPr>
                  <w:rFonts w:hint="eastAsia" w:ascii="Times New Roman" w:hAnsi="Times New Roman"/>
                  <w:szCs w:val="22"/>
                </w:rPr>
                <w:t>1</w:t>
              </w:r>
              <w:r>
                <w:rPr>
                  <w:rFonts w:hint="eastAsia" w:ascii="Times New Roman" w:hAnsi="Times New Roman"/>
                  <w:szCs w:val="22"/>
                  <w:lang w:val="en-US" w:eastAsia="zh-CN"/>
                </w:rPr>
                <w:t>6</w:t>
              </w:r>
              <w:r>
                <w:rPr>
                  <w:rFonts w:hint="eastAsia" w:ascii="Times New Roman" w:hAnsi="Times New Roman"/>
                  <w:szCs w:val="22"/>
                </w:rPr>
                <w:t>.3</w:t>
              </w:r>
              <w:r>
                <w:rPr>
                  <w:rFonts w:hint="eastAsia"/>
                </w:rPr>
                <w:t xml:space="preserve">  监测方法</w:t>
              </w:r>
              <w:r>
                <w:tab/>
              </w:r>
              <w:r>
                <w:fldChar w:fldCharType="begin"/>
              </w:r>
              <w:r>
                <w:instrText xml:space="preserve"> PAGEREF _Toc25456 \h </w:instrText>
              </w:r>
              <w:r>
                <w:fldChar w:fldCharType="separate"/>
              </w:r>
              <w:r>
                <w:t>284</w:t>
              </w:r>
              <w:r>
                <w:fldChar w:fldCharType="end"/>
              </w:r>
              <w:r>
                <w:rPr>
                  <w:rFonts w:hint="eastAsia"/>
                </w:rPr>
                <w:fldChar w:fldCharType="end"/>
              </w:r>
            </w:p>
            <w:p>
              <w:pPr>
                <w:pStyle w:val="27"/>
                <w:tabs>
                  <w:tab w:val="right" w:leader="dot" w:pos="8646"/>
                </w:tabs>
              </w:pPr>
              <w:r>
                <w:rPr>
                  <w:rFonts w:hint="eastAsia"/>
                </w:rPr>
                <w:fldChar w:fldCharType="begin"/>
              </w:r>
              <w:r>
                <w:rPr>
                  <w:rFonts w:hint="eastAsia"/>
                </w:rPr>
                <w:instrText xml:space="preserve"> HYPERLINK \l _Toc180 </w:instrText>
              </w:r>
              <w:r>
                <w:rPr>
                  <w:rFonts w:hint="eastAsia"/>
                </w:rPr>
                <w:fldChar w:fldCharType="separate"/>
              </w:r>
              <w:r>
                <w:rPr>
                  <w:rFonts w:hint="eastAsia"/>
                </w:rPr>
                <w:t>1</w:t>
              </w:r>
              <w:r>
                <w:rPr>
                  <w:rFonts w:hint="eastAsia"/>
                  <w:lang w:val="en-US" w:eastAsia="zh-CN"/>
                </w:rPr>
                <w:t>6</w:t>
              </w:r>
              <w:r>
                <w:rPr>
                  <w:rFonts w:hint="eastAsia"/>
                </w:rPr>
                <w:t>.4  报警值</w:t>
              </w:r>
              <w:r>
                <w:tab/>
              </w:r>
              <w:r>
                <w:fldChar w:fldCharType="begin"/>
              </w:r>
              <w:r>
                <w:instrText xml:space="preserve"> PAGEREF _Toc180 \h </w:instrText>
              </w:r>
              <w:r>
                <w:fldChar w:fldCharType="separate"/>
              </w:r>
              <w:r>
                <w:t>284</w:t>
              </w:r>
              <w:r>
                <w:fldChar w:fldCharType="end"/>
              </w:r>
              <w:r>
                <w:rPr>
                  <w:rFonts w:hint="eastAsia"/>
                </w:rPr>
                <w:fldChar w:fldCharType="end"/>
              </w:r>
            </w:p>
            <w:p>
              <w:r>
                <w:rPr>
                  <w:rFonts w:hint="eastAsia"/>
                </w:rPr>
                <w:fldChar w:fldCharType="end"/>
              </w:r>
            </w:p>
          </w:sdtContent>
        </w:sdt>
      </w:sdtContent>
    </w:sdt>
    <w:p>
      <w:pPr>
        <w:outlineLvl w:val="9"/>
        <w:rPr>
          <w:rFonts w:ascii="Times New Roman" w:hAnsi="Times New Roman"/>
        </w:rPr>
      </w:pPr>
      <w:r>
        <w:rPr>
          <w:rFonts w:ascii="Times New Roman" w:hAnsi="Times New Roman"/>
        </w:rPr>
        <w:br w:type="page"/>
      </w:r>
    </w:p>
    <w:p>
      <w:pPr>
        <w:pStyle w:val="2"/>
        <w:bidi w:val="0"/>
      </w:pPr>
      <w:bookmarkStart w:id="1077" w:name="_Toc30458"/>
      <w:bookmarkStart w:id="1078" w:name="_Toc26179"/>
      <w:bookmarkStart w:id="1079" w:name="_Toc26834"/>
      <w:bookmarkStart w:id="1080" w:name="_Toc29459"/>
      <w:r>
        <w:rPr>
          <w:rFonts w:ascii="Times New Roman" w:hAnsi="Times New Roman"/>
        </w:rPr>
        <w:t>1</w:t>
      </w:r>
      <w:r>
        <w:rPr>
          <w:rFonts w:hint="eastAsia" w:ascii="Times New Roman" w:hAnsi="Times New Roman"/>
        </w:rPr>
        <w:t xml:space="preserve"> </w:t>
      </w:r>
      <w:r>
        <w:rPr>
          <w:rFonts w:hint="eastAsia"/>
        </w:rPr>
        <w:t xml:space="preserve"> 总则</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pPr>
        <w:pStyle w:val="12"/>
        <w:widowControl w:val="0"/>
        <w:spacing w:line="360" w:lineRule="auto"/>
        <w:rPr>
          <w:rFonts w:hint="eastAsia" w:eastAsia="宋体"/>
          <w:lang w:eastAsia="zh-CN"/>
        </w:rPr>
      </w:pPr>
      <w:r>
        <w:rPr>
          <w:rFonts w:ascii="Times New Roman" w:hAnsi="Times New Roman"/>
          <w:b/>
          <w:szCs w:val="24"/>
        </w:rPr>
        <w:t>1.0.1</w:t>
      </w:r>
      <w:r>
        <w:rPr>
          <w:rFonts w:hint="eastAsia" w:ascii="宋体" w:hAnsi="宋体"/>
          <w:b/>
          <w:szCs w:val="24"/>
        </w:rPr>
        <w:t xml:space="preserve"> </w:t>
      </w:r>
      <w:r>
        <w:rPr>
          <w:rFonts w:hint="eastAsia"/>
          <w:szCs w:val="24"/>
        </w:rPr>
        <w:t>近年来，我省基本建设规模发展迅猛，越来越多的高层建筑和城市基本设施项目需要开挖基坑，尤其是</w:t>
      </w:r>
      <w:r>
        <w:rPr>
          <w:rFonts w:hint="eastAsia" w:ascii="Times New Roman" w:hAnsi="Times New Roman"/>
        </w:rPr>
        <w:t>2005</w:t>
      </w:r>
      <w:r>
        <w:rPr>
          <w:rFonts w:hint="eastAsia"/>
          <w:szCs w:val="24"/>
        </w:rPr>
        <w:t>年以后，开挖规模和深度不断突破，</w:t>
      </w:r>
      <w:r>
        <w:rPr>
          <w:rFonts w:hint="eastAsia"/>
        </w:rPr>
        <w:t>基坑开挖深度</w:t>
      </w:r>
      <w:r>
        <w:rPr>
          <w:rFonts w:hint="eastAsia"/>
          <w:szCs w:val="24"/>
        </w:rPr>
        <w:t>从</w:t>
      </w:r>
      <w:r>
        <w:rPr>
          <w:rFonts w:hint="eastAsia" w:ascii="Times New Roman" w:hAnsi="Times New Roman"/>
          <w:szCs w:val="24"/>
        </w:rPr>
        <w:t>10</w:t>
      </w:r>
      <w:r>
        <w:rPr>
          <w:rFonts w:hint="eastAsia"/>
          <w:szCs w:val="24"/>
        </w:rPr>
        <w:t>米深发展到现在的</w:t>
      </w:r>
      <w:r>
        <w:rPr>
          <w:rFonts w:hint="eastAsia" w:ascii="Times New Roman" w:hAnsi="Times New Roman"/>
          <w:szCs w:val="24"/>
        </w:rPr>
        <w:t>25</w:t>
      </w:r>
      <w:r>
        <w:rPr>
          <w:rFonts w:hint="eastAsia"/>
          <w:szCs w:val="24"/>
        </w:rPr>
        <w:t>米深，我省广大岩土工程工作者针对工程实际解决了大量技术难题，总结了适应我省地质特点的很多方法。</w:t>
      </w:r>
      <w:r>
        <w:rPr>
          <w:rFonts w:hint="eastAsia"/>
        </w:rPr>
        <w:t>建筑基坑的设计施工以往多使用中华人民共和国行业标准《建筑基坑支护技术</w:t>
      </w:r>
      <w:r>
        <w:rPr>
          <w:rFonts w:hint="eastAsia" w:ascii="Times New Roman" w:hAnsi="Times New Roman"/>
          <w:szCs w:val="24"/>
        </w:rPr>
        <w:t>规程</w:t>
      </w:r>
      <w:r>
        <w:rPr>
          <w:rFonts w:hint="eastAsia"/>
        </w:rPr>
        <w:t>》JGJ</w:t>
      </w:r>
      <w:r>
        <w:rPr>
          <w:rFonts w:hint="eastAsia" w:ascii="Times New Roman" w:hAnsi="Times New Roman"/>
        </w:rPr>
        <w:t>120</w:t>
      </w:r>
      <w:r>
        <w:rPr>
          <w:rFonts w:hint="eastAsia"/>
        </w:rPr>
        <w:t>和《建筑基坑工程技术规范》YB</w:t>
      </w:r>
      <w:r>
        <w:rPr>
          <w:rFonts w:hint="eastAsia" w:ascii="Times New Roman" w:hAnsi="Times New Roman"/>
        </w:rPr>
        <w:t>9258</w:t>
      </w:r>
      <w:r>
        <w:rPr>
          <w:rFonts w:hint="eastAsia"/>
        </w:rPr>
        <w:t>。近年来我省基坑科研与工程实践大量增加，通过工程实践积累了不少经验，也汲取了一些基坑工程的事故教训，总结了针对我省地质特点的湿陷性黄土、高水位的饱和黄土、高灵敏度土、液化土、杂填土等有效的设计理念与施工方法。但不合理的设计，低劣的施工质量，不周密的管理造成了基坑工程事故仍时有发生，所以提高设计技术，控制施工质量，加强监管，确保环境安全与工程安全，经济合理是从事基坑工程项目的技术与管理人员应遵守的基本原则。</w:t>
      </w:r>
      <w:r>
        <w:rPr>
          <w:rFonts w:hint="eastAsia"/>
          <w:szCs w:val="24"/>
        </w:rPr>
        <w:t>为规范</w:t>
      </w:r>
      <w:r>
        <w:rPr>
          <w:rFonts w:hint="eastAsia"/>
        </w:rPr>
        <w:t>我省</w:t>
      </w:r>
      <w:r>
        <w:rPr>
          <w:rFonts w:hint="eastAsia"/>
          <w:szCs w:val="24"/>
        </w:rPr>
        <w:t>基坑工程的设计、施工、监测、验收等，编制了本</w:t>
      </w:r>
      <w:r>
        <w:rPr>
          <w:rFonts w:hint="eastAsia"/>
          <w:szCs w:val="24"/>
          <w:lang w:eastAsia="zh-CN"/>
        </w:rPr>
        <w:t>标准</w:t>
      </w:r>
      <w:r>
        <w:rPr>
          <w:rFonts w:hint="eastAsia"/>
          <w:szCs w:val="24"/>
        </w:rPr>
        <w:t>。</w:t>
      </w:r>
      <w:r>
        <w:rPr>
          <w:rFonts w:hint="eastAsia"/>
          <w:szCs w:val="24"/>
          <w:lang w:eastAsia="zh-CN"/>
        </w:rPr>
        <w:t>（</w:t>
      </w:r>
      <w:r>
        <w:rPr>
          <w:rFonts w:hint="eastAsia"/>
          <w:szCs w:val="24"/>
          <w:lang w:val="en-US" w:eastAsia="zh-CN"/>
        </w:rPr>
        <w:t>搜集地铁调研、潇河新城等项目基坑资料</w:t>
      </w:r>
      <w:r>
        <w:rPr>
          <w:rFonts w:hint="eastAsia"/>
          <w:szCs w:val="24"/>
          <w:lang w:eastAsia="zh-CN"/>
        </w:rPr>
        <w:t>）</w:t>
      </w:r>
    </w:p>
    <w:p>
      <w:pPr>
        <w:jc w:val="left"/>
        <w:rPr>
          <w:rFonts w:ascii="Times New Roman" w:hAnsi="Times New Roman"/>
          <w:b/>
          <w:bCs/>
          <w:sz w:val="32"/>
          <w:szCs w:val="32"/>
        </w:rPr>
      </w:pPr>
      <w:bookmarkStart w:id="1081" w:name="_Toc381951636"/>
      <w:bookmarkStart w:id="1082" w:name="_Toc388643480"/>
      <w:bookmarkStart w:id="1083" w:name="_Toc368170529"/>
      <w:bookmarkStart w:id="1084" w:name="_Toc381951441"/>
      <w:bookmarkStart w:id="1085" w:name="_Toc382559943"/>
      <w:bookmarkStart w:id="1086" w:name="_Toc384309895"/>
      <w:bookmarkStart w:id="1087" w:name="_Toc369733248"/>
      <w:bookmarkStart w:id="1088" w:name="_Toc375034031"/>
      <w:bookmarkStart w:id="1089" w:name="_Toc388643597"/>
      <w:bookmarkStart w:id="1090" w:name="_Toc381951057"/>
      <w:bookmarkStart w:id="1091" w:name="_Toc384300175"/>
      <w:bookmarkStart w:id="1092" w:name="_Toc385518876"/>
      <w:bookmarkStart w:id="1093" w:name="_Toc384304403"/>
      <w:bookmarkStart w:id="1094" w:name="_Toc382559781"/>
      <w:bookmarkStart w:id="1095" w:name="_Toc369880227"/>
      <w:bookmarkStart w:id="1096" w:name="_Toc385579358"/>
      <w:bookmarkStart w:id="1097" w:name="_Toc375039732"/>
      <w:bookmarkStart w:id="1098" w:name="_Toc385576973"/>
      <w:bookmarkStart w:id="1099" w:name="_Toc381950795"/>
      <w:bookmarkStart w:id="1100" w:name="_Toc384310116"/>
      <w:bookmarkStart w:id="1101" w:name="_Toc384300323"/>
      <w:r>
        <w:rPr>
          <w:rFonts w:ascii="Times New Roman" w:hAnsi="Times New Roman"/>
        </w:rPr>
        <w:br w:type="page"/>
      </w:r>
    </w:p>
    <w:p>
      <w:pPr>
        <w:pStyle w:val="2"/>
        <w:bidi w:val="0"/>
      </w:pPr>
      <w:bookmarkStart w:id="1102" w:name="_Toc17496"/>
      <w:bookmarkStart w:id="1103" w:name="_Toc803"/>
      <w:bookmarkStart w:id="1104" w:name="_Toc9038"/>
      <w:bookmarkStart w:id="1105" w:name="_Toc23567"/>
      <w:bookmarkStart w:id="1106" w:name="_Toc28287"/>
      <w:r>
        <w:rPr>
          <w:rFonts w:ascii="Times New Roman" w:hAnsi="Times New Roman"/>
        </w:rPr>
        <w:t>3</w:t>
      </w:r>
      <w:r>
        <w:rPr>
          <w:rFonts w:hint="eastAsia"/>
        </w:rPr>
        <w:t xml:space="preserve">  基本规定</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pPr>
        <w:widowControl w:val="0"/>
        <w:spacing w:line="360" w:lineRule="auto"/>
        <w:rPr>
          <w:rFonts w:hint="eastAsia"/>
          <w:lang w:val="en-US" w:eastAsia="zh-CN"/>
        </w:rPr>
      </w:pPr>
      <w:r>
        <w:rPr>
          <w:rFonts w:hint="eastAsia" w:ascii="Times New Roman" w:hAnsi="Times New Roman"/>
          <w:b/>
          <w:szCs w:val="24"/>
        </w:rPr>
        <w:t>3.0.</w:t>
      </w:r>
      <w:r>
        <w:rPr>
          <w:rFonts w:hint="eastAsia" w:ascii="Times New Roman" w:hAnsi="Times New Roman"/>
          <w:b/>
          <w:szCs w:val="24"/>
          <w:lang w:val="en-US" w:eastAsia="zh-CN"/>
        </w:rPr>
        <w:t xml:space="preserve">1 </w:t>
      </w:r>
      <w:r>
        <w:rPr>
          <w:rFonts w:hint="eastAsia"/>
          <w:lang w:val="en-US" w:eastAsia="zh-CN"/>
        </w:rPr>
        <w:t>根据2022年1月1日起实施的工程建设强制性规范《建筑与市政地基基础通用规范》GB55003-2021第2.1.4条第2款，明确基坑工程设计应规定工作年限，且设计工作年限不应小1年。本条将原标准中“设计使用年限”改为“设计工作年限”，此名称是与工程建设强制性规范《工程结构通用规范》GB55001-2021中的用词相统一。基坑支护是为主体结构地下部分施工而采取的临时措施，地下结构施工完成后，基坑支护也就随之完成其作用，由于支护结构的使用期短，因此，设计时采用的荷载通常不考虑长期作用。为了防止工程技术人员忽略由千延长支护结构使用期而带来的荷载、材料性能、基坑周边环境等条件的变化，避免超越设计状况，设计时应确定支护结构的工作年限。支护结构的工作年限不应小于一年，除考虑了主体地下结构施工工期的因素外，也考虑到施工季节对支护结构的影响。</w:t>
      </w:r>
    </w:p>
    <w:p>
      <w:pPr>
        <w:widowControl w:val="0"/>
        <w:spacing w:line="360" w:lineRule="auto"/>
        <w:rPr>
          <w:rFonts w:hint="eastAsia"/>
          <w:lang w:val="en-US" w:eastAsia="zh-CN"/>
        </w:rPr>
      </w:pPr>
      <w:r>
        <w:rPr>
          <w:rFonts w:hint="eastAsia" w:ascii="Times New Roman" w:hAnsi="Times New Roman"/>
          <w:b/>
          <w:szCs w:val="24"/>
        </w:rPr>
        <w:t>3.0.</w:t>
      </w:r>
      <w:r>
        <w:rPr>
          <w:rFonts w:hint="eastAsia" w:ascii="Times New Roman" w:hAnsi="Times New Roman"/>
          <w:b/>
          <w:szCs w:val="24"/>
          <w:lang w:val="en-US" w:eastAsia="zh-CN"/>
        </w:rPr>
        <w:t xml:space="preserve">2 </w:t>
      </w:r>
      <w:r>
        <w:rPr>
          <w:rFonts w:hint="eastAsia"/>
          <w:lang w:val="en-US" w:eastAsia="zh-CN"/>
        </w:rPr>
        <w:t>基坑工程是为保证地面向下开挖形成的地下空间在地下结构施工期间的安全稳定所采取的基坑支护、地下水控制及环境保护等临时性技术措施。因基坑开挖涉及基坑周边环境安全，支护结构除满足主体结构施工要求外，尚需满足基坑周边环境安全要求。因此，基坑支护结构的设计和施工应把保护基坑周边环境安全放在重要位置。</w:t>
      </w:r>
    </w:p>
    <w:p>
      <w:pPr>
        <w:widowControl w:val="0"/>
        <w:spacing w:line="360" w:lineRule="auto"/>
      </w:pPr>
      <w:r>
        <w:rPr>
          <w:rFonts w:hint="eastAsia" w:ascii="Times New Roman" w:hAnsi="Times New Roman"/>
          <w:b/>
          <w:szCs w:val="24"/>
        </w:rPr>
        <w:t>3.0.3～3.0.6</w:t>
      </w:r>
      <w:r>
        <w:rPr>
          <w:rFonts w:hint="eastAsia" w:ascii="宋体" w:hAnsi="宋体"/>
        </w:rPr>
        <w:t xml:space="preserve"> </w:t>
      </w:r>
      <w:r>
        <w:rPr>
          <w:rFonts w:hint="eastAsia"/>
        </w:rPr>
        <w:t>本</w:t>
      </w:r>
      <w:r>
        <w:rPr>
          <w:rFonts w:hint="eastAsia"/>
          <w:lang w:eastAsia="zh-CN"/>
        </w:rPr>
        <w:t>标准</w:t>
      </w:r>
      <w:r>
        <w:rPr>
          <w:rFonts w:hint="eastAsia"/>
        </w:rPr>
        <w:t>依据《工程结构可靠性设计统一标准》GB</w:t>
      </w:r>
      <w:r>
        <w:rPr>
          <w:rFonts w:hint="eastAsia" w:ascii="Times New Roman" w:hAnsi="Times New Roman"/>
        </w:rPr>
        <w:t>50153</w:t>
      </w:r>
      <w:r>
        <w:rPr>
          <w:rFonts w:hint="eastAsia"/>
        </w:rPr>
        <w:t>对结构等级确定的原则，根据破坏后果严重程度以及破坏的可能性大小对安全等级定量化分为三个等级，主要反映在支护结构的重要性系数取值上。</w:t>
      </w:r>
    </w:p>
    <w:p>
      <w:pPr>
        <w:widowControl w:val="0"/>
        <w:spacing w:line="360" w:lineRule="auto"/>
        <w:rPr>
          <w:rFonts w:hint="eastAsia"/>
        </w:rPr>
      </w:pPr>
      <w:r>
        <w:rPr>
          <w:rFonts w:hint="eastAsia" w:ascii="Times New Roman" w:hAnsi="Times New Roman"/>
          <w:b/>
          <w:szCs w:val="24"/>
        </w:rPr>
        <w:t>3.0.1</w:t>
      </w:r>
      <w:r>
        <w:rPr>
          <w:rFonts w:hint="eastAsia" w:ascii="Times New Roman" w:hAnsi="Times New Roman"/>
          <w:b/>
          <w:szCs w:val="24"/>
          <w:lang w:val="en-US" w:eastAsia="zh-CN"/>
        </w:rPr>
        <w:t>1</w:t>
      </w:r>
      <w:r>
        <w:rPr>
          <w:rFonts w:hint="eastAsia" w:ascii="宋体" w:hAnsi="宋体"/>
        </w:rPr>
        <w:t xml:space="preserve"> </w:t>
      </w:r>
      <w:r>
        <w:rPr>
          <w:rFonts w:hint="eastAsia"/>
          <w:lang w:val="en-US" w:eastAsia="zh-CN"/>
        </w:rPr>
        <w:t>本条是结合工程建设强制性规范《建筑与市政地基基础通用规范》GB55003-2021第2.2.5条修改的，进一步规定了基坑工程设计的主要内容，特别是细化了基坑支护设计计算的内容。为确保基坑工程的安全，在基坑支护结构、地下水控制等设计时必须严格执行，确保基坑周围土体的稳定性，不得发生土体的滑动破坏，不得出现流砂、流土、管涌以及支护结构、支撑体系的失稳；支护结构（包括支撑体系或铀杆结构）的强度应满足构件强度和稳定设计的要求；基坑开挖造成的地层移动及地下水位变化引起的地面变形，不得超过基坑周边建（构）筑物、地下设施等的变形允许值，不得损坏工程桩及影响地下结构的正常施工。基坑工程设计应进行地下水控制设计，并对基坑开挖与回填、支护结构施工、基坑工程质量检验、基坑工程监测等提出明确要求，以确保基坑工程及周边环境安全。设计单位应掌握基坑工程施工场地条件，如工程地质条件、水文地质条件，周边建（构）筑物，道路、市政管线等市政设施情况；对基坑工程设计计算结果，设计单位应有专人校审。</w:t>
      </w:r>
    </w:p>
    <w:p>
      <w:pPr>
        <w:widowControl w:val="0"/>
        <w:spacing w:line="360" w:lineRule="auto"/>
      </w:pPr>
      <w:r>
        <w:rPr>
          <w:rFonts w:hint="eastAsia" w:ascii="Times New Roman" w:hAnsi="Times New Roman"/>
          <w:b/>
          <w:szCs w:val="24"/>
        </w:rPr>
        <w:t>3.0.12</w:t>
      </w:r>
      <w:r>
        <w:rPr>
          <w:rFonts w:hint="eastAsia" w:ascii="宋体" w:hAnsi="宋体"/>
        </w:rPr>
        <w:t xml:space="preserve"> </w:t>
      </w:r>
      <w:r>
        <w:rPr>
          <w:rFonts w:hint="eastAsia"/>
          <w:lang w:val="en-US" w:eastAsia="zh-CN"/>
        </w:rPr>
        <w:t>本条是根据住建部《危险性较大的分部分项工程安全管理规定》【2018】37号令、住建部“《危险性较大的分部分项工程安全管理规定》有关问题的通知”（建办质〔2018〕31号文）及山西省《危险性较大的分部分项工程安全管理实施细则》建办质【2019】156号文件的要求进行修改的</w:t>
      </w:r>
      <w:r>
        <w:rPr>
          <w:rFonts w:hint="eastAsia"/>
        </w:rPr>
        <w:t>。</w:t>
      </w:r>
    </w:p>
    <w:p>
      <w:pPr>
        <w:jc w:val="left"/>
        <w:rPr>
          <w:rFonts w:ascii="Times New Roman" w:hAnsi="Times New Roman" w:cs="宋体"/>
          <w:lang w:bidi="ar"/>
        </w:rPr>
      </w:pPr>
      <w:r>
        <w:rPr>
          <w:rFonts w:ascii="Times New Roman" w:hAnsi="Times New Roman" w:cs="宋体"/>
          <w:lang w:bidi="ar"/>
        </w:rPr>
        <w:br w:type="page"/>
      </w:r>
    </w:p>
    <w:p>
      <w:pPr>
        <w:keepNext/>
        <w:keepLines/>
        <w:bidi w:val="0"/>
        <w:spacing w:before="340" w:after="330" w:line="578" w:lineRule="auto"/>
        <w:jc w:val="center"/>
        <w:outlineLvl w:val="0"/>
        <w:rPr>
          <w:rFonts w:ascii="宋体" w:hAnsi="宋体" w:eastAsia="黑体" w:cs="Times New Roman"/>
          <w:b/>
          <w:bCs/>
          <w:kern w:val="44"/>
          <w:sz w:val="44"/>
          <w:szCs w:val="44"/>
          <w:lang w:val="en-US" w:eastAsia="zh-CN" w:bidi="ar-SA"/>
        </w:rPr>
      </w:pPr>
      <w:bookmarkStart w:id="1107" w:name="_Toc393"/>
      <w:bookmarkStart w:id="1108" w:name="_Toc4103"/>
      <w:bookmarkStart w:id="1109" w:name="_Toc12600"/>
      <w:bookmarkStart w:id="1110" w:name="_Toc29631"/>
      <w:bookmarkStart w:id="1111" w:name="_Toc4249"/>
      <w:bookmarkStart w:id="1112" w:name="_Toc21227"/>
      <w:r>
        <w:rPr>
          <w:rFonts w:ascii="Times New Roman" w:hAnsi="Times New Roman" w:eastAsia="黑体" w:cs="Times New Roman"/>
          <w:b/>
          <w:bCs/>
          <w:kern w:val="44"/>
          <w:sz w:val="44"/>
          <w:szCs w:val="44"/>
          <w:lang w:val="en-US" w:eastAsia="zh-CN" w:bidi="ar-SA"/>
        </w:rPr>
        <w:t>4</w:t>
      </w:r>
      <w:r>
        <w:rPr>
          <w:rFonts w:hint="eastAsia" w:ascii="宋体" w:hAnsi="宋体" w:eastAsia="黑体" w:cs="Times New Roman"/>
          <w:b/>
          <w:bCs/>
          <w:kern w:val="44"/>
          <w:sz w:val="44"/>
          <w:szCs w:val="44"/>
          <w:lang w:val="en-US" w:eastAsia="zh-CN" w:bidi="ar-SA"/>
        </w:rPr>
        <w:t xml:space="preserve">  </w:t>
      </w:r>
      <w:r>
        <w:rPr>
          <w:rFonts w:hint="eastAsia" w:ascii="Calibri" w:hAnsi="Calibri" w:eastAsia="黑体" w:cs="Times New Roman"/>
          <w:b/>
          <w:bCs/>
          <w:kern w:val="44"/>
          <w:sz w:val="44"/>
          <w:szCs w:val="44"/>
          <w:lang w:val="en-US" w:eastAsia="zh-CN" w:bidi="ar-SA"/>
        </w:rPr>
        <w:t>岩土勘察</w:t>
      </w:r>
      <w:bookmarkEnd w:id="1107"/>
      <w:bookmarkEnd w:id="1108"/>
      <w:bookmarkEnd w:id="1109"/>
      <w:bookmarkEnd w:id="1110"/>
    </w:p>
    <w:p>
      <w:pPr>
        <w:keepNext/>
        <w:keepLines/>
        <w:bidi w:val="0"/>
        <w:spacing w:line="416" w:lineRule="auto"/>
        <w:jc w:val="center"/>
        <w:outlineLvl w:val="1"/>
        <w:rPr>
          <w:rFonts w:ascii="Cambria" w:hAnsi="Cambria" w:eastAsia="宋体" w:cs="Times New Roman"/>
          <w:b/>
          <w:bCs/>
          <w:kern w:val="2"/>
          <w:sz w:val="32"/>
          <w:szCs w:val="32"/>
          <w:lang w:val="en-US" w:eastAsia="zh-CN" w:bidi="ar-SA"/>
        </w:rPr>
      </w:pPr>
      <w:bookmarkStart w:id="1113" w:name="_Toc31412"/>
      <w:bookmarkStart w:id="1114" w:name="_Toc4756"/>
      <w:bookmarkStart w:id="1115" w:name="_Toc8948"/>
      <w:bookmarkStart w:id="1116" w:name="_Toc4857"/>
      <w:r>
        <w:rPr>
          <w:rFonts w:hint="eastAsia" w:ascii="Cambria" w:hAnsi="Cambria" w:eastAsia="宋体" w:cs="Times New Roman"/>
          <w:b/>
          <w:bCs/>
          <w:kern w:val="2"/>
          <w:sz w:val="32"/>
          <w:szCs w:val="32"/>
          <w:lang w:val="en-US" w:eastAsia="zh-CN" w:bidi="ar-SA"/>
        </w:rPr>
        <w:t>4.1  一般规定</w:t>
      </w:r>
      <w:bookmarkEnd w:id="1113"/>
      <w:bookmarkEnd w:id="1114"/>
      <w:bookmarkEnd w:id="1115"/>
      <w:bookmarkEnd w:id="1116"/>
    </w:p>
    <w:p>
      <w:pPr>
        <w:spacing w:line="480" w:lineRule="exact"/>
        <w:rPr>
          <w:rFonts w:hint="eastAsia" w:ascii="宋体" w:hAnsi="宋体" w:cs="宋体"/>
          <w:szCs w:val="24"/>
        </w:rPr>
      </w:pPr>
      <w:r>
        <w:rPr>
          <w:rFonts w:hint="eastAsia" w:ascii="宋体" w:hAnsi="宋体" w:cs="宋体"/>
          <w:b/>
          <w:szCs w:val="24"/>
        </w:rPr>
        <w:t>4.1.1</w:t>
      </w:r>
      <w:r>
        <w:rPr>
          <w:rFonts w:hint="eastAsia" w:ascii="宋体" w:hAnsi="宋体" w:cs="宋体"/>
          <w:szCs w:val="24"/>
        </w:rPr>
        <w:t xml:space="preserve"> 基坑工程岩土勘察要解决的主要问题和侧重面与一般建筑地基勘察不同，为了使基坑工程岩土勘察工作有的放矢、目标明确，本条对基坑工程岩土勘察应解决的主要问题和评价内容作了相应规定，可满足一般基坑工程的要求，对特殊工程则应进行专门研究。液化土、高灵敏度土，常常因为施工方法或施工工艺选择不当，在基坑工程施工过程中就出现问题甚至事故，本条第5款的规定，就是为基坑工程设计时合理选择施工方法和施工工艺提供依据。</w:t>
      </w:r>
    </w:p>
    <w:p>
      <w:pPr>
        <w:spacing w:line="480" w:lineRule="exact"/>
        <w:ind w:firstLine="480" w:firstLineChars="200"/>
        <w:rPr>
          <w:rFonts w:hint="eastAsia" w:ascii="宋体" w:hAnsi="宋体" w:cs="宋体"/>
          <w:szCs w:val="24"/>
          <w:lang w:val="en-US" w:eastAsia="zh-CN"/>
        </w:rPr>
      </w:pPr>
      <w:r>
        <w:rPr>
          <w:rFonts w:hint="eastAsia" w:ascii="宋体" w:hAnsi="宋体" w:cs="宋体"/>
          <w:szCs w:val="24"/>
          <w:lang w:val="en-US" w:eastAsia="zh-CN"/>
        </w:rPr>
        <w:t>特殊性岩土具有独特的成因、成分、地域分布等特征和特殊的岩土工程特性，如果勘察评价执行不到位、缺乏针对性的工程措施，对工程的安全和正常使用均可能产生危害。本条对拟建工程场地分布有特殊性岩土提出了岩土工程勘察成果的基本要求。当拟建场地遇有湿陷性土、膨胀土、盐渍土、填土、软土等特殊性岩土时，岩土工程勘察成果应有专门的分析评价。</w:t>
      </w:r>
    </w:p>
    <w:p>
      <w:pPr>
        <w:spacing w:line="480" w:lineRule="exact"/>
        <w:rPr>
          <w:rFonts w:ascii="宋体" w:hAnsi="宋体" w:cs="宋体"/>
        </w:rPr>
      </w:pPr>
      <w:r>
        <w:rPr>
          <w:rFonts w:hint="eastAsia" w:ascii="宋体" w:hAnsi="宋体" w:cs="宋体"/>
          <w:b/>
          <w:szCs w:val="24"/>
        </w:rPr>
        <w:t xml:space="preserve">4.1.2～4.1.3 </w:t>
      </w:r>
      <w:r>
        <w:rPr>
          <w:rFonts w:hint="eastAsia" w:ascii="宋体" w:hAnsi="宋体" w:cs="宋体"/>
          <w:szCs w:val="24"/>
        </w:rPr>
        <w:t>考虑到目前多数基坑工程都不单独进行岩土勘察的现状，本条规定基坑工程的岩土勘察一般可与拟建主体建筑的地基勘察同步进行，其勘察报告应同时满足主体建筑和基坑工程的设计要求，并应有基坑工程分析评价的专门章节。但在实际工程中，由于主体建筑和基坑工程的设计很多情况下不是由同一单位承担，在进行拟建主体建筑的地基勘察时，往往基坑工程的设计单位尚未确定，基坑设计对勘察的详细要求无法全面了解，这样的话对一些环境条件复杂、开挖深度和规模较大的基坑工程，与拟建主体建筑同时进行勘察所提供的成果报告，难以完全满足设计需要。因此，当已有勘察资料不能满足基坑工程设计和施工要求时，则应进行补充勘察或针对性专项勘察。</w:t>
      </w:r>
    </w:p>
    <w:p>
      <w:pPr>
        <w:spacing w:line="480" w:lineRule="exact"/>
        <w:rPr>
          <w:rFonts w:ascii="宋体" w:hAnsi="宋体" w:cs="宋体"/>
        </w:rPr>
      </w:pPr>
      <w:r>
        <w:rPr>
          <w:rFonts w:hint="eastAsia" w:ascii="宋体" w:hAnsi="宋体" w:cs="宋体"/>
          <w:b/>
          <w:szCs w:val="24"/>
        </w:rPr>
        <w:t xml:space="preserve">4.1.4 </w:t>
      </w:r>
      <w:r>
        <w:rPr>
          <w:rFonts w:hint="eastAsia" w:ascii="宋体" w:hAnsi="宋体" w:cs="宋体"/>
          <w:szCs w:val="24"/>
        </w:rPr>
        <w:t>本条规定了在进行基坑工程勘察之前应取得或应搜集的一些与基坑有关的基本资料。主要包括能反映拟建建（构）筑物与已有建（构）筑物和地下管线之间关系的相关图纸、拟开挖基坑失稳影响范围内的基本情况、基坑的深度、大小和当地的工程经验等。</w:t>
      </w:r>
    </w:p>
    <w:p>
      <w:pPr>
        <w:spacing w:line="480" w:lineRule="exact"/>
        <w:rPr>
          <w:rFonts w:ascii="宋体" w:hAnsi="宋体" w:cs="宋体"/>
        </w:rPr>
      </w:pPr>
      <w:r>
        <w:rPr>
          <w:rFonts w:hint="eastAsia" w:ascii="宋体" w:hAnsi="宋体" w:cs="宋体"/>
          <w:b/>
          <w:szCs w:val="24"/>
        </w:rPr>
        <w:t xml:space="preserve">4.1.5 </w:t>
      </w:r>
      <w:r>
        <w:rPr>
          <w:rFonts w:hint="eastAsia" w:ascii="宋体" w:hAnsi="宋体" w:cs="宋体"/>
          <w:szCs w:val="24"/>
        </w:rPr>
        <w:t>很多位于边坡附近的基坑工程，由于对边坡的危害及边坡对基坑开挖的不利影响认识不足，从而造成工程事故。为了避免此类事故发生，本条对边坡附近基坑工程的岩土勘察作了相应规定。</w:t>
      </w:r>
    </w:p>
    <w:p>
      <w:pPr>
        <w:spacing w:line="480" w:lineRule="exact"/>
        <w:rPr>
          <w:rFonts w:ascii="宋体" w:hAnsi="宋体" w:cs="宋体"/>
        </w:rPr>
      </w:pPr>
      <w:r>
        <w:rPr>
          <w:rFonts w:hint="eastAsia" w:ascii="宋体" w:hAnsi="宋体" w:cs="宋体"/>
          <w:b/>
          <w:szCs w:val="24"/>
        </w:rPr>
        <w:t>4.1.6</w:t>
      </w:r>
      <w:r>
        <w:rPr>
          <w:rFonts w:hint="eastAsia" w:ascii="宋体" w:hAnsi="宋体" w:cs="宋体"/>
          <w:szCs w:val="24"/>
        </w:rPr>
        <w:t xml:space="preserve"> 根据行业标准《建筑基坑支护技术规程》（JGJ120-2012）及本规范对土、水压力分算、合算方法及土的抗剪强度指标类别的规定，粉土又分为黏质粉土与砂质粉土。为了与此相适应，本条将粉土进一步划分为黏质粉土和砂质粉土，划分界限参照国家标准《城市轨道交通岩土工程勘察规范》（GB50307-2012）及北京、上海、浙江等省市的地方标准确定。</w:t>
      </w:r>
    </w:p>
    <w:p>
      <w:pPr>
        <w:spacing w:line="480" w:lineRule="exact"/>
        <w:ind w:firstLine="528" w:firstLineChars="220"/>
        <w:rPr>
          <w:rFonts w:ascii="宋体" w:hAnsi="宋体" w:cs="宋体"/>
        </w:rPr>
      </w:pPr>
      <w:r>
        <w:rPr>
          <w:rFonts w:hint="eastAsia" w:ascii="宋体" w:hAnsi="宋体" w:cs="宋体"/>
          <w:szCs w:val="24"/>
        </w:rPr>
        <w:t>由于现行国家标准《岩土工程勘察规范》（GB50021-2001）（2009年版）、《建筑地基基础设计规范》（GB50007-2012）及山西省地方标准《建筑地基基础勘察设计规范》（DBJ04-258-2008）均未对粉土进一步划分亚类，而行业标准《建筑基坑支护技术规程》（JGJ120-2012）虽然将粉土进一步划分为黏质粉土和砂质粉土，但并未给出划分界限，鉴于上述原因，本条黏质粉土、砂质粉土的划分界限主要考虑了以下几点：</w:t>
      </w:r>
    </w:p>
    <w:p>
      <w:pPr>
        <w:spacing w:line="480" w:lineRule="exact"/>
        <w:ind w:firstLine="528" w:firstLineChars="220"/>
        <w:rPr>
          <w:rFonts w:ascii="宋体" w:hAnsi="宋体" w:cs="宋体"/>
        </w:rPr>
      </w:pPr>
      <w:r>
        <w:rPr>
          <w:rFonts w:hint="eastAsia" w:ascii="宋体" w:hAnsi="宋体" w:cs="宋体"/>
          <w:szCs w:val="24"/>
        </w:rPr>
        <w:t>1　国家标准《岩土工程勘察规范》（GB50021-2001）（2009年版）、《建筑地基基础设计规范》（GB50007-201</w:t>
      </w:r>
      <w:r>
        <w:rPr>
          <w:rFonts w:hint="eastAsia" w:ascii="宋体" w:hAnsi="宋体" w:cs="宋体"/>
          <w:szCs w:val="24"/>
          <w:lang w:val="en-US" w:eastAsia="zh-CN"/>
        </w:rPr>
        <w:t>1</w:t>
      </w:r>
      <w:r>
        <w:rPr>
          <w:rFonts w:hint="eastAsia" w:ascii="宋体" w:hAnsi="宋体" w:cs="宋体"/>
          <w:szCs w:val="24"/>
        </w:rPr>
        <w:t>）砂土与粉土、黏性土与粉土均分别以粒径大于0.075mm的颗粒质量是否超过50%和塑性指数是否等于或小于10作为划分界限，本条亦按此界限作为粉土的上、下限划分标准；</w:t>
      </w:r>
    </w:p>
    <w:p>
      <w:pPr>
        <w:spacing w:line="480" w:lineRule="exact"/>
        <w:ind w:firstLine="528" w:firstLineChars="220"/>
        <w:rPr>
          <w:rFonts w:ascii="宋体" w:hAnsi="宋体" w:cs="宋体"/>
        </w:rPr>
      </w:pPr>
      <w:r>
        <w:rPr>
          <w:rFonts w:hint="eastAsia" w:ascii="宋体" w:hAnsi="宋体" w:cs="宋体"/>
          <w:szCs w:val="24"/>
        </w:rPr>
        <w:t>2　国家标准《建筑地基基础设计规范》（GB50007-201</w:t>
      </w:r>
      <w:r>
        <w:rPr>
          <w:rFonts w:hint="eastAsia" w:ascii="宋体" w:hAnsi="宋体" w:cs="宋体"/>
          <w:szCs w:val="24"/>
          <w:lang w:val="en-US" w:eastAsia="zh-CN"/>
        </w:rPr>
        <w:t>1</w:t>
      </w:r>
      <w:r>
        <w:rPr>
          <w:rFonts w:hint="eastAsia" w:ascii="宋体" w:hAnsi="宋体" w:cs="宋体"/>
          <w:szCs w:val="24"/>
        </w:rPr>
        <w:t>），虽未将粉土进一步划分为黏质粉土和砂质粉土，但在地基承载力深、宽修正时以黏粒含量（粒径小于0.005mm的颗粒质量）10%为界，分别给出了不同的深、宽修正系数，这说明粉土在黏粒含量大于等于10%与黏粒含量小于10%时工程特性有明显区别，因此本条将黏粒含量10%作为黏质粉土、砂质粉土的主要划分界限；</w:t>
      </w:r>
    </w:p>
    <w:p>
      <w:pPr>
        <w:spacing w:line="480" w:lineRule="exact"/>
        <w:ind w:firstLine="528" w:firstLineChars="220"/>
        <w:rPr>
          <w:rFonts w:ascii="宋体" w:hAnsi="宋体" w:cs="宋体"/>
        </w:rPr>
      </w:pPr>
      <w:r>
        <w:rPr>
          <w:rFonts w:hint="eastAsia" w:ascii="宋体" w:hAnsi="宋体" w:cs="宋体"/>
          <w:szCs w:val="24"/>
        </w:rPr>
        <w:t>3　国家标准《城市轨道交通岩土工程勘察规范》（GB50307-2012）及《北京地区建筑地基基础勘察设计规范》（DBJ11-501-2009），均采用塑性指数划分黏质粉土、砂质粉土，方法简单易行，并减少部分试验工作量，有经验时可以采用。但由于粉土易扰动、水分易析出，液、塑限试验（尤其是I</w:t>
      </w:r>
      <w:r>
        <w:rPr>
          <w:rFonts w:hint="eastAsia" w:ascii="宋体" w:hAnsi="宋体" w:cs="宋体"/>
          <w:szCs w:val="24"/>
          <w:vertAlign w:val="subscript"/>
        </w:rPr>
        <w:t>p</w:t>
      </w:r>
      <w:r>
        <w:rPr>
          <w:rFonts w:hint="eastAsia" w:ascii="宋体" w:hAnsi="宋体" w:cs="宋体"/>
          <w:szCs w:val="24"/>
        </w:rPr>
        <w:t xml:space="preserve">≤10时）准确性难以保证，因此，本条只将塑性指数列为参考指标。 </w:t>
      </w:r>
    </w:p>
    <w:p>
      <w:pPr>
        <w:keepNext/>
        <w:keepLines/>
        <w:bidi w:val="0"/>
        <w:spacing w:line="416" w:lineRule="auto"/>
        <w:jc w:val="center"/>
        <w:outlineLvl w:val="1"/>
        <w:rPr>
          <w:rFonts w:ascii="Cambria" w:hAnsi="Cambria" w:eastAsia="宋体" w:cs="Times New Roman"/>
          <w:b/>
          <w:bCs/>
          <w:kern w:val="2"/>
          <w:sz w:val="32"/>
          <w:szCs w:val="32"/>
          <w:lang w:val="en-US" w:eastAsia="zh-CN" w:bidi="ar-SA"/>
        </w:rPr>
      </w:pPr>
      <w:bookmarkStart w:id="1117" w:name="_Toc5210"/>
      <w:bookmarkStart w:id="1118" w:name="_Toc5010"/>
      <w:bookmarkStart w:id="1119" w:name="_Toc21830"/>
      <w:bookmarkStart w:id="1120" w:name="_Toc6091"/>
      <w:r>
        <w:rPr>
          <w:rFonts w:hint="eastAsia" w:ascii="Cambria" w:hAnsi="Cambria" w:eastAsia="宋体" w:cs="Times New Roman"/>
          <w:b/>
          <w:bCs/>
          <w:kern w:val="2"/>
          <w:sz w:val="32"/>
          <w:szCs w:val="32"/>
          <w:lang w:val="en-US" w:eastAsia="zh-CN" w:bidi="ar-SA"/>
        </w:rPr>
        <w:t>4.2  勘探与测试</w:t>
      </w:r>
      <w:bookmarkEnd w:id="1117"/>
      <w:bookmarkEnd w:id="1118"/>
      <w:bookmarkEnd w:id="1119"/>
      <w:bookmarkEnd w:id="1120"/>
    </w:p>
    <w:p>
      <w:pPr>
        <w:spacing w:line="480" w:lineRule="exact"/>
        <w:rPr>
          <w:rFonts w:ascii="宋体" w:hAnsi="宋体" w:cs="宋体"/>
        </w:rPr>
      </w:pPr>
      <w:r>
        <w:rPr>
          <w:rFonts w:hint="eastAsia" w:ascii="宋体" w:hAnsi="宋体" w:cs="宋体"/>
          <w:b/>
          <w:szCs w:val="24"/>
        </w:rPr>
        <w:t xml:space="preserve">4.2.1 </w:t>
      </w:r>
      <w:r>
        <w:rPr>
          <w:rFonts w:hint="eastAsia" w:ascii="宋体" w:hAnsi="宋体" w:cs="宋体"/>
          <w:color w:val="000000"/>
          <w:szCs w:val="24"/>
        </w:rPr>
        <w:t>基坑失稳范围一般为基坑深度的1倍，因此规定勘探点布置范围不宜小于基坑外1倍基坑开挖深度范围，考虑到支护结构采用土钉、锚杆（索）时，失稳影响范围较大，当支护结构可能采用土钉、锚杆（索）或地形、地貌及地质条件复杂时，根据需要应适当扩大勘探点布置范围。由于深基坑多在城市，各种建筑物密集，</w:t>
      </w:r>
      <w:r>
        <w:rPr>
          <w:rFonts w:hint="eastAsia" w:ascii="宋体" w:hAnsi="宋体" w:cs="宋体"/>
          <w:szCs w:val="24"/>
        </w:rPr>
        <w:t>对所有工程都要求扩大勘察范围的可操作性不强</w:t>
      </w:r>
      <w:r>
        <w:rPr>
          <w:rFonts w:hint="eastAsia" w:ascii="宋体" w:hAnsi="宋体" w:cs="宋体"/>
          <w:color w:val="000000"/>
          <w:szCs w:val="24"/>
        </w:rPr>
        <w:t>，考虑到这一点，本条第2款规定在开挖边界外，无法布置勘探点时，可通过调查和搜集相关</w:t>
      </w:r>
      <w:r>
        <w:rPr>
          <w:rFonts w:hint="eastAsia" w:ascii="宋体" w:hAnsi="宋体" w:cs="宋体"/>
          <w:szCs w:val="24"/>
        </w:rPr>
        <w:t>资料</w:t>
      </w:r>
      <w:r>
        <w:rPr>
          <w:rFonts w:hint="eastAsia" w:ascii="宋体" w:hAnsi="宋体" w:cs="宋体"/>
          <w:color w:val="000000"/>
          <w:szCs w:val="24"/>
        </w:rPr>
        <w:t>并结合基坑范围内勘探结果进行综合分析与评价。本条第3款规定勘探点间距宜为15m</w:t>
      </w:r>
      <w:r>
        <w:rPr>
          <w:rFonts w:hint="eastAsia" w:ascii="宋体" w:hAnsi="宋体" w:cs="宋体"/>
          <w:szCs w:val="24"/>
        </w:rPr>
        <w:t>～</w:t>
      </w:r>
      <w:r>
        <w:rPr>
          <w:rFonts w:hint="eastAsia" w:ascii="宋体" w:hAnsi="宋体" w:cs="宋体"/>
          <w:color w:val="000000"/>
          <w:szCs w:val="24"/>
        </w:rPr>
        <w:t>30m，地层简单时，可取大值；地层较复杂时，可取小值或中值；地层复杂时，可根据情况采用小值或适当加密勘探点。对湿陷性黄土场地，为准确查明湿陷类型和湿陷等级，本条第4款对探井数量作了相应规定。</w:t>
      </w:r>
    </w:p>
    <w:p>
      <w:pPr>
        <w:spacing w:line="480" w:lineRule="exact"/>
        <w:rPr>
          <w:rFonts w:ascii="宋体" w:hAnsi="宋体" w:cs="宋体"/>
        </w:rPr>
      </w:pPr>
      <w:r>
        <w:rPr>
          <w:rFonts w:hint="eastAsia" w:ascii="宋体" w:hAnsi="宋体" w:cs="宋体"/>
          <w:b/>
          <w:szCs w:val="24"/>
        </w:rPr>
        <w:t xml:space="preserve">4.2.2 </w:t>
      </w:r>
      <w:r>
        <w:rPr>
          <w:rFonts w:hint="eastAsia" w:ascii="宋体" w:hAnsi="宋体" w:cs="宋体"/>
          <w:color w:val="000000"/>
          <w:szCs w:val="24"/>
        </w:rPr>
        <w:t>本条规定勘探点深度</w:t>
      </w:r>
      <w:r>
        <w:rPr>
          <w:rFonts w:hint="eastAsia" w:ascii="宋体" w:hAnsi="宋体" w:cs="宋体"/>
          <w:szCs w:val="24"/>
        </w:rPr>
        <w:t>不宜小于基坑深度的2倍～2.5倍，主要是为了满足一般土层条件下支护设计和施工的要求。若为厚层软弱土或坚硬土层时，可适当加深或减小勘探深度。</w:t>
      </w:r>
    </w:p>
    <w:p>
      <w:pPr>
        <w:spacing w:line="480" w:lineRule="exact"/>
        <w:rPr>
          <w:rFonts w:ascii="宋体" w:hAnsi="宋体" w:cs="宋体"/>
          <w:spacing w:val="-2"/>
        </w:rPr>
      </w:pPr>
      <w:r>
        <w:rPr>
          <w:rFonts w:hint="eastAsia" w:ascii="宋体" w:hAnsi="宋体" w:cs="宋体"/>
          <w:b/>
          <w:szCs w:val="24"/>
        </w:rPr>
        <w:t>4.2.3</w:t>
      </w:r>
      <w:r>
        <w:rPr>
          <w:rFonts w:hint="eastAsia" w:ascii="宋体" w:hAnsi="宋体" w:cs="宋体"/>
          <w:szCs w:val="24"/>
        </w:rPr>
        <w:t xml:space="preserve"> </w:t>
      </w:r>
      <w:r>
        <w:rPr>
          <w:rFonts w:hint="eastAsia" w:ascii="宋体" w:hAnsi="宋体" w:cs="宋体"/>
          <w:spacing w:val="-2"/>
          <w:szCs w:val="24"/>
        </w:rPr>
        <w:t>原位测试是岩土勘察不可缺少的重要手段之一，它是在原位的应力条件下对土体进行测试，其测试结果有较好的可靠性和代表性，但原位测试指标确定的岩土设计参数大部分是建立在统计的经验基础上，有很大的地区性和土类的局限性，因此，在选择原位测试方法时应根据岩土条件、设计对参数的要求、地区经验和测试方法的适用性等综合考虑确定。本条针对不同地层规定了相应的原位测试方法，可供勘察时选择。</w:t>
      </w:r>
    </w:p>
    <w:p>
      <w:pPr>
        <w:spacing w:line="480" w:lineRule="exact"/>
        <w:rPr>
          <w:rFonts w:ascii="宋体" w:hAnsi="宋体" w:cs="宋体"/>
        </w:rPr>
      </w:pPr>
      <w:r>
        <w:rPr>
          <w:rFonts w:hint="eastAsia" w:ascii="宋体" w:hAnsi="宋体" w:cs="宋体"/>
          <w:b/>
          <w:szCs w:val="24"/>
        </w:rPr>
        <w:t xml:space="preserve">4.2.5 </w:t>
      </w:r>
      <w:r>
        <w:rPr>
          <w:rFonts w:hint="eastAsia" w:ascii="宋体" w:hAnsi="宋体" w:cs="宋体"/>
          <w:szCs w:val="24"/>
        </w:rPr>
        <w:t>软塑、流塑状态黏性土一般难以取到不扰动土样，为避免土样扰动对灵敏度试验结果的影响，本条</w:t>
      </w:r>
      <w:r>
        <w:rPr>
          <w:rFonts w:hint="eastAsia" w:ascii="宋体" w:hAnsi="宋体" w:cs="宋体"/>
          <w:spacing w:val="-2"/>
          <w:szCs w:val="24"/>
        </w:rPr>
        <w:t>要求</w:t>
      </w:r>
      <w:r>
        <w:rPr>
          <w:rFonts w:hint="eastAsia" w:ascii="宋体" w:hAnsi="宋体" w:cs="宋体"/>
          <w:szCs w:val="24"/>
        </w:rPr>
        <w:t>对软塑、流塑状态的黏性土，一、二级基坑工程宜采用十字板剪切试验测定灵敏度。</w:t>
      </w:r>
    </w:p>
    <w:p>
      <w:pPr>
        <w:spacing w:line="480" w:lineRule="exact"/>
        <w:rPr>
          <w:rFonts w:ascii="宋体" w:hAnsi="宋体" w:cs="宋体"/>
          <w:color w:val="000000"/>
        </w:rPr>
      </w:pPr>
      <w:r>
        <w:rPr>
          <w:rFonts w:hint="eastAsia" w:ascii="宋体" w:hAnsi="宋体" w:cs="宋体"/>
          <w:b/>
          <w:szCs w:val="24"/>
        </w:rPr>
        <w:t xml:space="preserve">4.2.6 </w:t>
      </w:r>
      <w:r>
        <w:rPr>
          <w:rFonts w:hint="eastAsia" w:ascii="宋体" w:hAnsi="宋体" w:cs="宋体"/>
          <w:szCs w:val="24"/>
        </w:rPr>
        <w:t>人工填土尤其杂填土的成分杂乱，物理力学性质及空间分布极不规律，当其厚度较大时，对支护结构的稳定性影响显著，应特别关注</w:t>
      </w:r>
      <w:r>
        <w:rPr>
          <w:rFonts w:hint="eastAsia" w:ascii="宋体" w:hAnsi="宋体" w:cs="宋体"/>
          <w:color w:val="000000"/>
          <w:szCs w:val="24"/>
        </w:rPr>
        <w:t>。因此，厚度大于3.0m的人工填土，勘察时不能只进行简单的地层描述，对粉土、黏性土为主的素填土，应进行标准贯入试验并采取不扰动土样进行相关项目室内试验；对建筑垃圾、生活垃圾或工业</w:t>
      </w:r>
      <w:r>
        <w:rPr>
          <w:rFonts w:hint="eastAsia" w:ascii="宋体" w:hAnsi="宋体" w:cs="宋体"/>
          <w:szCs w:val="24"/>
        </w:rPr>
        <w:t>垃圾</w:t>
      </w:r>
      <w:r>
        <w:rPr>
          <w:rFonts w:hint="eastAsia" w:ascii="宋体" w:hAnsi="宋体" w:cs="宋体"/>
          <w:color w:val="000000"/>
          <w:szCs w:val="24"/>
        </w:rPr>
        <w:t>为主</w:t>
      </w:r>
      <w:r>
        <w:rPr>
          <w:rFonts w:hint="eastAsia" w:ascii="宋体" w:hAnsi="宋体" w:cs="宋体"/>
          <w:szCs w:val="24"/>
        </w:rPr>
        <w:t>的</w:t>
      </w:r>
      <w:r>
        <w:rPr>
          <w:rFonts w:hint="eastAsia" w:ascii="宋体" w:hAnsi="宋体" w:cs="宋体"/>
          <w:color w:val="000000"/>
          <w:szCs w:val="24"/>
        </w:rPr>
        <w:t>杂填土，应进行动力触探试验并根据试验结果结合类似工程综合分析，提供基坑支护设计所需有关岩土参数建议值。必要时杂填土的重度可通过大体积密度试验确定。</w:t>
      </w:r>
    </w:p>
    <w:p>
      <w:pPr>
        <w:spacing w:line="480" w:lineRule="exact"/>
        <w:rPr>
          <w:rFonts w:ascii="宋体" w:hAnsi="宋体" w:cs="宋体"/>
          <w:color w:val="000000"/>
        </w:rPr>
      </w:pPr>
      <w:r>
        <w:rPr>
          <w:rFonts w:hint="eastAsia" w:ascii="宋体" w:hAnsi="宋体" w:cs="宋体"/>
          <w:b/>
          <w:szCs w:val="24"/>
        </w:rPr>
        <w:t>4.2.7</w:t>
      </w:r>
      <w:r>
        <w:rPr>
          <w:rFonts w:hint="eastAsia" w:ascii="宋体" w:hAnsi="宋体" w:cs="宋体"/>
          <w:color w:val="000000"/>
          <w:szCs w:val="24"/>
        </w:rPr>
        <w:t>本条规定的稳定水位间隔时间是至少需要的时间。对临近地表水体的场地，应注意地下水位受地表水动态变化的影响，地下水、地表水水位应同步量测，并注明量测时间。影响基坑工程的多层地下水分层水位（水头）的观测，尤其是承压水压力水头的观测，对基坑工程的设计和施工十分重要，但目前不少勘察人员不重视或忽视此项工作，从而造成勘察资料欠缺，直接影响基坑工程的设计和施工。为避免这种现象发生，本条对此作了明确规定。</w:t>
      </w:r>
    </w:p>
    <w:p>
      <w:pPr>
        <w:spacing w:line="480" w:lineRule="exact"/>
        <w:rPr>
          <w:rFonts w:ascii="宋体" w:hAnsi="宋体" w:cs="宋体"/>
          <w:color w:val="000000"/>
        </w:rPr>
      </w:pPr>
      <w:r>
        <w:rPr>
          <w:rFonts w:hint="eastAsia" w:ascii="宋体" w:hAnsi="宋体" w:cs="宋体"/>
          <w:b/>
          <w:szCs w:val="24"/>
        </w:rPr>
        <w:t>4.2.9</w:t>
      </w:r>
      <w:r>
        <w:rPr>
          <w:rFonts w:hint="eastAsia" w:ascii="宋体" w:hAnsi="宋体" w:cs="宋体"/>
          <w:color w:val="000000"/>
          <w:szCs w:val="24"/>
        </w:rPr>
        <w:t xml:space="preserve"> 对场地水文地质条件复杂或降水深度较大而缺乏工程经验的大型基坑工程，查明场地的水文地质条件至关重要，因为在高水位的粉土、粉砂地层中进行基坑支护设计与施工时，地下水控制措施的成功与否是保证基坑开挖与支护结构安全的关键，室内土工试验提供的渗透系数与实际出入较大，多数情况下难以满足地下水控制设计计算要求，所以本条规定此类工程宜采用现场试验测定有关水文地质参数。</w:t>
      </w:r>
    </w:p>
    <w:p>
      <w:pPr>
        <w:spacing w:line="480" w:lineRule="exact"/>
        <w:ind w:firstLine="480" w:firstLineChars="200"/>
        <w:rPr>
          <w:rFonts w:ascii="宋体" w:hAnsi="宋体" w:cs="宋体"/>
          <w:color w:val="000000"/>
        </w:rPr>
      </w:pPr>
      <w:r>
        <w:rPr>
          <w:rFonts w:hint="eastAsia" w:ascii="宋体" w:hAnsi="宋体" w:cs="宋体"/>
          <w:color w:val="000000"/>
          <w:szCs w:val="24"/>
        </w:rPr>
        <w:t>具体工程勘察中，应根据地层、岩性、透水性和工程重要性等条件，确定水文地质参数测定方法。基坑工程水文地质参数常用测定方法见下表：</w:t>
      </w:r>
    </w:p>
    <w:p>
      <w:pPr>
        <w:spacing w:line="480" w:lineRule="exact"/>
        <w:jc w:val="center"/>
        <w:rPr>
          <w:rFonts w:ascii="宋体" w:hAnsi="宋体" w:cs="宋体"/>
          <w:b/>
        </w:rPr>
      </w:pPr>
      <w:r>
        <w:rPr>
          <w:rFonts w:hint="eastAsia" w:ascii="宋体" w:hAnsi="宋体" w:cs="宋体"/>
          <w:b/>
          <w:szCs w:val="24"/>
        </w:rPr>
        <w:t>水文地质参数测定方法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6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参  数</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水位</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钻孔、探井或测压管观测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渗透系数、导水系数</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抽水试验、提水试验、注水试验、压水试验、室内渗透试验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给水度、释水系数</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单孔抽水试验、非稳定流抽水试验、地下水位长期观测、室内试验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越流系数</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多孔抽水试验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单位吸水率</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注水试验、压水试验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3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毛细水上升高度</w:t>
            </w:r>
          </w:p>
        </w:tc>
        <w:tc>
          <w:tcPr>
            <w:tcW w:w="6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试坑观测、室内试验</w:t>
            </w:r>
          </w:p>
        </w:tc>
      </w:tr>
    </w:tbl>
    <w:p>
      <w:pPr>
        <w:spacing w:line="480" w:lineRule="exact"/>
        <w:ind w:firstLine="480" w:firstLineChars="200"/>
        <w:rPr>
          <w:rFonts w:ascii="宋体" w:hAnsi="宋体" w:cs="宋体"/>
        </w:rPr>
      </w:pPr>
      <w:r>
        <w:rPr>
          <w:rFonts w:hint="eastAsia" w:ascii="宋体" w:hAnsi="宋体" w:cs="宋体"/>
          <w:szCs w:val="24"/>
        </w:rPr>
        <w:t>为了使渗透系数等水文地质参数更接近工程实际情况，重大工程应采用抽水试验、注水试验等现场测试方法确定。一般工程可按室内试验方法并结合场地边界条件和实际工程经验综合分析确定。</w:t>
      </w:r>
    </w:p>
    <w:p>
      <w:pPr>
        <w:spacing w:line="480" w:lineRule="exact"/>
        <w:ind w:firstLine="480" w:firstLineChars="200"/>
        <w:rPr>
          <w:rFonts w:ascii="宋体" w:hAnsi="宋体" w:cs="宋体"/>
        </w:rPr>
      </w:pPr>
      <w:r>
        <w:rPr>
          <w:rFonts w:hint="eastAsia" w:ascii="宋体" w:hAnsi="宋体" w:cs="宋体"/>
          <w:color w:val="000000"/>
          <w:szCs w:val="24"/>
        </w:rPr>
        <w:t>水文地质现场试验工作，周期较长，费用较高，试验工作布置、试验方法选择的是否合理，都将直接影响试验数据的准确性和试验费用，因此，为了保证试验数据准确、试验工作布置及试验方法选择合理，现场进行</w:t>
      </w:r>
      <w:r>
        <w:rPr>
          <w:rFonts w:hint="eastAsia" w:ascii="宋体" w:hAnsi="宋体" w:cs="宋体"/>
          <w:szCs w:val="24"/>
        </w:rPr>
        <w:t>抽水试验、注水试验时，宜符合下列规定：</w:t>
      </w:r>
    </w:p>
    <w:p>
      <w:pPr>
        <w:spacing w:line="480" w:lineRule="exact"/>
        <w:ind w:firstLine="480" w:firstLineChars="200"/>
        <w:rPr>
          <w:rFonts w:ascii="宋体" w:hAnsi="宋体" w:cs="宋体"/>
        </w:rPr>
      </w:pPr>
      <w:r>
        <w:rPr>
          <w:rFonts w:hint="eastAsia" w:ascii="宋体" w:hAnsi="宋体" w:cs="宋体"/>
          <w:color w:val="000000"/>
          <w:szCs w:val="24"/>
        </w:rPr>
        <w:t>⑴ 抽水试验和注水试验布置</w:t>
      </w:r>
    </w:p>
    <w:p>
      <w:pPr>
        <w:spacing w:line="480" w:lineRule="exact"/>
        <w:ind w:firstLine="480" w:firstLineChars="200"/>
        <w:rPr>
          <w:rFonts w:ascii="宋体" w:hAnsi="宋体" w:cs="宋体"/>
          <w:color w:val="000000"/>
        </w:rPr>
      </w:pPr>
      <w:r>
        <w:rPr>
          <w:rFonts w:hint="eastAsia" w:ascii="宋体" w:hAnsi="宋体" w:cs="宋体"/>
          <w:color w:val="000000"/>
          <w:szCs w:val="24"/>
        </w:rPr>
        <w:t>① 试验应布置在不同地貌单元、不同含水层（组）且富水性较强的地段；</w:t>
      </w:r>
    </w:p>
    <w:p>
      <w:pPr>
        <w:spacing w:line="480" w:lineRule="exact"/>
        <w:ind w:firstLine="480" w:firstLineChars="200"/>
        <w:rPr>
          <w:rFonts w:ascii="宋体" w:hAnsi="宋体" w:cs="宋体"/>
          <w:color w:val="000000"/>
        </w:rPr>
      </w:pPr>
      <w:r>
        <w:rPr>
          <w:rFonts w:hint="eastAsia" w:ascii="宋体" w:hAnsi="宋体" w:cs="宋体"/>
          <w:color w:val="000000"/>
          <w:szCs w:val="24"/>
        </w:rPr>
        <w:t>② 在需人工降低地下水位的区段布置试验孔；</w:t>
      </w:r>
    </w:p>
    <w:p>
      <w:pPr>
        <w:spacing w:line="480" w:lineRule="exact"/>
        <w:ind w:firstLine="480" w:firstLineChars="200"/>
        <w:rPr>
          <w:rFonts w:ascii="宋体" w:hAnsi="宋体" w:cs="宋体"/>
          <w:color w:val="000000"/>
        </w:rPr>
      </w:pPr>
      <w:r>
        <w:rPr>
          <w:rFonts w:hint="eastAsia" w:ascii="宋体" w:hAnsi="宋体" w:cs="宋体"/>
          <w:color w:val="000000"/>
          <w:szCs w:val="24"/>
        </w:rPr>
        <w:t>③ 抽水试验的观测孔宜垂直或平行地下水流向；</w:t>
      </w:r>
    </w:p>
    <w:p>
      <w:pPr>
        <w:spacing w:line="480" w:lineRule="exact"/>
        <w:ind w:firstLine="480" w:firstLineChars="200"/>
        <w:rPr>
          <w:rFonts w:ascii="宋体" w:hAnsi="宋体" w:cs="宋体"/>
          <w:color w:val="000000"/>
        </w:rPr>
      </w:pPr>
      <w:r>
        <w:rPr>
          <w:rFonts w:hint="eastAsia" w:ascii="宋体" w:hAnsi="宋体" w:cs="宋体"/>
          <w:color w:val="000000"/>
          <w:szCs w:val="24"/>
        </w:rPr>
        <w:t>④ 在含水构造复杂且富水性较强的地段分层或分段进行抽水试验；对潜水与承压水应分别进行抽水试验。</w:t>
      </w:r>
    </w:p>
    <w:p>
      <w:pPr>
        <w:tabs>
          <w:tab w:val="left" w:pos="3435"/>
        </w:tabs>
        <w:spacing w:line="480" w:lineRule="exact"/>
        <w:ind w:firstLine="480" w:firstLineChars="200"/>
        <w:rPr>
          <w:rFonts w:ascii="宋体" w:hAnsi="宋体" w:cs="宋体"/>
          <w:color w:val="000000"/>
        </w:rPr>
      </w:pPr>
      <w:r>
        <w:rPr>
          <w:rFonts w:hint="eastAsia" w:ascii="宋体" w:hAnsi="宋体" w:cs="宋体"/>
          <w:color w:val="000000"/>
          <w:szCs w:val="24"/>
        </w:rPr>
        <w:t>⑵ 抽水试验</w:t>
      </w:r>
      <w:r>
        <w:rPr>
          <w:rFonts w:hint="eastAsia" w:ascii="宋体" w:hAnsi="宋体" w:cs="宋体"/>
          <w:color w:val="000000"/>
          <w:szCs w:val="24"/>
        </w:rPr>
        <w:tab/>
      </w:r>
    </w:p>
    <w:p>
      <w:pPr>
        <w:tabs>
          <w:tab w:val="left" w:pos="426"/>
        </w:tabs>
        <w:spacing w:line="480" w:lineRule="exact"/>
        <w:ind w:left="240" w:leftChars="100" w:firstLine="240" w:firstLineChars="100"/>
        <w:rPr>
          <w:rFonts w:ascii="宋体" w:hAnsi="宋体" w:cs="宋体"/>
          <w:color w:val="000000"/>
        </w:rPr>
      </w:pPr>
      <w:r>
        <w:rPr>
          <w:rFonts w:hint="eastAsia" w:ascii="宋体" w:hAnsi="宋体" w:cs="宋体"/>
          <w:color w:val="000000"/>
          <w:szCs w:val="24"/>
        </w:rPr>
        <w:t>① 抽水试验方法可参考下表确定：</w:t>
      </w:r>
    </w:p>
    <w:p>
      <w:pPr>
        <w:spacing w:line="480" w:lineRule="exact"/>
        <w:ind w:left="600"/>
        <w:jc w:val="center"/>
        <w:rPr>
          <w:rFonts w:ascii="宋体" w:hAnsi="宋体" w:cs="宋体"/>
          <w:b/>
          <w:color w:val="000000"/>
        </w:rPr>
      </w:pPr>
      <w:r>
        <w:rPr>
          <w:rFonts w:hint="eastAsia" w:ascii="宋体" w:hAnsi="宋体" w:cs="宋体"/>
          <w:b/>
          <w:color w:val="000000"/>
          <w:szCs w:val="24"/>
        </w:rPr>
        <w:t>抽水试验方法和应用范围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0"/>
        <w:gridCol w:w="3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试验方法</w:t>
            </w:r>
          </w:p>
        </w:tc>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应用范围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钻孔或探井简易抽水</w:t>
            </w:r>
          </w:p>
        </w:tc>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粗略估算弱透水层的渗透系数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不带观测孔抽水</w:t>
            </w:r>
          </w:p>
        </w:tc>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初步测定含水层的渗透系数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带观测孔抽水</w:t>
            </w:r>
          </w:p>
        </w:tc>
        <w:tc>
          <w:tcPr>
            <w:tcW w:w="3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r>
              <w:rPr>
                <w:rFonts w:hint="eastAsia" w:ascii="宋体" w:hAnsi="宋体" w:cs="宋体"/>
                <w:szCs w:val="24"/>
              </w:rPr>
              <w:t>较准确测定含水层的各种参数</w:t>
            </w:r>
          </w:p>
        </w:tc>
      </w:tr>
    </w:tbl>
    <w:p>
      <w:pPr>
        <w:tabs>
          <w:tab w:val="left" w:pos="426"/>
        </w:tabs>
        <w:spacing w:line="480" w:lineRule="exact"/>
        <w:rPr>
          <w:rFonts w:ascii="宋体" w:hAnsi="宋体" w:cs="宋体"/>
          <w:color w:val="000000"/>
        </w:rPr>
      </w:pPr>
      <w:r>
        <w:rPr>
          <w:rFonts w:hint="eastAsia" w:ascii="宋体" w:hAnsi="宋体" w:cs="宋体"/>
          <w:color w:val="000000"/>
          <w:szCs w:val="24"/>
        </w:rPr>
        <w:t xml:space="preserve">    ② 抽水试验孔井结构与施工降水使用的要近于一致，试验水位宜采用3次降深，最大降深应接近工程设计所需的地下水位降深的标高；</w:t>
      </w:r>
    </w:p>
    <w:p>
      <w:pPr>
        <w:spacing w:line="480" w:lineRule="exact"/>
        <w:ind w:left="283" w:leftChars="118" w:firstLine="141" w:firstLineChars="59"/>
        <w:rPr>
          <w:rFonts w:ascii="宋体" w:hAnsi="宋体" w:cs="宋体"/>
          <w:color w:val="000000"/>
        </w:rPr>
      </w:pPr>
      <w:r>
        <w:rPr>
          <w:rFonts w:hint="eastAsia" w:ascii="宋体" w:hAnsi="宋体" w:cs="宋体"/>
          <w:color w:val="000000"/>
          <w:szCs w:val="24"/>
        </w:rPr>
        <w:t>③ 水位量测应采用同一方法与仪器、读数单位对抽水孔为厘米，对观测孔为毫米；</w:t>
      </w:r>
    </w:p>
    <w:p>
      <w:pPr>
        <w:tabs>
          <w:tab w:val="left" w:pos="426"/>
        </w:tabs>
        <w:spacing w:line="480" w:lineRule="exact"/>
        <w:ind w:firstLine="424" w:firstLineChars="177"/>
        <w:rPr>
          <w:rFonts w:ascii="宋体" w:hAnsi="宋体" w:cs="宋体"/>
          <w:color w:val="000000"/>
        </w:rPr>
      </w:pPr>
      <w:r>
        <w:rPr>
          <w:rFonts w:hint="eastAsia" w:ascii="宋体" w:hAnsi="宋体" w:cs="宋体"/>
          <w:color w:val="000000"/>
          <w:szCs w:val="24"/>
        </w:rPr>
        <w:t>④ 当涌水量与时间关系曲线和动水位与时间关系曲线在一定的范围内波动，而没有持续上升或下降时，可认为已经稳定。稳定水位的延续时间</w:t>
      </w:r>
      <w:r>
        <w:rPr>
          <w:rFonts w:hint="eastAsia" w:ascii="宋体" w:hAnsi="宋体" w:cs="宋体"/>
          <w:szCs w:val="24"/>
        </w:rPr>
        <w:t>：</w:t>
      </w:r>
      <w:r>
        <w:rPr>
          <w:rFonts w:hint="eastAsia" w:ascii="宋体" w:hAnsi="宋体" w:cs="宋体"/>
          <w:color w:val="000000"/>
          <w:szCs w:val="24"/>
        </w:rPr>
        <w:t>卵石、</w:t>
      </w:r>
      <w:r>
        <w:rPr>
          <w:rFonts w:hint="eastAsia" w:ascii="宋体" w:hAnsi="宋体" w:cs="宋体"/>
          <w:szCs w:val="24"/>
        </w:rPr>
        <w:t>圆</w:t>
      </w:r>
      <w:r>
        <w:rPr>
          <w:rFonts w:hint="eastAsia" w:ascii="宋体" w:hAnsi="宋体" w:cs="宋体"/>
          <w:color w:val="000000"/>
          <w:szCs w:val="24"/>
        </w:rPr>
        <w:t>砾和粗砂含水层为8h，中砂、细砂和粉砂含水层为16h，基岩含水层（带)为24h；</w:t>
      </w:r>
    </w:p>
    <w:p>
      <w:pPr>
        <w:spacing w:line="480" w:lineRule="exact"/>
        <w:ind w:left="-204" w:leftChars="-85" w:firstLine="628" w:firstLineChars="262"/>
        <w:rPr>
          <w:rFonts w:ascii="宋体" w:hAnsi="宋体" w:cs="宋体"/>
          <w:color w:val="000000"/>
        </w:rPr>
      </w:pPr>
      <w:r>
        <w:rPr>
          <w:rFonts w:hint="eastAsia" w:ascii="宋体" w:hAnsi="宋体" w:cs="宋体"/>
          <w:color w:val="000000"/>
          <w:szCs w:val="24"/>
        </w:rPr>
        <w:t>⑤ 抽水试验应同时观测水位和水量，抽水结束后应量测恢复水位。</w:t>
      </w:r>
    </w:p>
    <w:p>
      <w:pPr>
        <w:spacing w:line="480" w:lineRule="exact"/>
        <w:ind w:left="-204" w:leftChars="-85" w:firstLine="600" w:firstLineChars="250"/>
        <w:rPr>
          <w:rFonts w:ascii="宋体" w:hAnsi="宋体" w:cs="宋体"/>
          <w:color w:val="000000"/>
        </w:rPr>
      </w:pPr>
      <w:r>
        <w:rPr>
          <w:rFonts w:hint="eastAsia" w:ascii="宋体" w:hAnsi="宋体" w:cs="宋体"/>
          <w:color w:val="000000"/>
          <w:szCs w:val="24"/>
        </w:rPr>
        <w:t>⑶ 注水试验可在试坑或钻孔中进行，注水稳定时间宜为4h</w:t>
      </w:r>
      <w:r>
        <w:rPr>
          <w:rFonts w:hint="eastAsia" w:ascii="宋体" w:hAnsi="宋体" w:cs="宋体"/>
          <w:szCs w:val="24"/>
        </w:rPr>
        <w:t>～</w:t>
      </w:r>
      <w:r>
        <w:rPr>
          <w:rFonts w:hint="eastAsia" w:ascii="宋体" w:hAnsi="宋体" w:cs="宋体"/>
          <w:color w:val="000000"/>
          <w:szCs w:val="24"/>
        </w:rPr>
        <w:t>6h。</w:t>
      </w:r>
    </w:p>
    <w:p>
      <w:pPr>
        <w:spacing w:line="480" w:lineRule="exact"/>
        <w:ind w:left="-178"/>
        <w:rPr>
          <w:rFonts w:ascii="宋体" w:hAnsi="宋体" w:cs="宋体"/>
        </w:rPr>
      </w:pPr>
      <w:r>
        <w:rPr>
          <w:rFonts w:hint="eastAsia" w:ascii="宋体" w:hAnsi="宋体" w:cs="宋体"/>
          <w:b/>
          <w:szCs w:val="24"/>
        </w:rPr>
        <w:t xml:space="preserve">4.2.10 </w:t>
      </w:r>
      <w:r>
        <w:rPr>
          <w:rFonts w:hint="eastAsia" w:ascii="宋体" w:hAnsi="宋体" w:cs="宋体"/>
          <w:color w:val="000000"/>
          <w:szCs w:val="24"/>
        </w:rPr>
        <w:t>为防止地表水沿勘探孔下渗或承压水沿勘探孔上升，从而给基坑开挖施工带来不良影响，</w:t>
      </w:r>
      <w:r>
        <w:rPr>
          <w:rFonts w:hint="eastAsia" w:ascii="宋体" w:hAnsi="宋体" w:cs="宋体"/>
          <w:szCs w:val="24"/>
        </w:rPr>
        <w:t>本条规定勘探工作结束后，应及时按要求夯实回填勘探孔。</w:t>
      </w:r>
    </w:p>
    <w:p>
      <w:pPr>
        <w:spacing w:line="480" w:lineRule="exact"/>
        <w:ind w:left="-178"/>
        <w:rPr>
          <w:rFonts w:ascii="宋体" w:hAnsi="宋体" w:cs="宋体"/>
          <w:color w:val="000000"/>
          <w:spacing w:val="-4"/>
        </w:rPr>
      </w:pPr>
      <w:r>
        <w:rPr>
          <w:rFonts w:hint="eastAsia" w:ascii="宋体" w:hAnsi="宋体" w:cs="宋体"/>
          <w:b/>
          <w:szCs w:val="24"/>
        </w:rPr>
        <w:t xml:space="preserve">4.2.11 </w:t>
      </w:r>
      <w:r>
        <w:rPr>
          <w:rFonts w:hint="eastAsia" w:ascii="宋体" w:hAnsi="宋体" w:cs="宋体"/>
          <w:color w:val="000000"/>
          <w:spacing w:val="-4"/>
          <w:szCs w:val="24"/>
        </w:rPr>
        <w:t>限于场地条件，城市中多数基坑工程无法按要求在基坑外一定范围布置勘探点，相应勘察资料只能通过调查取得。因此本条强调基坑周边环境条件调查宜作为专项勘察工作进行，并对调查范围和调查内容作了具体规定。当已有资料不能满足基坑工程设计和施工要求时，本条第三款规定，可采用坑探或物探等方法查明基坑周边环境及地质条件。</w:t>
      </w:r>
    </w:p>
    <w:p>
      <w:pPr>
        <w:keepNext/>
        <w:keepLines/>
        <w:bidi w:val="0"/>
        <w:spacing w:line="416" w:lineRule="auto"/>
        <w:jc w:val="center"/>
        <w:outlineLvl w:val="1"/>
        <w:rPr>
          <w:rFonts w:ascii="Cambria" w:hAnsi="Cambria" w:eastAsia="宋体" w:cs="Times New Roman"/>
          <w:b/>
          <w:bCs/>
          <w:kern w:val="2"/>
          <w:sz w:val="32"/>
          <w:szCs w:val="32"/>
          <w:lang w:val="en-US" w:eastAsia="zh-CN" w:bidi="ar-SA"/>
        </w:rPr>
      </w:pPr>
      <w:bookmarkStart w:id="1121" w:name="_Toc1125"/>
      <w:bookmarkStart w:id="1122" w:name="_Toc21943"/>
      <w:bookmarkStart w:id="1123" w:name="_Toc13747"/>
      <w:bookmarkStart w:id="1124" w:name="_Toc30116"/>
      <w:r>
        <w:rPr>
          <w:rFonts w:hint="eastAsia" w:ascii="Cambria" w:hAnsi="Cambria" w:eastAsia="宋体" w:cs="Times New Roman"/>
          <w:b/>
          <w:bCs/>
          <w:kern w:val="2"/>
          <w:sz w:val="32"/>
          <w:szCs w:val="32"/>
          <w:lang w:val="en-US" w:eastAsia="zh-CN" w:bidi="ar-SA"/>
        </w:rPr>
        <w:t>4.3  室内试验</w:t>
      </w:r>
      <w:bookmarkEnd w:id="1121"/>
      <w:bookmarkEnd w:id="1122"/>
      <w:bookmarkEnd w:id="1123"/>
      <w:bookmarkEnd w:id="1124"/>
    </w:p>
    <w:p>
      <w:pPr>
        <w:spacing w:line="480" w:lineRule="exact"/>
        <w:ind w:left="-178"/>
        <w:rPr>
          <w:rFonts w:hint="eastAsia" w:ascii="宋体" w:hAnsi="宋体" w:cs="宋体"/>
          <w:color w:val="000000"/>
          <w:szCs w:val="24"/>
        </w:rPr>
      </w:pPr>
      <w:r>
        <w:rPr>
          <w:rFonts w:hint="eastAsia" w:ascii="宋体" w:hAnsi="宋体" w:cs="宋体"/>
          <w:b/>
          <w:szCs w:val="24"/>
        </w:rPr>
        <w:t xml:space="preserve">4.3.1 </w:t>
      </w:r>
      <w:r>
        <w:rPr>
          <w:rFonts w:hint="eastAsia" w:ascii="宋体" w:hAnsi="宋体" w:cs="宋体"/>
          <w:color w:val="000000"/>
          <w:szCs w:val="24"/>
        </w:rPr>
        <w:t>本条1</w:t>
      </w:r>
      <w:r>
        <w:rPr>
          <w:rFonts w:hint="eastAsia" w:ascii="宋体" w:hAnsi="宋体" w:cs="宋体"/>
          <w:szCs w:val="24"/>
        </w:rPr>
        <w:t>～</w:t>
      </w:r>
      <w:r>
        <w:rPr>
          <w:rFonts w:hint="eastAsia" w:ascii="宋体" w:hAnsi="宋体" w:cs="宋体"/>
          <w:color w:val="000000"/>
          <w:szCs w:val="24"/>
        </w:rPr>
        <w:t>3款是基坑岩土勘察中最基本的试验项目，一般工程都应进行。为避免不同方法造成试验结果的差异，液、</w:t>
      </w:r>
      <w:r>
        <w:rPr>
          <w:rFonts w:hint="eastAsia" w:ascii="宋体" w:hAnsi="宋体" w:cs="宋体"/>
          <w:szCs w:val="24"/>
        </w:rPr>
        <w:t>塑限试验宜采用联</w:t>
      </w:r>
      <w:r>
        <w:rPr>
          <w:rFonts w:hint="eastAsia" w:ascii="宋体" w:hAnsi="宋体" w:cs="宋体"/>
          <w:color w:val="000000"/>
          <w:szCs w:val="24"/>
        </w:rPr>
        <w:t>合测定法。对土</w:t>
      </w:r>
      <w:r>
        <w:rPr>
          <w:rFonts w:hint="eastAsia" w:ascii="宋体" w:hAnsi="宋体" w:cs="宋体"/>
          <w:szCs w:val="24"/>
        </w:rPr>
        <w:t>粒</w:t>
      </w:r>
      <w:r>
        <w:rPr>
          <w:rFonts w:hint="eastAsia" w:ascii="宋体" w:hAnsi="宋体" w:cs="宋体"/>
          <w:color w:val="000000"/>
          <w:szCs w:val="24"/>
        </w:rPr>
        <w:t>比重</w:t>
      </w:r>
      <w:r>
        <w:rPr>
          <w:rFonts w:hint="eastAsia" w:ascii="宋体" w:hAnsi="宋体" w:cs="宋体"/>
          <w:szCs w:val="24"/>
        </w:rPr>
        <w:t>（土粒相对密度）</w:t>
      </w:r>
      <w:r>
        <w:rPr>
          <w:rFonts w:hint="eastAsia" w:ascii="宋体" w:hAnsi="宋体" w:cs="宋体"/>
          <w:color w:val="000000"/>
          <w:szCs w:val="24"/>
        </w:rPr>
        <w:t>试验，由于其变化幅度不大，目前多数试验室都不进行此项试验，而是根据经验确定，这样做与实际结果误差不大，一般情况下是可行的。第</w:t>
      </w:r>
      <w:r>
        <w:rPr>
          <w:rFonts w:hint="eastAsia" w:ascii="宋体" w:hAnsi="宋体" w:cs="宋体"/>
          <w:color w:val="000000"/>
          <w:szCs w:val="24"/>
          <w:lang w:val="en-US" w:eastAsia="zh-CN"/>
        </w:rPr>
        <w:t>5</w:t>
      </w:r>
      <w:r>
        <w:rPr>
          <w:rFonts w:hint="eastAsia" w:ascii="宋体" w:hAnsi="宋体" w:cs="宋体"/>
          <w:szCs w:val="24"/>
        </w:rPr>
        <w:t>～</w:t>
      </w:r>
      <w:r>
        <w:rPr>
          <w:rFonts w:hint="eastAsia" w:ascii="宋体" w:hAnsi="宋体" w:cs="宋体"/>
          <w:color w:val="000000"/>
          <w:szCs w:val="24"/>
          <w:lang w:val="en-US" w:eastAsia="zh-CN"/>
        </w:rPr>
        <w:t>10</w:t>
      </w:r>
      <w:r>
        <w:rPr>
          <w:rFonts w:hint="eastAsia" w:ascii="宋体" w:hAnsi="宋体" w:cs="宋体"/>
          <w:color w:val="000000"/>
          <w:szCs w:val="24"/>
        </w:rPr>
        <w:t>款主要是针对一些特殊性岩土室内试验项目的要求和规定，基坑岩土勘察中遇到此类岩土时，均应进行这些项目的试验。</w:t>
      </w:r>
    </w:p>
    <w:p>
      <w:pPr>
        <w:spacing w:line="480" w:lineRule="exact"/>
        <w:ind w:left="-178" w:firstLine="480" w:firstLineChars="200"/>
        <w:rPr>
          <w:rFonts w:hint="eastAsia" w:ascii="宋体" w:hAnsi="宋体" w:cs="宋体"/>
          <w:color w:val="auto"/>
          <w:szCs w:val="24"/>
        </w:rPr>
      </w:pPr>
      <w:r>
        <w:rPr>
          <w:rFonts w:hint="eastAsia" w:ascii="宋体" w:hAnsi="宋体" w:cs="宋体"/>
          <w:color w:val="auto"/>
          <w:szCs w:val="24"/>
        </w:rPr>
        <w:t>我省是</w:t>
      </w:r>
      <w:r>
        <w:rPr>
          <w:rFonts w:hint="eastAsia" w:ascii="宋体" w:hAnsi="宋体" w:cs="宋体"/>
          <w:color w:val="auto"/>
          <w:szCs w:val="24"/>
          <w:lang w:eastAsia="zh-CN"/>
        </w:rPr>
        <w:t>全</w:t>
      </w:r>
      <w:r>
        <w:rPr>
          <w:rFonts w:hint="eastAsia" w:ascii="宋体" w:hAnsi="宋体" w:cs="宋体"/>
          <w:color w:val="auto"/>
          <w:szCs w:val="24"/>
        </w:rPr>
        <w:t>国黄土集中连续分布的主要地区之一</w:t>
      </w:r>
      <w:r>
        <w:rPr>
          <w:rFonts w:hint="eastAsia" w:ascii="宋体" w:hAnsi="宋体" w:cs="宋体"/>
          <w:color w:val="auto"/>
          <w:szCs w:val="24"/>
          <w:lang w:eastAsia="zh-CN"/>
        </w:rPr>
        <w:t>，省内黄土普遍具有湿陷性。</w:t>
      </w:r>
    </w:p>
    <w:p>
      <w:pPr>
        <w:spacing w:line="480" w:lineRule="exact"/>
        <w:ind w:left="-178" w:firstLine="480" w:firstLineChars="200"/>
        <w:rPr>
          <w:rFonts w:hint="eastAsia" w:ascii="宋体" w:hAnsi="宋体" w:cs="宋体"/>
          <w:color w:val="auto"/>
          <w:szCs w:val="24"/>
        </w:rPr>
      </w:pPr>
      <w:r>
        <w:rPr>
          <w:rFonts w:hint="eastAsia" w:ascii="宋体" w:hAnsi="宋体" w:cs="宋体"/>
          <w:color w:val="auto"/>
          <w:szCs w:val="24"/>
          <w:lang w:eastAsia="zh-CN"/>
        </w:rPr>
        <w:t>我</w:t>
      </w:r>
      <w:r>
        <w:rPr>
          <w:rFonts w:hint="eastAsia" w:ascii="宋体" w:hAnsi="宋体" w:cs="宋体"/>
          <w:color w:val="auto"/>
          <w:szCs w:val="24"/>
        </w:rPr>
        <w:t>省的</w:t>
      </w:r>
      <w:r>
        <w:rPr>
          <w:rFonts w:hint="eastAsia" w:ascii="宋体" w:hAnsi="宋体" w:cs="宋体"/>
          <w:color w:val="auto"/>
          <w:szCs w:val="24"/>
          <w:lang w:eastAsia="zh-CN"/>
        </w:rPr>
        <w:t>盐渍</w:t>
      </w:r>
      <w:r>
        <w:rPr>
          <w:rFonts w:hint="eastAsia" w:ascii="宋体" w:hAnsi="宋体" w:cs="宋体"/>
          <w:color w:val="auto"/>
          <w:szCs w:val="24"/>
        </w:rPr>
        <w:t>土主要分布</w:t>
      </w:r>
      <w:r>
        <w:rPr>
          <w:rFonts w:hint="eastAsia" w:ascii="宋体" w:hAnsi="宋体" w:cs="宋体"/>
          <w:color w:val="auto"/>
          <w:szCs w:val="24"/>
          <w:lang w:eastAsia="zh-CN"/>
        </w:rPr>
        <w:t>于运城、大同、朔州一带</w:t>
      </w:r>
      <w:r>
        <w:rPr>
          <w:rFonts w:hint="eastAsia" w:ascii="宋体" w:hAnsi="宋体" w:cs="宋体"/>
          <w:color w:val="auto"/>
          <w:szCs w:val="24"/>
        </w:rPr>
        <w:t>。</w:t>
      </w:r>
    </w:p>
    <w:p>
      <w:pPr>
        <w:spacing w:line="480" w:lineRule="exact"/>
        <w:ind w:left="-178" w:firstLine="480" w:firstLineChars="200"/>
        <w:rPr>
          <w:rFonts w:ascii="宋体" w:hAnsi="宋体" w:cs="宋体"/>
          <w:color w:val="auto"/>
        </w:rPr>
      </w:pPr>
      <w:r>
        <w:rPr>
          <w:rFonts w:hint="eastAsia" w:ascii="宋体" w:hAnsi="宋体" w:cs="宋体"/>
          <w:color w:val="auto"/>
          <w:szCs w:val="24"/>
          <w:lang w:eastAsia="zh-CN"/>
        </w:rPr>
        <w:t>我省的膨胀岩土主要分布于阳泉、长治、晋城一带。</w:t>
      </w:r>
    </w:p>
    <w:p>
      <w:pPr>
        <w:spacing w:line="480" w:lineRule="exact"/>
        <w:ind w:left="-178"/>
        <w:rPr>
          <w:rFonts w:ascii="宋体" w:hAnsi="宋体" w:cs="宋体"/>
          <w:color w:val="000000"/>
        </w:rPr>
      </w:pPr>
      <w:r>
        <w:rPr>
          <w:rFonts w:hint="eastAsia" w:ascii="宋体" w:hAnsi="宋体" w:cs="宋体"/>
          <w:b/>
          <w:szCs w:val="24"/>
        </w:rPr>
        <w:t xml:space="preserve">4.3.2 </w:t>
      </w:r>
      <w:r>
        <w:rPr>
          <w:rFonts w:hint="eastAsia" w:ascii="宋体" w:hAnsi="宋体" w:cs="宋体"/>
          <w:color w:val="000000"/>
          <w:szCs w:val="24"/>
        </w:rPr>
        <w:t>渗透是液体在多孔介质中运动的现象，渗透系数是表达这一现象的定量指标，由于影响渗透系数的因素十分复杂，目前室内和现场各种方法测定的渗透系数往往差别很大，这主要是边界条件不同所致</w:t>
      </w:r>
      <w:r>
        <w:rPr>
          <w:rFonts w:hint="eastAsia" w:ascii="宋体" w:hAnsi="宋体" w:cs="宋体"/>
          <w:szCs w:val="24"/>
        </w:rPr>
        <w:t>。</w:t>
      </w:r>
      <w:r>
        <w:rPr>
          <w:rFonts w:hint="eastAsia" w:ascii="宋体" w:hAnsi="宋体" w:cs="宋体"/>
          <w:color w:val="000000"/>
          <w:szCs w:val="24"/>
        </w:rPr>
        <w:t>为避免因渗透系数确定不合理，从而造成降水设计和渗透分析计算的失误，有条件时，宜通过现场试验确定渗透系数，对室内试验确定的渗透系数应根据不同边界条件并结合实际工程经验进行适当修正后使用。</w:t>
      </w:r>
    </w:p>
    <w:p>
      <w:pPr>
        <w:spacing w:line="480" w:lineRule="exact"/>
        <w:ind w:left="-178" w:firstLine="480" w:firstLineChars="200"/>
        <w:rPr>
          <w:rFonts w:ascii="宋体" w:hAnsi="宋体" w:cs="宋体"/>
          <w:color w:val="000000"/>
        </w:rPr>
      </w:pPr>
      <w:r>
        <w:rPr>
          <w:rFonts w:hint="eastAsia" w:ascii="宋体" w:hAnsi="宋体" w:cs="宋体"/>
          <w:color w:val="000000"/>
          <w:szCs w:val="24"/>
        </w:rPr>
        <w:t>室内测定土的渗透系数，对不同的土应选用不同的试验方法，常水头试验适用于砂土；变水头试验适用于粉土和黏性土；对透水性很差的软土可通过固结试验测定固结系数、体积压缩系数来计算渗透系数。</w:t>
      </w:r>
    </w:p>
    <w:p>
      <w:pPr>
        <w:spacing w:line="480" w:lineRule="exact"/>
        <w:ind w:left="-178"/>
        <w:rPr>
          <w:rFonts w:ascii="宋体" w:hAnsi="宋体" w:cs="宋体"/>
          <w:color w:val="000000"/>
        </w:rPr>
      </w:pPr>
      <w:r>
        <w:rPr>
          <w:rFonts w:hint="eastAsia" w:ascii="宋体" w:hAnsi="宋体" w:cs="宋体"/>
          <w:b/>
          <w:szCs w:val="24"/>
        </w:rPr>
        <w:t>4.3.4</w:t>
      </w:r>
      <w:r>
        <w:rPr>
          <w:rFonts w:hint="eastAsia" w:ascii="宋体" w:hAnsi="宋体" w:cs="宋体"/>
          <w:b/>
          <w:color w:val="000000"/>
          <w:szCs w:val="24"/>
        </w:rPr>
        <w:t xml:space="preserve"> </w:t>
      </w:r>
      <w:r>
        <w:rPr>
          <w:rFonts w:hint="eastAsia" w:ascii="宋体" w:hAnsi="宋体" w:cs="宋体"/>
          <w:color w:val="000000"/>
          <w:szCs w:val="24"/>
        </w:rPr>
        <w:t>土的抗剪强度指标随排水、固结条件及试验方法的不同有多种类型的参数，不同试验方法做出的抗剪强度指标结果差异很大，计算和验算时不能任意取用，应采用与基坑开挖过程土中孔隙水的排水和应力路径基本一致的试验方法得到的指标。根据行业标准</w:t>
      </w:r>
      <w:r>
        <w:rPr>
          <w:rFonts w:hint="eastAsia" w:ascii="宋体" w:hAnsi="宋体" w:cs="宋体"/>
          <w:szCs w:val="24"/>
        </w:rPr>
        <w:t>《建筑基坑支护技术规程》</w:t>
      </w:r>
      <w:r>
        <w:rPr>
          <w:rFonts w:hint="eastAsia" w:ascii="宋体" w:hAnsi="宋体" w:cs="宋体"/>
          <w:color w:val="000000"/>
          <w:szCs w:val="24"/>
        </w:rPr>
        <w:t>（JGJ120-2012）及本规范对土、水压力分算、合算方法及土的抗剪强度指标类别的规定，本条表4.3.4对土的抗剪强度指标的试验方法作了相应规定。</w:t>
      </w:r>
    </w:p>
    <w:p>
      <w:pPr>
        <w:spacing w:line="480" w:lineRule="exact"/>
        <w:ind w:left="-178" w:firstLine="480" w:firstLineChars="200"/>
        <w:rPr>
          <w:rFonts w:ascii="宋体" w:hAnsi="宋体" w:cs="宋体"/>
          <w:color w:val="000000"/>
        </w:rPr>
      </w:pPr>
      <w:r>
        <w:rPr>
          <w:rFonts w:hint="eastAsia" w:ascii="宋体" w:hAnsi="宋体" w:cs="宋体"/>
          <w:color w:val="000000"/>
          <w:szCs w:val="24"/>
        </w:rPr>
        <w:t>鉴于三轴剪切试验力学概念明确，能够控制排水状态，故土的抗剪强度试验宜优先考虑采用三轴剪切试验方法。但三轴试验无论设备、取样、试样制备、操作及计算都比直剪试验复杂的多，就目前我省各勘察单位的试验设备及取样和试验水平的实际状况来看，要求所有工程都进行三轴剪切试验还不太现实，直剪试验将会与三轴剪切试验并存，短时间内不会被三轴剪切试验完全取代。因此，根据我省实际情况，本规范采用了上述两种试验方法均可选用的处理办法。但从发展的角度，应提倡使用三轴剪切试验强度指标，并与已有成熟应用经验的直剪试验指标进行对比。无论采用哪种试验方法，试验时均应根据土的性质，使排水条件、加荷速率等，尽可能与工程实际一致。</w:t>
      </w:r>
    </w:p>
    <w:p>
      <w:pPr>
        <w:spacing w:line="480" w:lineRule="exact"/>
        <w:ind w:left="-178" w:firstLine="481" w:firstLineChars="200"/>
        <w:rPr>
          <w:rFonts w:ascii="宋体" w:hAnsi="宋体" w:cs="宋体"/>
          <w:color w:val="000000"/>
        </w:rPr>
      </w:pPr>
      <w:r>
        <w:rPr>
          <w:rFonts w:hint="eastAsia" w:ascii="宋体" w:hAnsi="宋体" w:cs="宋体"/>
          <w:b/>
          <w:szCs w:val="24"/>
        </w:rPr>
        <w:t>4.3.5</w:t>
      </w:r>
      <w:r>
        <w:rPr>
          <w:rFonts w:hint="eastAsia" w:ascii="宋体" w:hAnsi="宋体" w:cs="宋体"/>
          <w:color w:val="000000"/>
          <w:szCs w:val="24"/>
        </w:rPr>
        <w:t>对湿陷性黄土基坑，行业标准</w:t>
      </w:r>
      <w:r>
        <w:rPr>
          <w:rFonts w:hint="eastAsia" w:ascii="宋体" w:hAnsi="宋体" w:cs="宋体"/>
          <w:szCs w:val="24"/>
        </w:rPr>
        <w:t>《湿陷性黄土地区建筑基坑工程安全技术规程》</w:t>
      </w:r>
      <w:r>
        <w:rPr>
          <w:rFonts w:hint="eastAsia" w:ascii="宋体" w:hAnsi="宋体" w:cs="宋体"/>
          <w:color w:val="000000"/>
          <w:szCs w:val="24"/>
        </w:rPr>
        <w:t>（JGJ167-2009）强制性条文3.1.5条规定： “对安全等级为一级且易于受水浸湿的坑壁以及永久性坑壁，设计中应采用天然状态下的土性参数进行稳定和变形计算，并应采用饱和状态（s</w:t>
      </w:r>
      <w:r>
        <w:rPr>
          <w:rFonts w:hint="eastAsia" w:ascii="宋体" w:hAnsi="宋体" w:cs="宋体"/>
          <w:color w:val="000000"/>
          <w:szCs w:val="24"/>
          <w:vertAlign w:val="subscript"/>
        </w:rPr>
        <w:t>r</w:t>
      </w:r>
      <w:r>
        <w:rPr>
          <w:rFonts w:hint="eastAsia" w:ascii="宋体" w:hAnsi="宋体" w:cs="宋体"/>
          <w:color w:val="000000"/>
          <w:szCs w:val="24"/>
        </w:rPr>
        <w:t>＝85％）条件下的参数进行校核；校核时其安全系数不应小于 1.05</w:t>
      </w:r>
      <w:r>
        <w:rPr>
          <w:rFonts w:hint="eastAsia" w:ascii="宋体" w:hAnsi="宋体" w:cs="宋体"/>
          <w:szCs w:val="24"/>
        </w:rPr>
        <w:t>”。</w:t>
      </w:r>
      <w:r>
        <w:rPr>
          <w:rFonts w:hint="eastAsia" w:ascii="宋体" w:hAnsi="宋体" w:cs="宋体"/>
          <w:color w:val="000000"/>
          <w:szCs w:val="24"/>
        </w:rPr>
        <w:t>为满足湿陷性黄土基坑支护设计计算及校核需要，本条对安全等级为一级、且受水浸湿可能性较大的自重湿陷性黄土场地的基坑工程，提出了应同时测定天然状态及饱和状态下抗剪强度指标的试验要求。对安全等级为二、三级的湿陷性黄土基坑工程，不作统一规定，是否进行饱和状态下抗剪强度指标的试验，可根据受水浸湿的机率和具体设计要求确定。</w:t>
      </w:r>
    </w:p>
    <w:p>
      <w:pPr>
        <w:keepNext/>
        <w:keepLines/>
        <w:bidi w:val="0"/>
        <w:spacing w:line="416" w:lineRule="auto"/>
        <w:jc w:val="center"/>
        <w:outlineLvl w:val="1"/>
        <w:rPr>
          <w:rFonts w:ascii="Cambria" w:hAnsi="Cambria" w:eastAsia="宋体" w:cs="Times New Roman"/>
          <w:b/>
          <w:bCs/>
          <w:kern w:val="2"/>
          <w:sz w:val="32"/>
          <w:szCs w:val="32"/>
          <w:lang w:val="en-US" w:eastAsia="zh-CN" w:bidi="ar-SA"/>
        </w:rPr>
      </w:pPr>
      <w:bookmarkStart w:id="1125" w:name="_Toc25280"/>
      <w:bookmarkStart w:id="1126" w:name="_Toc4009"/>
      <w:bookmarkStart w:id="1127" w:name="_Toc25501"/>
      <w:bookmarkStart w:id="1128" w:name="_Toc17646"/>
      <w:r>
        <w:rPr>
          <w:rFonts w:hint="eastAsia" w:ascii="Cambria" w:hAnsi="Cambria" w:eastAsia="宋体" w:cs="Times New Roman"/>
          <w:b/>
          <w:bCs/>
          <w:kern w:val="2"/>
          <w:sz w:val="32"/>
          <w:szCs w:val="32"/>
          <w:lang w:val="en-US" w:eastAsia="zh-CN" w:bidi="ar-SA"/>
        </w:rPr>
        <w:t>4.4  勘察成果</w:t>
      </w:r>
      <w:bookmarkEnd w:id="1125"/>
      <w:bookmarkEnd w:id="1126"/>
      <w:bookmarkEnd w:id="1127"/>
      <w:bookmarkEnd w:id="1128"/>
    </w:p>
    <w:p>
      <w:pPr>
        <w:spacing w:line="480" w:lineRule="exact"/>
        <w:ind w:left="-178"/>
        <w:rPr>
          <w:rFonts w:ascii="宋体" w:hAnsi="宋体" w:cs="宋体"/>
          <w:color w:val="000000"/>
        </w:rPr>
      </w:pPr>
      <w:r>
        <w:rPr>
          <w:rFonts w:hint="eastAsia" w:ascii="宋体" w:hAnsi="宋体" w:cs="宋体"/>
          <w:b/>
          <w:szCs w:val="24"/>
        </w:rPr>
        <w:t>4.4.1</w:t>
      </w:r>
      <w:r>
        <w:rPr>
          <w:rFonts w:hint="eastAsia" w:ascii="宋体" w:hAnsi="宋体" w:cs="宋体"/>
          <w:color w:val="000000"/>
          <w:szCs w:val="24"/>
        </w:rPr>
        <w:t xml:space="preserve"> 岩土的物理力学性质指标是基坑设计和施工的重要参数，基坑安全等级不同，在参数的确定和指标的选取上可以有不同的方法。由于抗剪强度测试方法不同，指标的变异性和离散性都有较大差异，从指标的适用性、可靠性以及基坑工程的安全性考虑，不论基坑安全等级如何，设计和施</w:t>
      </w:r>
      <w:r>
        <w:rPr>
          <w:rFonts w:hint="eastAsia" w:ascii="宋体" w:hAnsi="宋体" w:cs="宋体"/>
          <w:szCs w:val="24"/>
        </w:rPr>
        <w:t>工所需岩土参数，都应选用精</w:t>
      </w:r>
      <w:r>
        <w:rPr>
          <w:rFonts w:hint="eastAsia" w:ascii="宋体" w:hAnsi="宋体" w:cs="宋体"/>
          <w:color w:val="000000"/>
          <w:szCs w:val="24"/>
        </w:rPr>
        <w:t>确的统计方法。</w:t>
      </w:r>
    </w:p>
    <w:p>
      <w:pPr>
        <w:spacing w:line="480" w:lineRule="exact"/>
        <w:ind w:left="-178" w:firstLine="482"/>
        <w:rPr>
          <w:rFonts w:ascii="宋体" w:hAnsi="宋体" w:cs="宋体"/>
          <w:color w:val="000000"/>
        </w:rPr>
      </w:pPr>
      <w:r>
        <w:rPr>
          <w:rFonts w:hint="eastAsia" w:ascii="宋体" w:hAnsi="宋体" w:cs="宋体"/>
          <w:color w:val="000000"/>
          <w:szCs w:val="24"/>
        </w:rPr>
        <w:t>基坑工程需提供的岩</w:t>
      </w:r>
      <w:r>
        <w:rPr>
          <w:rFonts w:hint="eastAsia" w:ascii="宋体" w:hAnsi="宋体" w:cs="宋体"/>
          <w:szCs w:val="24"/>
        </w:rPr>
        <w:t>土</w:t>
      </w:r>
      <w:r>
        <w:rPr>
          <w:rFonts w:hint="eastAsia" w:ascii="宋体" w:hAnsi="宋体" w:cs="宋体"/>
          <w:color w:val="000000"/>
          <w:szCs w:val="24"/>
        </w:rPr>
        <w:t>参数可参考下表选择：</w:t>
      </w:r>
    </w:p>
    <w:p>
      <w:pPr>
        <w:spacing w:line="480" w:lineRule="exact"/>
        <w:jc w:val="center"/>
        <w:rPr>
          <w:rFonts w:ascii="宋体" w:hAnsi="宋体" w:cs="宋体"/>
          <w:b/>
        </w:rPr>
      </w:pPr>
      <w:r>
        <w:rPr>
          <w:rFonts w:hint="eastAsia" w:ascii="宋体" w:hAnsi="宋体" w:cs="宋体"/>
          <w:b/>
          <w:szCs w:val="24"/>
        </w:rPr>
        <w:t>基坑工程岩土参数选择表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56"/>
        <w:gridCol w:w="531"/>
        <w:gridCol w:w="531"/>
        <w:gridCol w:w="532"/>
        <w:gridCol w:w="643"/>
        <w:gridCol w:w="643"/>
        <w:gridCol w:w="643"/>
        <w:gridCol w:w="533"/>
        <w:gridCol w:w="851"/>
        <w:gridCol w:w="850"/>
        <w:gridCol w:w="533"/>
        <w:gridCol w:w="533"/>
        <w:gridCol w:w="851"/>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exact"/>
          <w:jc w:val="center"/>
        </w:trPr>
        <w:tc>
          <w:tcPr>
            <w:tcW w:w="1248"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开挖施</w:t>
            </w:r>
          </w:p>
          <w:p>
            <w:pPr>
              <w:spacing w:line="240" w:lineRule="exact"/>
              <w:jc w:val="center"/>
              <w:rPr>
                <w:rFonts w:ascii="宋体" w:hAnsi="宋体" w:cs="宋体"/>
                <w:sz w:val="21"/>
                <w:szCs w:val="21"/>
              </w:rPr>
            </w:pPr>
            <w:r>
              <w:rPr>
                <w:rFonts w:hint="eastAsia" w:ascii="宋体" w:hAnsi="宋体" w:cs="宋体"/>
                <w:sz w:val="21"/>
                <w:szCs w:val="21"/>
              </w:rPr>
              <w:t>工方法</w:t>
            </w:r>
          </w:p>
        </w:tc>
        <w:tc>
          <w:tcPr>
            <w:tcW w:w="53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重</w:t>
            </w:r>
          </w:p>
          <w:p>
            <w:pPr>
              <w:spacing w:line="240" w:lineRule="exact"/>
              <w:jc w:val="center"/>
              <w:rPr>
                <w:rFonts w:ascii="宋体" w:hAnsi="宋体" w:cs="宋体"/>
                <w:sz w:val="21"/>
                <w:szCs w:val="21"/>
              </w:rPr>
            </w:pPr>
            <w:r>
              <w:rPr>
                <w:rFonts w:hint="eastAsia" w:ascii="宋体" w:hAnsi="宋体" w:cs="宋体"/>
                <w:sz w:val="21"/>
                <w:szCs w:val="21"/>
              </w:rPr>
              <w:t>度</w:t>
            </w:r>
          </w:p>
        </w:tc>
        <w:tc>
          <w:tcPr>
            <w:tcW w:w="53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黏</w:t>
            </w:r>
          </w:p>
          <w:p>
            <w:pPr>
              <w:spacing w:line="240" w:lineRule="exact"/>
              <w:ind w:left="120"/>
              <w:jc w:val="center"/>
              <w:rPr>
                <w:rFonts w:ascii="宋体" w:hAnsi="宋体" w:cs="宋体"/>
                <w:sz w:val="21"/>
                <w:szCs w:val="21"/>
              </w:rPr>
            </w:pPr>
            <w:r>
              <w:rPr>
                <w:rFonts w:hint="eastAsia" w:ascii="宋体" w:hAnsi="宋体" w:cs="宋体"/>
                <w:sz w:val="21"/>
                <w:szCs w:val="21"/>
              </w:rPr>
              <w:t>聚</w:t>
            </w:r>
          </w:p>
          <w:p>
            <w:pPr>
              <w:spacing w:line="240" w:lineRule="exact"/>
              <w:ind w:left="120"/>
              <w:jc w:val="center"/>
              <w:rPr>
                <w:rFonts w:ascii="宋体" w:hAnsi="宋体" w:cs="宋体"/>
                <w:sz w:val="21"/>
                <w:szCs w:val="21"/>
              </w:rPr>
            </w:pPr>
            <w:r>
              <w:rPr>
                <w:rFonts w:hint="eastAsia" w:ascii="宋体" w:hAnsi="宋体" w:cs="宋体"/>
                <w:sz w:val="21"/>
                <w:szCs w:val="21"/>
              </w:rPr>
              <w:t>力</w:t>
            </w:r>
          </w:p>
        </w:tc>
        <w:tc>
          <w:tcPr>
            <w:tcW w:w="53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内</w:t>
            </w:r>
          </w:p>
          <w:p>
            <w:pPr>
              <w:spacing w:line="240" w:lineRule="exact"/>
              <w:jc w:val="center"/>
              <w:rPr>
                <w:rFonts w:ascii="宋体" w:hAnsi="宋体" w:cs="宋体"/>
                <w:sz w:val="21"/>
                <w:szCs w:val="21"/>
              </w:rPr>
            </w:pPr>
            <w:r>
              <w:rPr>
                <w:rFonts w:hint="eastAsia" w:ascii="宋体" w:hAnsi="宋体" w:cs="宋体"/>
                <w:sz w:val="21"/>
                <w:szCs w:val="21"/>
              </w:rPr>
              <w:t>摩</w:t>
            </w:r>
          </w:p>
          <w:p>
            <w:pPr>
              <w:spacing w:line="240" w:lineRule="exact"/>
              <w:jc w:val="center"/>
              <w:rPr>
                <w:rFonts w:ascii="宋体" w:hAnsi="宋体" w:cs="宋体"/>
                <w:sz w:val="21"/>
                <w:szCs w:val="21"/>
              </w:rPr>
            </w:pPr>
            <w:r>
              <w:rPr>
                <w:rFonts w:hint="eastAsia" w:ascii="宋体" w:hAnsi="宋体" w:cs="宋体"/>
                <w:sz w:val="21"/>
                <w:szCs w:val="21"/>
              </w:rPr>
              <w:t>擦</w:t>
            </w:r>
          </w:p>
          <w:p>
            <w:pPr>
              <w:spacing w:line="240" w:lineRule="exact"/>
              <w:jc w:val="center"/>
              <w:rPr>
                <w:rFonts w:ascii="宋体" w:hAnsi="宋体" w:cs="宋体"/>
                <w:sz w:val="21"/>
                <w:szCs w:val="21"/>
              </w:rPr>
            </w:pPr>
            <w:r>
              <w:rPr>
                <w:rFonts w:hint="eastAsia" w:ascii="宋体" w:hAnsi="宋体" w:cs="宋体"/>
                <w:sz w:val="21"/>
                <w:szCs w:val="21"/>
              </w:rPr>
              <w:t>角</w:t>
            </w:r>
          </w:p>
        </w:tc>
        <w:tc>
          <w:tcPr>
            <w:tcW w:w="6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静止</w:t>
            </w:r>
          </w:p>
          <w:p>
            <w:pPr>
              <w:spacing w:line="240" w:lineRule="exact"/>
              <w:jc w:val="center"/>
              <w:rPr>
                <w:rFonts w:ascii="宋体" w:hAnsi="宋体" w:cs="宋体"/>
                <w:sz w:val="21"/>
                <w:szCs w:val="21"/>
              </w:rPr>
            </w:pPr>
            <w:r>
              <w:rPr>
                <w:rFonts w:hint="eastAsia" w:ascii="宋体" w:hAnsi="宋体" w:cs="宋体"/>
                <w:sz w:val="21"/>
                <w:szCs w:val="21"/>
              </w:rPr>
              <w:t>侧压</w:t>
            </w:r>
          </w:p>
          <w:p>
            <w:pPr>
              <w:spacing w:line="240" w:lineRule="exact"/>
              <w:jc w:val="center"/>
              <w:rPr>
                <w:rFonts w:ascii="宋体" w:hAnsi="宋体" w:cs="宋体"/>
                <w:sz w:val="21"/>
                <w:szCs w:val="21"/>
              </w:rPr>
            </w:pPr>
            <w:r>
              <w:rPr>
                <w:rFonts w:hint="eastAsia" w:ascii="宋体" w:hAnsi="宋体" w:cs="宋体"/>
                <w:sz w:val="21"/>
                <w:szCs w:val="21"/>
              </w:rPr>
              <w:t>力系数</w:t>
            </w:r>
          </w:p>
        </w:tc>
        <w:tc>
          <w:tcPr>
            <w:tcW w:w="6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无侧限抗压强度</w:t>
            </w:r>
          </w:p>
        </w:tc>
        <w:tc>
          <w:tcPr>
            <w:tcW w:w="6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十字板剪切强度</w:t>
            </w:r>
          </w:p>
        </w:tc>
        <w:tc>
          <w:tcPr>
            <w:tcW w:w="5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基</w:t>
            </w:r>
          </w:p>
          <w:p>
            <w:pPr>
              <w:spacing w:line="240" w:lineRule="exact"/>
              <w:jc w:val="center"/>
              <w:rPr>
                <w:rFonts w:ascii="宋体" w:hAnsi="宋体" w:cs="宋体"/>
                <w:sz w:val="21"/>
                <w:szCs w:val="21"/>
              </w:rPr>
            </w:pPr>
            <w:r>
              <w:rPr>
                <w:rFonts w:hint="eastAsia" w:ascii="宋体" w:hAnsi="宋体" w:cs="宋体"/>
                <w:sz w:val="21"/>
                <w:szCs w:val="21"/>
              </w:rPr>
              <w:t>床</w:t>
            </w:r>
          </w:p>
          <w:p>
            <w:pPr>
              <w:spacing w:line="240" w:lineRule="exact"/>
              <w:jc w:val="center"/>
              <w:rPr>
                <w:rFonts w:ascii="宋体" w:hAnsi="宋体" w:cs="宋体"/>
                <w:sz w:val="21"/>
                <w:szCs w:val="21"/>
              </w:rPr>
            </w:pPr>
            <w:r>
              <w:rPr>
                <w:rFonts w:hint="eastAsia" w:ascii="宋体" w:hAnsi="宋体" w:cs="宋体"/>
                <w:sz w:val="21"/>
                <w:szCs w:val="21"/>
              </w:rPr>
              <w:t>系</w:t>
            </w:r>
          </w:p>
          <w:p>
            <w:pPr>
              <w:spacing w:line="240" w:lineRule="exact"/>
              <w:jc w:val="center"/>
              <w:rPr>
                <w:rFonts w:ascii="宋体" w:hAnsi="宋体" w:cs="宋体"/>
                <w:sz w:val="21"/>
                <w:szCs w:val="21"/>
              </w:rPr>
            </w:pPr>
            <w:r>
              <w:rPr>
                <w:rFonts w:hint="eastAsia" w:ascii="宋体" w:hAnsi="宋体" w:cs="宋体"/>
                <w:sz w:val="21"/>
                <w:szCs w:val="21"/>
              </w:rPr>
              <w:t>数</w:t>
            </w:r>
          </w:p>
        </w:tc>
        <w:tc>
          <w:tcPr>
            <w:tcW w:w="8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水平抗力系数</w:t>
            </w:r>
          </w:p>
          <w:p>
            <w:pPr>
              <w:spacing w:line="240" w:lineRule="exact"/>
              <w:jc w:val="center"/>
              <w:rPr>
                <w:rFonts w:ascii="宋体" w:hAnsi="宋体" w:cs="宋体"/>
                <w:sz w:val="21"/>
                <w:szCs w:val="21"/>
              </w:rPr>
            </w:pPr>
            <w:r>
              <w:rPr>
                <w:rFonts w:hint="eastAsia" w:ascii="宋体" w:hAnsi="宋体" w:cs="宋体"/>
                <w:sz w:val="21"/>
                <w:szCs w:val="21"/>
              </w:rPr>
              <w:t>的比例</w:t>
            </w:r>
          </w:p>
          <w:p>
            <w:pPr>
              <w:spacing w:line="240" w:lineRule="exact"/>
              <w:jc w:val="center"/>
              <w:rPr>
                <w:rFonts w:ascii="宋体" w:hAnsi="宋体" w:cs="宋体"/>
                <w:sz w:val="21"/>
                <w:szCs w:val="21"/>
              </w:rPr>
            </w:pPr>
            <w:r>
              <w:rPr>
                <w:rFonts w:hint="eastAsia" w:ascii="宋体" w:hAnsi="宋体" w:cs="宋体"/>
                <w:sz w:val="21"/>
                <w:szCs w:val="21"/>
              </w:rPr>
              <w:t>系数</w:t>
            </w:r>
          </w:p>
        </w:tc>
        <w:tc>
          <w:tcPr>
            <w:tcW w:w="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回弹及回弹再</w:t>
            </w:r>
          </w:p>
          <w:p>
            <w:pPr>
              <w:spacing w:line="240" w:lineRule="exact"/>
              <w:jc w:val="center"/>
              <w:rPr>
                <w:rFonts w:ascii="宋体" w:hAnsi="宋体" w:cs="宋体"/>
                <w:sz w:val="21"/>
                <w:szCs w:val="21"/>
              </w:rPr>
            </w:pPr>
            <w:r>
              <w:rPr>
                <w:rFonts w:hint="eastAsia" w:ascii="宋体" w:hAnsi="宋体" w:cs="宋体"/>
                <w:sz w:val="21"/>
                <w:szCs w:val="21"/>
              </w:rPr>
              <w:t>压缩模量</w:t>
            </w:r>
          </w:p>
        </w:tc>
        <w:tc>
          <w:tcPr>
            <w:tcW w:w="5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弹</w:t>
            </w:r>
          </w:p>
          <w:p>
            <w:pPr>
              <w:spacing w:line="240" w:lineRule="exact"/>
              <w:jc w:val="center"/>
              <w:rPr>
                <w:rFonts w:ascii="宋体" w:hAnsi="宋体" w:cs="宋体"/>
                <w:sz w:val="21"/>
                <w:szCs w:val="21"/>
              </w:rPr>
            </w:pPr>
            <w:r>
              <w:rPr>
                <w:rFonts w:hint="eastAsia" w:ascii="宋体" w:hAnsi="宋体" w:cs="宋体"/>
                <w:sz w:val="21"/>
                <w:szCs w:val="21"/>
              </w:rPr>
              <w:t>性</w:t>
            </w:r>
          </w:p>
          <w:p>
            <w:pPr>
              <w:spacing w:line="240" w:lineRule="exact"/>
              <w:jc w:val="center"/>
              <w:rPr>
                <w:rFonts w:ascii="宋体" w:hAnsi="宋体" w:cs="宋体"/>
                <w:sz w:val="21"/>
                <w:szCs w:val="21"/>
              </w:rPr>
            </w:pPr>
            <w:r>
              <w:rPr>
                <w:rFonts w:hint="eastAsia" w:ascii="宋体" w:hAnsi="宋体" w:cs="宋体"/>
                <w:sz w:val="21"/>
                <w:szCs w:val="21"/>
              </w:rPr>
              <w:t>模</w:t>
            </w:r>
          </w:p>
          <w:p>
            <w:pPr>
              <w:spacing w:line="240" w:lineRule="exact"/>
              <w:jc w:val="center"/>
              <w:rPr>
                <w:rFonts w:ascii="宋体" w:hAnsi="宋体" w:cs="宋体"/>
                <w:sz w:val="21"/>
                <w:szCs w:val="21"/>
              </w:rPr>
            </w:pPr>
            <w:r>
              <w:rPr>
                <w:rFonts w:hint="eastAsia" w:ascii="宋体" w:hAnsi="宋体" w:cs="宋体"/>
                <w:sz w:val="21"/>
                <w:szCs w:val="21"/>
              </w:rPr>
              <w:t>量</w:t>
            </w:r>
          </w:p>
        </w:tc>
        <w:tc>
          <w:tcPr>
            <w:tcW w:w="5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渗</w:t>
            </w:r>
          </w:p>
          <w:p>
            <w:pPr>
              <w:spacing w:line="240" w:lineRule="exact"/>
              <w:jc w:val="center"/>
              <w:rPr>
                <w:rFonts w:ascii="宋体" w:hAnsi="宋体" w:cs="宋体"/>
                <w:sz w:val="21"/>
                <w:szCs w:val="21"/>
              </w:rPr>
            </w:pPr>
            <w:r>
              <w:rPr>
                <w:rFonts w:hint="eastAsia" w:ascii="宋体" w:hAnsi="宋体" w:cs="宋体"/>
                <w:sz w:val="21"/>
                <w:szCs w:val="21"/>
              </w:rPr>
              <w:t>透</w:t>
            </w:r>
          </w:p>
          <w:p>
            <w:pPr>
              <w:spacing w:line="240" w:lineRule="exact"/>
              <w:jc w:val="center"/>
              <w:rPr>
                <w:rFonts w:ascii="宋体" w:hAnsi="宋体" w:cs="宋体"/>
                <w:sz w:val="21"/>
                <w:szCs w:val="21"/>
              </w:rPr>
            </w:pPr>
            <w:r>
              <w:rPr>
                <w:rFonts w:hint="eastAsia" w:ascii="宋体" w:hAnsi="宋体" w:cs="宋体"/>
                <w:sz w:val="21"/>
                <w:szCs w:val="21"/>
              </w:rPr>
              <w:t>系</w:t>
            </w:r>
          </w:p>
          <w:p>
            <w:pPr>
              <w:spacing w:line="240" w:lineRule="exact"/>
              <w:jc w:val="center"/>
              <w:rPr>
                <w:rFonts w:ascii="宋体" w:hAnsi="宋体" w:cs="宋体"/>
                <w:sz w:val="21"/>
                <w:szCs w:val="21"/>
              </w:rPr>
            </w:pPr>
            <w:r>
              <w:rPr>
                <w:rFonts w:hint="eastAsia" w:ascii="宋体" w:hAnsi="宋体" w:cs="宋体"/>
                <w:sz w:val="21"/>
                <w:szCs w:val="21"/>
              </w:rPr>
              <w:t>数</w:t>
            </w:r>
          </w:p>
        </w:tc>
        <w:tc>
          <w:tcPr>
            <w:tcW w:w="8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21"/>
                <w:szCs w:val="21"/>
              </w:rPr>
            </w:pPr>
            <w:r>
              <w:rPr>
                <w:rFonts w:hint="eastAsia" w:ascii="宋体" w:hAnsi="宋体" w:cs="宋体"/>
                <w:sz w:val="21"/>
                <w:szCs w:val="21"/>
              </w:rPr>
              <w:t>土体与</w:t>
            </w:r>
          </w:p>
          <w:p>
            <w:pPr>
              <w:spacing w:line="240" w:lineRule="exact"/>
              <w:jc w:val="center"/>
              <w:rPr>
                <w:rFonts w:ascii="宋体" w:hAnsi="宋体" w:cs="宋体"/>
                <w:sz w:val="21"/>
                <w:szCs w:val="21"/>
              </w:rPr>
            </w:pPr>
            <w:r>
              <w:rPr>
                <w:rFonts w:hint="eastAsia" w:ascii="宋体" w:hAnsi="宋体" w:cs="宋体"/>
                <w:sz w:val="21"/>
                <w:szCs w:val="21"/>
              </w:rPr>
              <w:t>锚固体</w:t>
            </w:r>
          </w:p>
          <w:p>
            <w:pPr>
              <w:spacing w:line="240" w:lineRule="exact"/>
              <w:jc w:val="center"/>
              <w:rPr>
                <w:rFonts w:ascii="宋体" w:hAnsi="宋体" w:cs="宋体"/>
                <w:sz w:val="21"/>
                <w:szCs w:val="21"/>
              </w:rPr>
            </w:pPr>
            <w:r>
              <w:rPr>
                <w:rFonts w:hint="eastAsia" w:ascii="宋体" w:hAnsi="宋体" w:cs="宋体"/>
                <w:sz w:val="21"/>
                <w:szCs w:val="21"/>
              </w:rPr>
              <w:t>粘结强度</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桩基设计参数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放坡开挖</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支护开挖</w:t>
            </w: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pacing w:val="-20"/>
                <w:sz w:val="21"/>
                <w:szCs w:val="21"/>
              </w:rPr>
            </w:pPr>
            <w:r>
              <w:rPr>
                <w:rFonts w:hint="eastAsia" w:ascii="宋体" w:hAnsi="宋体" w:cs="宋体"/>
                <w:spacing w:val="-20"/>
                <w:sz w:val="21"/>
                <w:szCs w:val="21"/>
              </w:rPr>
              <w:t>土钉墙</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pacing w:val="-20"/>
                <w:sz w:val="21"/>
                <w:szCs w:val="21"/>
              </w:rPr>
            </w:pPr>
            <w:r>
              <w:rPr>
                <w:rFonts w:hint="eastAsia" w:ascii="宋体" w:hAnsi="宋体" w:cs="宋体"/>
                <w:spacing w:val="-20"/>
                <w:sz w:val="21"/>
                <w:szCs w:val="21"/>
              </w:rPr>
              <w:t>排桩</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392"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pacing w:val="-20"/>
                <w:sz w:val="21"/>
                <w:szCs w:val="21"/>
              </w:rPr>
            </w:pPr>
            <w:r>
              <w:rPr>
                <w:rFonts w:hint="eastAsia" w:ascii="宋体" w:hAnsi="宋体" w:cs="宋体"/>
                <w:spacing w:val="-20"/>
                <w:sz w:val="21"/>
                <w:szCs w:val="21"/>
              </w:rPr>
              <w:t>钢板桩</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392"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8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pacing w:val="-20"/>
                <w:sz w:val="21"/>
                <w:szCs w:val="21"/>
              </w:rPr>
            </w:pPr>
            <w:r>
              <w:rPr>
                <w:rFonts w:hint="eastAsia" w:ascii="宋体" w:hAnsi="宋体" w:cs="宋体"/>
                <w:spacing w:val="-20"/>
                <w:sz w:val="21"/>
                <w:szCs w:val="21"/>
              </w:rPr>
              <w:t>地下</w:t>
            </w:r>
          </w:p>
          <w:p>
            <w:pPr>
              <w:spacing w:line="240" w:lineRule="exact"/>
              <w:jc w:val="center"/>
              <w:rPr>
                <w:rFonts w:ascii="宋体" w:hAnsi="宋体" w:cs="宋体"/>
                <w:spacing w:val="-20"/>
                <w:sz w:val="21"/>
                <w:szCs w:val="21"/>
              </w:rPr>
            </w:pPr>
            <w:r>
              <w:rPr>
                <w:rFonts w:hint="eastAsia" w:ascii="宋体" w:hAnsi="宋体" w:cs="宋体"/>
                <w:spacing w:val="-20"/>
                <w:sz w:val="21"/>
                <w:szCs w:val="21"/>
              </w:rPr>
              <w:t>连续墙</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392" w:type="dxa"/>
            <w:vMerge w:val="continue"/>
            <w:tcBorders>
              <w:left w:val="single" w:color="auto" w:sz="4" w:space="0"/>
              <w:bottom w:val="single" w:color="auto" w:sz="4" w:space="0"/>
              <w:right w:val="single" w:color="auto" w:sz="4" w:space="0"/>
            </w:tcBorders>
            <w:vAlign w:val="center"/>
          </w:tcPr>
          <w:p>
            <w:pPr>
              <w:jc w:val="center"/>
              <w:rPr>
                <w:rFonts w:ascii="宋体" w:hAnsi="宋体" w:cs="宋体"/>
                <w:sz w:val="21"/>
                <w:szCs w:val="21"/>
              </w:rPr>
            </w:pPr>
          </w:p>
        </w:tc>
        <w:tc>
          <w:tcPr>
            <w:tcW w:w="8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pacing w:val="-20"/>
                <w:sz w:val="21"/>
                <w:szCs w:val="21"/>
              </w:rPr>
            </w:pPr>
            <w:r>
              <w:rPr>
                <w:rFonts w:hint="eastAsia" w:ascii="宋体" w:hAnsi="宋体" w:cs="宋体"/>
                <w:spacing w:val="-20"/>
                <w:sz w:val="21"/>
                <w:szCs w:val="21"/>
              </w:rPr>
              <w:t>水泥</w:t>
            </w:r>
          </w:p>
          <w:p>
            <w:pPr>
              <w:spacing w:line="240" w:lineRule="exact"/>
              <w:jc w:val="center"/>
              <w:rPr>
                <w:rFonts w:ascii="宋体" w:hAnsi="宋体" w:cs="宋体"/>
                <w:spacing w:val="-20"/>
                <w:sz w:val="21"/>
                <w:szCs w:val="21"/>
              </w:rPr>
            </w:pPr>
            <w:r>
              <w:rPr>
                <w:rFonts w:hint="eastAsia" w:ascii="宋体" w:hAnsi="宋体" w:cs="宋体"/>
                <w:spacing w:val="-20"/>
                <w:sz w:val="21"/>
                <w:szCs w:val="21"/>
              </w:rPr>
              <w:t>土挡墙</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c>
          <w:tcPr>
            <w:tcW w:w="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w:t>
            </w:r>
          </w:p>
        </w:tc>
      </w:tr>
    </w:tbl>
    <w:p>
      <w:pPr>
        <w:spacing w:line="480" w:lineRule="exact"/>
        <w:ind w:firstLine="240" w:firstLineChars="100"/>
        <w:rPr>
          <w:rFonts w:ascii="宋体" w:hAnsi="宋体" w:cs="宋体"/>
        </w:rPr>
      </w:pPr>
      <w:r>
        <w:rPr>
          <w:rFonts w:hint="eastAsia" w:ascii="宋体" w:hAnsi="宋体" w:cs="宋体"/>
          <w:szCs w:val="24"/>
        </w:rPr>
        <w:t>注：表中○表示可提供、√表示应提供、—表示可不提供。</w:t>
      </w:r>
    </w:p>
    <w:p>
      <w:pPr>
        <w:spacing w:line="480" w:lineRule="exact"/>
        <w:ind w:left="-178"/>
        <w:rPr>
          <w:rFonts w:ascii="宋体" w:hAnsi="宋体" w:cs="宋体"/>
        </w:rPr>
      </w:pPr>
      <w:r>
        <w:rPr>
          <w:rFonts w:hint="eastAsia" w:ascii="宋体" w:hAnsi="宋体" w:cs="宋体"/>
          <w:b/>
          <w:szCs w:val="24"/>
        </w:rPr>
        <w:t>4.4.2</w:t>
      </w:r>
      <w:r>
        <w:rPr>
          <w:rFonts w:hint="eastAsia" w:ascii="宋体" w:hAnsi="宋体" w:cs="宋体"/>
          <w:color w:val="000000"/>
          <w:szCs w:val="24"/>
        </w:rPr>
        <w:t xml:space="preserve"> 砂土、碎石土、风化岩及杂填土都难以采取不扰动土样进行室内试验，对一般基坑工程，砂土的抗剪强度指标c、</w:t>
      </w:r>
      <w:r>
        <w:rPr>
          <w:rFonts w:hint="eastAsia" w:ascii="宋体" w:hAnsi="宋体" w:cs="宋体"/>
          <w:color w:val="000000"/>
          <w:szCs w:val="24"/>
        </w:rPr>
        <w:sym w:font="Symbol" w:char="F06A"/>
      </w:r>
      <w:r>
        <w:rPr>
          <w:rFonts w:hint="eastAsia" w:ascii="宋体" w:hAnsi="宋体" w:cs="宋体"/>
          <w:color w:val="000000"/>
          <w:szCs w:val="24"/>
        </w:rPr>
        <w:t>值，可根据休止角及原位测试指标综合分析确定确定，碎石土、风化岩及杂填土可</w:t>
      </w:r>
      <w:r>
        <w:rPr>
          <w:rFonts w:hint="eastAsia" w:ascii="宋体" w:hAnsi="宋体" w:cs="宋体"/>
          <w:szCs w:val="24"/>
        </w:rPr>
        <w:t>根据原位测试指标并结合野外描述和工程经验综合分析确定。对重大基坑工程，抗剪强度指标c、</w:t>
      </w:r>
      <w:r>
        <w:rPr>
          <w:rFonts w:hint="eastAsia" w:ascii="宋体" w:hAnsi="宋体" w:cs="宋体"/>
          <w:szCs w:val="24"/>
        </w:rPr>
        <w:sym w:font="Symbol" w:char="F06A"/>
      </w:r>
      <w:r>
        <w:rPr>
          <w:rFonts w:hint="eastAsia" w:ascii="宋体" w:hAnsi="宋体" w:cs="宋体"/>
          <w:szCs w:val="24"/>
        </w:rPr>
        <w:t>值则宜通过现场直接剪切试验确定。</w:t>
      </w:r>
    </w:p>
    <w:p>
      <w:pPr>
        <w:spacing w:line="480" w:lineRule="exact"/>
        <w:ind w:left="-178"/>
        <w:rPr>
          <w:rFonts w:ascii="宋体" w:hAnsi="宋体" w:cs="宋体"/>
        </w:rPr>
      </w:pPr>
      <w:r>
        <w:rPr>
          <w:rFonts w:hint="eastAsia" w:ascii="宋体" w:hAnsi="宋体" w:cs="宋体"/>
          <w:b/>
          <w:szCs w:val="24"/>
        </w:rPr>
        <w:t xml:space="preserve">4.4.3 </w:t>
      </w:r>
      <w:r>
        <w:rPr>
          <w:rFonts w:hint="eastAsia" w:ascii="宋体" w:hAnsi="宋体" w:cs="宋体"/>
          <w:szCs w:val="24"/>
        </w:rPr>
        <w:t>由于地基与基坑的受力条件不同，黄土的湿陷性对地基和基坑的危害性也有所不同，对地基而言，湿陷带来的危害主要来自基础底面以下，而基坑则不同，基坑顶面以下开挖深度范围内的湿陷土层，无论深浅，如果发生湿陷都会给基坑安全带来危害，只是危害程度不同而已。因此本条规定，基坑工程湿陷性评价时，自重湿陷量计算值及湿陷量计算值宜从基坑顶面算起，湿陷性判别计算方法与建筑地基相同。</w:t>
      </w:r>
    </w:p>
    <w:p>
      <w:pPr>
        <w:spacing w:line="480" w:lineRule="exact"/>
        <w:ind w:left="-178"/>
        <w:rPr>
          <w:rFonts w:ascii="宋体" w:hAnsi="宋体" w:cs="宋体"/>
        </w:rPr>
      </w:pPr>
      <w:r>
        <w:rPr>
          <w:rFonts w:hint="eastAsia" w:ascii="宋体" w:hAnsi="宋体" w:cs="宋体"/>
          <w:b/>
          <w:szCs w:val="24"/>
        </w:rPr>
        <w:t>4.4.4</w:t>
      </w:r>
      <w:r>
        <w:rPr>
          <w:rFonts w:hint="eastAsia" w:ascii="宋体" w:hAnsi="宋体" w:cs="宋体"/>
          <w:szCs w:val="24"/>
        </w:rPr>
        <w:t xml:space="preserve"> 本条所列特殊性岩土，在山西的基坑工程中经常遇到，由于本身的特殊性，这些岩土对基坑的稳定性和安全施工影响较大，岩土分析评价应具有针对性。</w:t>
      </w:r>
    </w:p>
    <w:p>
      <w:pPr>
        <w:spacing w:line="480" w:lineRule="exact"/>
        <w:ind w:left="-178"/>
        <w:rPr>
          <w:rFonts w:ascii="宋体" w:hAnsi="宋体" w:cs="宋体"/>
          <w:color w:val="000000"/>
        </w:rPr>
      </w:pPr>
      <w:r>
        <w:rPr>
          <w:rFonts w:hint="eastAsia" w:ascii="宋体" w:hAnsi="宋体" w:cs="宋体"/>
          <w:b/>
          <w:szCs w:val="24"/>
        </w:rPr>
        <w:t xml:space="preserve">4.4.5 </w:t>
      </w:r>
      <w:r>
        <w:rPr>
          <w:rFonts w:hint="eastAsia" w:ascii="宋体" w:hAnsi="宋体" w:cs="宋体"/>
          <w:szCs w:val="24"/>
        </w:rPr>
        <w:t>地下水对基坑工程的作用，按其机制可以分为两类，一类是力学作用；一类是物理、化学作用。本条是地下水作用应评价的主</w:t>
      </w:r>
      <w:r>
        <w:rPr>
          <w:rFonts w:hint="eastAsia" w:ascii="宋体" w:hAnsi="宋体" w:cs="宋体"/>
          <w:color w:val="000000"/>
          <w:szCs w:val="24"/>
        </w:rPr>
        <w:t>要内容。</w:t>
      </w:r>
    </w:p>
    <w:p>
      <w:pPr>
        <w:spacing w:line="480" w:lineRule="exact"/>
        <w:ind w:left="-178" w:firstLine="482"/>
        <w:rPr>
          <w:rFonts w:ascii="宋体" w:hAnsi="宋体" w:cs="宋体"/>
          <w:color w:val="000000"/>
        </w:rPr>
      </w:pPr>
      <w:r>
        <w:rPr>
          <w:rFonts w:hint="eastAsia" w:ascii="宋体" w:hAnsi="宋体" w:cs="宋体"/>
          <w:color w:val="000000"/>
          <w:szCs w:val="24"/>
        </w:rPr>
        <w:t>1 验算基坑边坡稳定性时需考虑地下水渗流对边坡稳定的影响</w:t>
      </w:r>
      <w:r>
        <w:rPr>
          <w:rFonts w:hint="eastAsia" w:ascii="宋体" w:hAnsi="宋体" w:cs="宋体"/>
          <w:szCs w:val="24"/>
        </w:rPr>
        <w:t>。</w:t>
      </w:r>
      <w:r>
        <w:rPr>
          <w:rFonts w:hint="eastAsia" w:ascii="宋体" w:hAnsi="宋体" w:cs="宋体"/>
          <w:color w:val="000000"/>
          <w:szCs w:val="24"/>
        </w:rPr>
        <w:t>对基坑支护结构的稳定性验算时，不管是采用水土合算还是水土分算，都需要首先将地下水的分布特征搞清楚，才能比较合理地确定作用在支护结构上的水土压力。</w:t>
      </w:r>
    </w:p>
    <w:p>
      <w:pPr>
        <w:spacing w:line="480" w:lineRule="exact"/>
        <w:ind w:left="-178" w:firstLine="482"/>
        <w:rPr>
          <w:rFonts w:ascii="宋体" w:hAnsi="宋体" w:cs="宋体"/>
          <w:color w:val="000000"/>
        </w:rPr>
      </w:pPr>
      <w:r>
        <w:rPr>
          <w:rFonts w:hint="eastAsia" w:ascii="宋体" w:hAnsi="宋体" w:cs="宋体"/>
          <w:color w:val="000000"/>
          <w:szCs w:val="24"/>
        </w:rPr>
        <w:t xml:space="preserve">2 </w:t>
      </w:r>
      <w:r>
        <w:rPr>
          <w:rFonts w:hint="eastAsia" w:ascii="宋体" w:hAnsi="宋体" w:cs="宋体"/>
          <w:szCs w:val="24"/>
        </w:rPr>
        <w:t>在地下水位下降的影响范围内，</w:t>
      </w:r>
      <w:r>
        <w:rPr>
          <w:rFonts w:hint="eastAsia" w:ascii="宋体" w:hAnsi="宋体" w:cs="宋体"/>
          <w:color w:val="000000"/>
          <w:szCs w:val="24"/>
        </w:rPr>
        <w:t>施工降排水引起的潜水位或承压水头的下降，一方面减少了水的浮托力、增加了土的有效压力，使土体产生附加沉降变形；另一方面，产生的动水压力可能使粉细砂地层产生流砂</w:t>
      </w:r>
      <w:r>
        <w:rPr>
          <w:rFonts w:hint="eastAsia" w:ascii="宋体" w:hAnsi="宋体" w:cs="宋体"/>
          <w:szCs w:val="24"/>
        </w:rPr>
        <w:t>、</w:t>
      </w:r>
      <w:r>
        <w:rPr>
          <w:rFonts w:hint="eastAsia" w:ascii="宋体" w:hAnsi="宋体" w:cs="宋体"/>
          <w:color w:val="000000"/>
          <w:szCs w:val="24"/>
        </w:rPr>
        <w:t>潜蚀现象，</w:t>
      </w:r>
      <w:r>
        <w:rPr>
          <w:rFonts w:hint="eastAsia" w:ascii="宋体" w:hAnsi="宋体" w:cs="宋体"/>
          <w:szCs w:val="24"/>
        </w:rPr>
        <w:t>也可能使软弱黏性土地层</w:t>
      </w:r>
      <w:r>
        <w:rPr>
          <w:rFonts w:hint="eastAsia" w:ascii="宋体" w:hAnsi="宋体" w:cs="宋体"/>
          <w:color w:val="000000"/>
          <w:szCs w:val="24"/>
        </w:rPr>
        <w:t>出现“流泥”现象。从而引起局部地层被掏空，造成基坑周围建（构）筑物下沉、地面产生塌陷，当不均匀沉降超过建（构）筑物、地下管线及其它市政设施承受变形的能力时，还将发生建（构）筑物倾斜、墙体裂缝及地下管线错位、开裂等现象，以致造成建（构）筑物不能正常使用、供水、供气的漏失和中断，以及下水管道堵塞等环境问题。</w:t>
      </w:r>
    </w:p>
    <w:p>
      <w:pPr>
        <w:spacing w:line="480" w:lineRule="exact"/>
        <w:ind w:left="-178" w:firstLine="482"/>
        <w:rPr>
          <w:rFonts w:hint="eastAsia" w:ascii="宋体" w:hAnsi="宋体" w:cs="宋体"/>
          <w:szCs w:val="24"/>
        </w:rPr>
      </w:pPr>
      <w:r>
        <w:rPr>
          <w:rFonts w:hint="eastAsia" w:ascii="宋体" w:hAnsi="宋体" w:cs="宋体"/>
          <w:szCs w:val="24"/>
        </w:rPr>
        <w:t>3 在含水粉细砂和粉土地层中，当基坑内外产生水头差时，由于渗流作用可能产生潜蚀、流土或管涌现象，从而造成基坑破坏。以上几种现象，都是因为基坑底部某个部位的最大渗流水力比降大于临界水力比降所致。流土和管涌的判别方法见本规范附录C。</w:t>
      </w:r>
    </w:p>
    <w:p>
      <w:pPr>
        <w:spacing w:line="480" w:lineRule="exact"/>
        <w:ind w:left="-178"/>
        <w:rPr>
          <w:rFonts w:ascii="宋体" w:hAnsi="宋体" w:cs="宋体"/>
          <w:color w:val="000000"/>
        </w:rPr>
      </w:pPr>
      <w:r>
        <w:rPr>
          <w:rFonts w:hint="eastAsia" w:ascii="宋体" w:hAnsi="宋体" w:cs="宋体"/>
          <w:b/>
          <w:szCs w:val="24"/>
        </w:rPr>
        <w:t xml:space="preserve">4.4.6 </w:t>
      </w:r>
      <w:r>
        <w:rPr>
          <w:rFonts w:hint="eastAsia" w:ascii="宋体" w:hAnsi="宋体" w:cs="宋体"/>
          <w:color w:val="000000"/>
          <w:szCs w:val="24"/>
        </w:rPr>
        <w:t>本条是针对边坡附近基坑工程的规定和要求。</w:t>
      </w:r>
    </w:p>
    <w:p>
      <w:pPr>
        <w:spacing w:line="480" w:lineRule="exact"/>
        <w:ind w:left="-178"/>
        <w:rPr>
          <w:rFonts w:hint="eastAsia" w:ascii="宋体" w:hAnsi="宋体" w:cs="宋体"/>
          <w:color w:val="000000"/>
          <w:szCs w:val="24"/>
        </w:rPr>
      </w:pPr>
      <w:r>
        <w:rPr>
          <w:rFonts w:hint="eastAsia" w:ascii="宋体" w:hAnsi="宋体" w:cs="宋体"/>
          <w:b/>
          <w:bCs/>
          <w:color w:val="000000"/>
          <w:szCs w:val="24"/>
        </w:rPr>
        <w:t>4.4.7</w:t>
      </w:r>
      <w:r>
        <w:rPr>
          <w:rFonts w:hint="eastAsia" w:ascii="宋体" w:hAnsi="宋体" w:cs="宋体"/>
          <w:color w:val="000000"/>
          <w:szCs w:val="24"/>
        </w:rPr>
        <w:t xml:space="preserve"> 由于基坑工程的规模大小、工程特点、水文地质及工程地质条件、环境条件等差别很大，要求勘察报告的内容完全相同既不实际也不合理。因此，本条所列内容仅是在一般情况下的基本要求，如有特殊要求时则应增加相应的内容。基坑工程岩土勘察与拟建建筑物岩土勘察同时进行时，报告中应有专门章节对基坑工程进行论述和评价，论述和评价的内容应满足本条要求。</w:t>
      </w:r>
    </w:p>
    <w:p>
      <w:pPr>
        <w:spacing w:line="480" w:lineRule="exact"/>
        <w:ind w:left="-178"/>
        <w:rPr>
          <w:rFonts w:hint="eastAsia" w:ascii="宋体" w:hAnsi="宋体" w:cs="宋体"/>
          <w:color w:val="000000"/>
          <w:szCs w:val="24"/>
          <w:lang w:val="en-US" w:eastAsia="zh-CN"/>
        </w:rPr>
      </w:pPr>
      <w:r>
        <w:rPr>
          <w:rFonts w:hint="eastAsia" w:ascii="宋体" w:hAnsi="宋体" w:cs="宋体"/>
          <w:b/>
          <w:bCs/>
          <w:color w:val="000000"/>
          <w:szCs w:val="24"/>
        </w:rPr>
        <w:t>4.4.8</w:t>
      </w:r>
      <w:r>
        <w:rPr>
          <w:rFonts w:hint="eastAsia" w:ascii="宋体" w:hAnsi="宋体" w:cs="宋体"/>
          <w:color w:val="000000"/>
          <w:szCs w:val="24"/>
        </w:rPr>
        <w:t xml:space="preserve"> 本条为一般情况下基坑工程岩土勘察报告应附的图表，可以根据具体需要适当增减。</w:t>
      </w:r>
      <w:r>
        <w:rPr>
          <w:rFonts w:hint="eastAsia" w:ascii="宋体" w:hAnsi="宋体" w:cs="宋体"/>
          <w:color w:val="000000"/>
          <w:szCs w:val="24"/>
        </w:rPr>
        <w:br w:type="page"/>
      </w:r>
    </w:p>
    <w:p>
      <w:pPr>
        <w:pStyle w:val="2"/>
        <w:bidi w:val="0"/>
        <w:rPr>
          <w:rFonts w:hint="eastAsia" w:ascii="Times New Roman" w:hAnsi="Times New Roman"/>
          <w:lang w:val="en-US" w:eastAsia="zh-CN"/>
        </w:rPr>
      </w:pPr>
      <w:bookmarkStart w:id="1129" w:name="_Toc21330"/>
      <w:r>
        <w:rPr>
          <w:rFonts w:hint="eastAsia" w:ascii="Times New Roman" w:hAnsi="Times New Roman"/>
          <w:lang w:val="en-US" w:eastAsia="zh-CN"/>
        </w:rPr>
        <w:t>5  土压力计算</w:t>
      </w:r>
      <w:bookmarkEnd w:id="1111"/>
      <w:bookmarkEnd w:id="1112"/>
      <w:bookmarkEnd w:id="1129"/>
    </w:p>
    <w:p>
      <w:pPr>
        <w:pStyle w:val="3"/>
        <w:bidi w:val="0"/>
      </w:pPr>
      <w:bookmarkStart w:id="1130" w:name="_Toc11564"/>
      <w:bookmarkStart w:id="1131" w:name="_Toc18842"/>
      <w:bookmarkStart w:id="1132" w:name="_Toc19215"/>
      <w:bookmarkStart w:id="1133" w:name="_Toc27944"/>
      <w:bookmarkStart w:id="1134" w:name="_Toc18310"/>
      <w:r>
        <w:t xml:space="preserve">5.1  </w:t>
      </w:r>
      <w:r>
        <w:rPr>
          <w:rFonts w:hint="eastAsia"/>
        </w:rPr>
        <w:t>一般规定</w:t>
      </w:r>
      <w:bookmarkEnd w:id="1130"/>
      <w:bookmarkEnd w:id="1131"/>
      <w:bookmarkEnd w:id="1132"/>
      <w:bookmarkEnd w:id="1133"/>
      <w:bookmarkEnd w:id="1134"/>
    </w:p>
    <w:p>
      <w:pPr>
        <w:spacing w:line="480" w:lineRule="exact"/>
        <w:rPr>
          <w:rFonts w:ascii="宋体" w:hAnsi="宋体"/>
          <w:szCs w:val="24"/>
        </w:rPr>
      </w:pPr>
      <w:r>
        <w:rPr>
          <w:rFonts w:hint="eastAsia" w:ascii="Times New Roman" w:hAnsi="Times New Roman"/>
          <w:b/>
          <w:szCs w:val="24"/>
        </w:rPr>
        <w:t xml:space="preserve">5.5.1～5.1.2 </w:t>
      </w:r>
      <w:r>
        <w:rPr>
          <w:rFonts w:hint="eastAsia" w:ascii="宋体" w:hAnsi="宋体"/>
          <w:szCs w:val="24"/>
        </w:rPr>
        <w:t>土压力、水压力是作用在基坑支护结构上的主要荷载，其取值大小对支护结构的内力和变形计算</w:t>
      </w:r>
      <w:r>
        <w:rPr>
          <w:rFonts w:hint="eastAsia"/>
        </w:rPr>
        <w:t>均有影响</w:t>
      </w:r>
      <w:r>
        <w:rPr>
          <w:rFonts w:hint="eastAsia" w:ascii="宋体" w:hAnsi="宋体"/>
          <w:szCs w:val="24"/>
        </w:rPr>
        <w:t>。水压力包括潜水压力、承压水压力和渗流压力。</w:t>
      </w:r>
    </w:p>
    <w:p>
      <w:pPr>
        <w:widowControl w:val="0"/>
        <w:spacing w:line="480" w:lineRule="exact"/>
        <w:ind w:firstLine="480" w:firstLineChars="200"/>
        <w:rPr>
          <w:rFonts w:hint="eastAsia" w:ascii="宋体" w:hAnsi="宋体"/>
          <w:color w:val="auto"/>
          <w:szCs w:val="24"/>
        </w:rPr>
      </w:pPr>
      <w:r>
        <w:rPr>
          <w:rFonts w:hint="eastAsia" w:ascii="宋体" w:hAnsi="宋体"/>
          <w:szCs w:val="24"/>
        </w:rPr>
        <w:t>一般地面荷载，指坑边的</w:t>
      </w:r>
      <w:r>
        <w:rPr>
          <w:rFonts w:hint="eastAsia" w:ascii="宋体" w:hAnsi="宋体"/>
          <w:color w:val="auto"/>
          <w:szCs w:val="24"/>
        </w:rPr>
        <w:t>临时荷载，如零散的建筑材料、小型施工器材等，通常可按</w:t>
      </w:r>
      <w:r>
        <w:rPr>
          <w:rFonts w:hint="eastAsia" w:ascii="Times New Roman" w:hAnsi="Times New Roman"/>
          <w:color w:val="auto"/>
          <w:szCs w:val="24"/>
        </w:rPr>
        <w:t>15</w:t>
      </w:r>
      <w:r>
        <w:rPr>
          <w:rFonts w:hint="eastAsia" w:ascii="宋体" w:hAnsi="宋体"/>
          <w:color w:val="auto"/>
          <w:szCs w:val="24"/>
        </w:rPr>
        <w:t>kPa～</w:t>
      </w:r>
      <w:r>
        <w:rPr>
          <w:rFonts w:hint="eastAsia" w:ascii="Times New Roman" w:hAnsi="Times New Roman"/>
          <w:color w:val="auto"/>
          <w:szCs w:val="24"/>
        </w:rPr>
        <w:t>20</w:t>
      </w:r>
      <w:r>
        <w:rPr>
          <w:rFonts w:hint="eastAsia" w:ascii="宋体" w:hAnsi="宋体"/>
          <w:color w:val="auto"/>
          <w:szCs w:val="24"/>
        </w:rPr>
        <w:t>kPa考虑</w:t>
      </w:r>
      <w:r>
        <w:rPr>
          <w:rFonts w:hint="eastAsia" w:ascii="宋体" w:hAnsi="宋体"/>
          <w:color w:val="auto"/>
          <w:szCs w:val="24"/>
          <w:lang w:eastAsia="zh-CN"/>
        </w:rPr>
        <w:t>，</w:t>
      </w:r>
      <w:r>
        <w:rPr>
          <w:rFonts w:hint="eastAsia" w:ascii="宋体" w:hAnsi="宋体"/>
          <w:color w:val="auto"/>
          <w:szCs w:val="24"/>
        </w:rPr>
        <w:t>施工材料堆放场地、重车行驶通道</w:t>
      </w:r>
      <w:r>
        <w:rPr>
          <w:rFonts w:hint="eastAsia" w:ascii="宋体" w:hAnsi="宋体"/>
          <w:color w:val="auto"/>
          <w:szCs w:val="24"/>
          <w:lang w:val="en-US" w:eastAsia="zh-CN"/>
        </w:rPr>
        <w:t>等，通常</w:t>
      </w:r>
      <w:r>
        <w:rPr>
          <w:rFonts w:hint="eastAsia" w:ascii="宋体" w:hAnsi="宋体"/>
          <w:color w:val="auto"/>
          <w:szCs w:val="24"/>
        </w:rPr>
        <w:t>可按30kPa考虑</w:t>
      </w:r>
      <w:r>
        <w:rPr>
          <w:rFonts w:hint="eastAsia" w:ascii="宋体" w:hAnsi="宋体"/>
          <w:color w:val="auto"/>
          <w:szCs w:val="24"/>
          <w:lang w:eastAsia="zh-CN"/>
        </w:rPr>
        <w:t>，</w:t>
      </w:r>
      <w:r>
        <w:rPr>
          <w:rFonts w:hint="eastAsia" w:ascii="宋体" w:hAnsi="宋体"/>
          <w:color w:val="auto"/>
          <w:szCs w:val="24"/>
          <w:lang w:val="en-US" w:eastAsia="zh-CN"/>
        </w:rPr>
        <w:t>应根据现场实际情况进行复核</w:t>
      </w:r>
      <w:r>
        <w:rPr>
          <w:rFonts w:hint="eastAsia" w:ascii="宋体" w:hAnsi="宋体"/>
          <w:color w:val="auto"/>
          <w:szCs w:val="24"/>
        </w:rPr>
        <w:t>。</w:t>
      </w:r>
    </w:p>
    <w:p>
      <w:pPr>
        <w:widowControl w:val="0"/>
        <w:spacing w:line="480" w:lineRule="exact"/>
        <w:ind w:firstLine="480" w:firstLineChars="200"/>
        <w:rPr>
          <w:rFonts w:ascii="宋体" w:hAnsi="宋体"/>
          <w:szCs w:val="24"/>
        </w:rPr>
      </w:pPr>
      <w:r>
        <w:rPr>
          <w:rFonts w:hint="eastAsia" w:ascii="宋体" w:hAnsi="宋体"/>
          <w:szCs w:val="24"/>
        </w:rPr>
        <w:t>开挖影响范围内有建（构）筑物存在时，土压力的计算中应考虑其对支护结构的作用，可根据基础形状、埋深简化为集中力、条形或均布荷载进行计算，</w:t>
      </w:r>
      <w:r>
        <w:rPr>
          <w:rFonts w:hint="eastAsia"/>
        </w:rPr>
        <w:t>在此</w:t>
      </w:r>
      <w:r>
        <w:rPr>
          <w:rFonts w:hint="eastAsia" w:ascii="宋体" w:hAnsi="宋体"/>
          <w:szCs w:val="24"/>
        </w:rPr>
        <w:t>主要指天然地基上的浅基础。</w:t>
      </w:r>
    </w:p>
    <w:p>
      <w:pPr>
        <w:widowControl w:val="0"/>
        <w:spacing w:line="480" w:lineRule="exact"/>
        <w:ind w:firstLine="480" w:firstLineChars="200"/>
        <w:rPr>
          <w:rFonts w:ascii="宋体" w:hAnsi="宋体"/>
          <w:szCs w:val="24"/>
        </w:rPr>
      </w:pPr>
      <w:r>
        <w:rPr>
          <w:rFonts w:hint="eastAsia" w:ascii="宋体" w:hAnsi="宋体"/>
          <w:szCs w:val="24"/>
        </w:rPr>
        <w:t>施工荷载是指在基坑开挖期间，作用在坑边或支护结构上、数量较大且时间较长或频繁出现的荷载，如利用上道支撑作为施工栈桥时的挖土机、卡车运行荷载，坑边作为施工堆料场地的荷载等。</w:t>
      </w:r>
    </w:p>
    <w:p>
      <w:pPr>
        <w:widowControl w:val="0"/>
        <w:spacing w:line="480" w:lineRule="exact"/>
        <w:ind w:firstLine="480" w:firstLineChars="200"/>
        <w:rPr>
          <w:rFonts w:ascii="宋体" w:hAnsi="宋体"/>
          <w:szCs w:val="24"/>
        </w:rPr>
      </w:pPr>
      <w:r>
        <w:rPr>
          <w:rFonts w:hint="eastAsia" w:ascii="宋体" w:hAnsi="宋体"/>
          <w:szCs w:val="24"/>
        </w:rPr>
        <w:t>邻近工程基础施工如打桩或基坑开挖时，产生相互影响容易引发工程事故，应予以重视。这里所说的打桩，是指采用锤击式或静压式施工的挤土桩或部分挤土桩，如钢筋混凝土预制柱、PHC桩、钢管桩等。</w:t>
      </w:r>
    </w:p>
    <w:p>
      <w:pPr>
        <w:widowControl w:val="0"/>
        <w:spacing w:line="480" w:lineRule="exact"/>
        <w:ind w:firstLine="480" w:firstLineChars="200"/>
        <w:rPr>
          <w:rFonts w:ascii="宋体" w:hAnsi="宋体"/>
          <w:szCs w:val="24"/>
        </w:rPr>
      </w:pPr>
      <w:r>
        <w:rPr>
          <w:rFonts w:hint="eastAsia" w:ascii="宋体" w:hAnsi="宋体"/>
          <w:szCs w:val="24"/>
        </w:rPr>
        <w:t>支护结构作为分析对象时，作用在支护结构上的力或间接作用为荷载。除土体直接作用在支护结构上形成土压力之外，周边建筑物、施工材料、设备、车辆等荷载虽未直接作用在支护结构上，但其作用通过土体传递到支护结构上，也对支护结构上土压力的大小产生影响。土的冻胀、温度变化也会使土压力发生改变。本条例列出影响土压力的常见因素，其目的是为了在土压力计算时，要把各种影响因素考虑全。</w:t>
      </w:r>
    </w:p>
    <w:p>
      <w:pPr>
        <w:pStyle w:val="3"/>
        <w:bidi w:val="0"/>
      </w:pPr>
      <w:bookmarkStart w:id="1135" w:name="_Toc385576981"/>
      <w:bookmarkStart w:id="1136" w:name="_Toc16177"/>
      <w:bookmarkStart w:id="1137" w:name="_Toc388643605"/>
      <w:bookmarkStart w:id="1138" w:name="_Toc22441"/>
      <w:bookmarkStart w:id="1139" w:name="_Toc29709"/>
      <w:bookmarkStart w:id="1140" w:name="_Toc6050"/>
      <w:bookmarkStart w:id="1141" w:name="_Toc385579366"/>
      <w:bookmarkStart w:id="1142" w:name="_Toc14731"/>
      <w:bookmarkStart w:id="1143" w:name="_Toc388643488"/>
      <w:bookmarkStart w:id="1144" w:name="_Toc385518884"/>
      <w:r>
        <w:t xml:space="preserve">5.2  </w:t>
      </w:r>
      <w:r>
        <w:rPr>
          <w:rFonts w:hint="eastAsia"/>
        </w:rPr>
        <w:t>荷载组合</w:t>
      </w:r>
      <w:bookmarkEnd w:id="1135"/>
      <w:bookmarkEnd w:id="1136"/>
      <w:bookmarkEnd w:id="1137"/>
      <w:bookmarkEnd w:id="1138"/>
      <w:bookmarkEnd w:id="1139"/>
      <w:bookmarkEnd w:id="1140"/>
      <w:bookmarkEnd w:id="1141"/>
      <w:bookmarkEnd w:id="1142"/>
      <w:bookmarkEnd w:id="1143"/>
      <w:bookmarkEnd w:id="1144"/>
    </w:p>
    <w:p>
      <w:pPr>
        <w:widowControl w:val="0"/>
        <w:spacing w:line="480" w:lineRule="exact"/>
        <w:rPr>
          <w:rFonts w:ascii="宋体" w:hAnsi="宋体"/>
          <w:szCs w:val="24"/>
        </w:rPr>
      </w:pPr>
      <w:r>
        <w:rPr>
          <w:rFonts w:ascii="Times New Roman" w:hAnsi="Times New Roman"/>
          <w:b/>
          <w:szCs w:val="24"/>
        </w:rPr>
        <w:t>5.2.1</w:t>
      </w:r>
      <w:r>
        <w:rPr>
          <w:rFonts w:hint="eastAsia" w:ascii="宋体" w:hAnsi="宋体"/>
          <w:szCs w:val="24"/>
        </w:rPr>
        <w:t xml:space="preserve"> 基坑支护结构设计</w:t>
      </w:r>
      <w:r>
        <w:rPr>
          <w:rFonts w:hint="eastAsia" w:ascii="宋体" w:hAnsi="宋体"/>
          <w:color w:val="auto"/>
          <w:szCs w:val="24"/>
        </w:rPr>
        <w:t>应从强度、稳定和</w:t>
      </w:r>
      <w:r>
        <w:rPr>
          <w:rFonts w:hint="eastAsia" w:ascii="宋体" w:hAnsi="宋体"/>
          <w:szCs w:val="24"/>
        </w:rPr>
        <w:t>变形三个方面满足设计要求，应分别采用不同的荷载组合效应进行</w:t>
      </w:r>
      <w:r>
        <w:rPr>
          <w:rFonts w:hint="eastAsia"/>
        </w:rPr>
        <w:t>计算</w:t>
      </w:r>
      <w:r>
        <w:rPr>
          <w:rFonts w:hint="eastAsia" w:ascii="宋体" w:hAnsi="宋体"/>
          <w:szCs w:val="24"/>
        </w:rPr>
        <w:t>。</w:t>
      </w:r>
    </w:p>
    <w:p>
      <w:pPr>
        <w:widowControl w:val="0"/>
        <w:spacing w:line="480" w:lineRule="exact"/>
        <w:rPr>
          <w:rFonts w:ascii="宋体" w:hAnsi="宋体"/>
          <w:szCs w:val="24"/>
        </w:rPr>
      </w:pPr>
      <w:r>
        <w:rPr>
          <w:rFonts w:hint="eastAsia" w:ascii="Times New Roman" w:hAnsi="Times New Roman"/>
          <w:b/>
          <w:szCs w:val="24"/>
        </w:rPr>
        <w:t xml:space="preserve">5.2.2 </w:t>
      </w:r>
      <w:r>
        <w:rPr>
          <w:rFonts w:hint="eastAsia" w:ascii="宋体" w:hAnsi="宋体"/>
          <w:szCs w:val="24"/>
        </w:rPr>
        <w:t>结构按承载能力极限状态设计中，应考虑各种作用组合。由于基坑支护结构是房屋地下结构施工过程中的一种围护结构，使用周期短</w:t>
      </w:r>
      <w:r>
        <w:rPr>
          <w:rFonts w:hint="eastAsia"/>
        </w:rPr>
        <w:t>，</w:t>
      </w:r>
      <w:r>
        <w:rPr>
          <w:rFonts w:hint="eastAsia" w:ascii="宋体" w:hAnsi="宋体"/>
          <w:szCs w:val="24"/>
        </w:rPr>
        <w:t>因此，基坑支护结构的土压力基本组合的效应设计值可采用简化计算，可取标准组合的</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25</w:t>
      </w:r>
      <w:r>
        <w:rPr>
          <w:rFonts w:hint="eastAsia" w:ascii="宋体" w:hAnsi="宋体"/>
          <w:szCs w:val="24"/>
        </w:rPr>
        <w:t>倍，但对于轴向受力为主的构件应取</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35</w:t>
      </w:r>
      <w:r>
        <w:rPr>
          <w:rFonts w:hint="eastAsia" w:ascii="宋体" w:hAnsi="宋体"/>
          <w:szCs w:val="24"/>
        </w:rPr>
        <w:t>倍。</w:t>
      </w:r>
    </w:p>
    <w:p>
      <w:pPr>
        <w:pStyle w:val="3"/>
        <w:bidi w:val="0"/>
      </w:pPr>
      <w:bookmarkStart w:id="1145" w:name="_Toc385579367"/>
      <w:bookmarkStart w:id="1146" w:name="_Toc22122"/>
      <w:bookmarkStart w:id="1147" w:name="_Toc388643489"/>
      <w:bookmarkStart w:id="1148" w:name="_Toc19650"/>
      <w:bookmarkStart w:id="1149" w:name="_Toc7592"/>
      <w:bookmarkStart w:id="1150" w:name="_Toc3461"/>
      <w:bookmarkStart w:id="1151" w:name="_Toc388643606"/>
      <w:bookmarkStart w:id="1152" w:name="_Toc385518885"/>
      <w:bookmarkStart w:id="1153" w:name="_Toc385576982"/>
      <w:bookmarkStart w:id="1154" w:name="_Toc17270"/>
      <w:r>
        <w:t xml:space="preserve">5.3  </w:t>
      </w:r>
      <w:r>
        <w:rPr>
          <w:rFonts w:hint="eastAsia"/>
        </w:rPr>
        <w:t>参数选择</w:t>
      </w:r>
      <w:bookmarkEnd w:id="1145"/>
      <w:bookmarkEnd w:id="1146"/>
      <w:bookmarkEnd w:id="1147"/>
      <w:bookmarkEnd w:id="1148"/>
      <w:bookmarkEnd w:id="1149"/>
      <w:bookmarkEnd w:id="1150"/>
      <w:bookmarkEnd w:id="1151"/>
      <w:bookmarkEnd w:id="1152"/>
      <w:bookmarkEnd w:id="1153"/>
      <w:bookmarkEnd w:id="1154"/>
    </w:p>
    <w:p>
      <w:pPr>
        <w:widowControl w:val="0"/>
        <w:spacing w:line="480" w:lineRule="exact"/>
        <w:rPr>
          <w:rFonts w:ascii="宋体" w:hAnsi="宋体"/>
          <w:szCs w:val="24"/>
        </w:rPr>
      </w:pPr>
      <w:r>
        <w:rPr>
          <w:rFonts w:hint="eastAsia" w:ascii="Times New Roman" w:hAnsi="Times New Roman"/>
          <w:b/>
          <w:szCs w:val="24"/>
        </w:rPr>
        <w:t xml:space="preserve">5.3.3 </w:t>
      </w:r>
      <w:r>
        <w:rPr>
          <w:rFonts w:hint="eastAsia" w:ascii="宋体" w:hAnsi="宋体"/>
          <w:szCs w:val="24"/>
        </w:rPr>
        <w:t>因为土的抗剪强度指标随排水、固结条件及试验方法的不同有很多类型的参数，不同试验方法做出的抗剪强度指标的结果差异很大，计算和验算时不能任意取用，应采用与基坑开挖过程土中孔隙水的排水和应力路径基本一致的试验方法得到的指标。</w:t>
      </w:r>
    </w:p>
    <w:p>
      <w:pPr>
        <w:widowControl w:val="0"/>
        <w:spacing w:line="480" w:lineRule="exact"/>
        <w:ind w:firstLine="480" w:firstLineChars="200"/>
        <w:rPr>
          <w:rFonts w:ascii="宋体" w:hAnsi="宋体"/>
          <w:szCs w:val="24"/>
        </w:rPr>
      </w:pPr>
      <w:r>
        <w:rPr>
          <w:rFonts w:hint="eastAsia" w:ascii="宋体" w:hAnsi="宋体"/>
          <w:szCs w:val="24"/>
        </w:rPr>
        <w:t>土的抗剪强度指标试验方法有三轴剪切试验与直接剪切试验。理论上讲，用三轴试验更科学合理，但目前大量工程勘察仅提供了直接剪切试验的抗剪强度指标，致使采用直接剪切试验强度指标设计计算的基坑工程为数不少，在支护结构设计上积累了丰富的工程经验。从目前的岩土工程试验技术的实际发展状况看，直接剪切试验尚会与三轴剪切试验并存，不会被三轴剪切试验完全取代。但从发展的角度 ，应提倡用三轴剪切试验强度指标，但应与已有成熟工程应用经验的直接剪切试验指标进行对比。目前，在缺少三轴剪切试验强度指标的情况下，用直接剪切试验强度指标计算土压力和验算土的稳定性是符合我省现实情况的。因此，为适应目前的现实状况，本</w:t>
      </w:r>
      <w:r>
        <w:rPr>
          <w:rFonts w:hint="eastAsia" w:ascii="宋体" w:hAnsi="宋体"/>
          <w:szCs w:val="24"/>
          <w:lang w:eastAsia="zh-CN"/>
        </w:rPr>
        <w:t>标准</w:t>
      </w:r>
      <w:r>
        <w:rPr>
          <w:rFonts w:hint="eastAsia" w:ascii="宋体" w:hAnsi="宋体"/>
          <w:szCs w:val="24"/>
        </w:rPr>
        <w:t>采用了上述两种试验方法均可选用的处理方法。</w:t>
      </w:r>
    </w:p>
    <w:p>
      <w:pPr>
        <w:widowControl w:val="0"/>
        <w:spacing w:line="480" w:lineRule="exact"/>
        <w:ind w:firstLine="480" w:firstLineChars="200"/>
        <w:rPr>
          <w:rFonts w:ascii="宋体" w:hAnsi="宋体"/>
          <w:szCs w:val="24"/>
        </w:rPr>
      </w:pPr>
      <w:r>
        <w:rPr>
          <w:rFonts w:hint="eastAsia" w:ascii="宋体" w:hAnsi="宋体"/>
          <w:szCs w:val="24"/>
        </w:rPr>
        <w:t>由于基坑开挖过程是卸载过程，基坑外侧的土中总应力变化情况是小主应力减小，大主应力不增加，黏性土在剪切过程可看作是不排水的。而且，在我省</w:t>
      </w:r>
      <w:r>
        <w:rPr>
          <w:rFonts w:hint="eastAsia"/>
        </w:rPr>
        <w:t>常见高水位场地且常</w:t>
      </w:r>
      <w:r>
        <w:rPr>
          <w:rFonts w:hint="eastAsia" w:ascii="宋体" w:hAnsi="宋体"/>
          <w:szCs w:val="24"/>
        </w:rPr>
        <w:t>做有截水帷幕，可认为土体也不排水。因此认为，土压力计算与稳定性分析时，均采用在土的有效自重应力下预固结的三轴不固结不排水抗剪强度指标或固结快剪较符合实际情况。</w:t>
      </w:r>
    </w:p>
    <w:p>
      <w:pPr>
        <w:widowControl w:val="0"/>
        <w:spacing w:line="480" w:lineRule="exact"/>
        <w:ind w:firstLine="480" w:firstLineChars="200"/>
        <w:rPr>
          <w:rFonts w:ascii="宋体" w:hAnsi="宋体"/>
          <w:szCs w:val="24"/>
        </w:rPr>
      </w:pPr>
      <w:r>
        <w:rPr>
          <w:rFonts w:hint="eastAsia" w:ascii="宋体" w:hAnsi="宋体"/>
          <w:szCs w:val="24"/>
        </w:rPr>
        <w:t>为避免个别工程勘察项目抗剪强度试验数据粗糙对直接取用抗剪强度试验参数所带来的设计不安全或不合理，选取土的抗剪强度指标时，尚需将剪切试验的抗剪强度指标与土的其他室内与原位试验的物理力学参数进行对比分析，判断其试验指标的可靠性，防止误用。当抗剪强度指标与其他物理力学参数的相关性较差，或岩土勘察资料中缺少符合实际基坑开挖条件的试验方法的抗剪强度指标时，在有经验时应结合类似工程经验和相邻、相近场地的岩土勘察试验数据并通过可靠的综合分析判断后合理取值。缺少经验时，则应取偏于安全的试验方法得出的抗剪强度指标。</w:t>
      </w:r>
    </w:p>
    <w:p>
      <w:pPr>
        <w:widowControl w:val="0"/>
        <w:spacing w:line="480" w:lineRule="exact"/>
        <w:ind w:firstLine="480" w:firstLineChars="200"/>
        <w:rPr>
          <w:rFonts w:ascii="宋体" w:hAnsi="宋体"/>
          <w:szCs w:val="24"/>
        </w:rPr>
      </w:pPr>
      <w:r>
        <w:rPr>
          <w:rFonts w:hint="eastAsia" w:ascii="宋体" w:hAnsi="宋体"/>
          <w:szCs w:val="24"/>
        </w:rPr>
        <w:t>软黏土灵敏度高，在受如打桩或土钉施工等扰动后强度下降明显</w:t>
      </w:r>
      <w:r>
        <w:rPr>
          <w:rFonts w:hint="eastAsia"/>
        </w:rPr>
        <w:t>，</w:t>
      </w:r>
      <w:r>
        <w:rPr>
          <w:rFonts w:hint="eastAsia" w:ascii="宋体" w:hAnsi="宋体"/>
          <w:szCs w:val="24"/>
        </w:rPr>
        <w:t>常常从凝聚状态迅速过渡到胶溶状态，发生触变现象。因此，灵敏度土强度降低的不利影响是不可忽视的。</w:t>
      </w:r>
    </w:p>
    <w:p>
      <w:pPr>
        <w:pStyle w:val="3"/>
        <w:bidi w:val="0"/>
      </w:pPr>
      <w:bookmarkStart w:id="1155" w:name="_Toc385576983"/>
      <w:bookmarkStart w:id="1156" w:name="_Toc29574"/>
      <w:bookmarkStart w:id="1157" w:name="_Toc16306"/>
      <w:bookmarkStart w:id="1158" w:name="_Toc22970"/>
      <w:bookmarkStart w:id="1159" w:name="_Toc388643490"/>
      <w:bookmarkStart w:id="1160" w:name="_Toc12848"/>
      <w:bookmarkStart w:id="1161" w:name="_Toc385518886"/>
      <w:bookmarkStart w:id="1162" w:name="_Toc385579368"/>
      <w:bookmarkStart w:id="1163" w:name="_Toc27180"/>
      <w:bookmarkStart w:id="1164" w:name="_Toc388643607"/>
      <w:r>
        <w:t xml:space="preserve">5.4  </w:t>
      </w:r>
      <w:r>
        <w:rPr>
          <w:rFonts w:hint="eastAsia"/>
        </w:rPr>
        <w:t>计算原则</w:t>
      </w:r>
      <w:bookmarkEnd w:id="1155"/>
      <w:bookmarkEnd w:id="1156"/>
      <w:bookmarkEnd w:id="1157"/>
      <w:bookmarkEnd w:id="1158"/>
      <w:bookmarkEnd w:id="1159"/>
      <w:bookmarkEnd w:id="1160"/>
      <w:bookmarkEnd w:id="1161"/>
      <w:bookmarkEnd w:id="1162"/>
      <w:bookmarkEnd w:id="1163"/>
      <w:bookmarkEnd w:id="1164"/>
    </w:p>
    <w:p>
      <w:pPr>
        <w:widowControl w:val="0"/>
        <w:spacing w:line="480" w:lineRule="exact"/>
        <w:rPr>
          <w:rFonts w:ascii="宋体" w:hAnsi="宋体"/>
          <w:szCs w:val="24"/>
        </w:rPr>
      </w:pPr>
      <w:r>
        <w:rPr>
          <w:rFonts w:ascii="Times New Roman" w:hAnsi="Times New Roman"/>
          <w:b/>
          <w:szCs w:val="24"/>
        </w:rPr>
        <w:t>5.4.1</w:t>
      </w:r>
      <w:r>
        <w:rPr>
          <w:rFonts w:hint="eastAsia" w:ascii="宋体" w:hAnsi="宋体"/>
          <w:szCs w:val="24"/>
        </w:rPr>
        <w:t xml:space="preserve"> 在计算作用于支护结构上的荷载时，对于地下水位以下的土体，须同时考虑土压力和水压力的作用。在采用水土分算方法时，土压力和水压力分别作为作用于支护结构上的两项荷载；在采用水土合算方法时，土压力和水压力合并计算，作为作用于支护结构上的总荷载。</w:t>
      </w:r>
    </w:p>
    <w:p>
      <w:pPr>
        <w:widowControl w:val="0"/>
        <w:spacing w:line="480" w:lineRule="exact"/>
        <w:ind w:firstLine="480" w:firstLineChars="200"/>
        <w:rPr>
          <w:rFonts w:ascii="宋体" w:hAnsi="宋体"/>
          <w:szCs w:val="24"/>
        </w:rPr>
      </w:pPr>
      <w:r>
        <w:rPr>
          <w:rFonts w:hint="eastAsia" w:ascii="宋体" w:hAnsi="宋体"/>
          <w:szCs w:val="24"/>
        </w:rPr>
        <w:t>在理论上，土压力源于土颗粒的堆积挤压作用，水压力源于孔隙水的孔隙水压作用，而地下水又对颗粒产生或多或少的悬浮作用。土压力和水压力应该是分别作用于支护结构上的，土压力应按有效重度计算，水压力应按孔隙水压力计算。实际上，黏性土的渗透系数很小，具有粘聚性，地下水对土颗粒的浮力和作用于支护结构上的孔隙水压力均很小，故黏性土、黏质粉土可以近似按水土合算方法计算，对于碎石土、粉土、砂质粉土和砂土，渗透系数较大，粘聚性很小，采用水土分算方法比较合理</w:t>
      </w:r>
      <w:r>
        <w:rPr>
          <w:rFonts w:hint="eastAsia"/>
        </w:rPr>
        <w:t>。</w:t>
      </w:r>
      <w:r>
        <w:rPr>
          <w:rFonts w:hint="eastAsia" w:ascii="宋体" w:hAnsi="宋体"/>
          <w:szCs w:val="24"/>
        </w:rPr>
        <w:t>为便于计算和偏于安全考虑，计算水压力时采用静水压力而非孔隙水压力。从以往的工程设计经验看，这样处理的结果与实际情况比较符合，并已被工程界广泛接受。</w:t>
      </w:r>
    </w:p>
    <w:p>
      <w:pPr>
        <w:widowControl w:val="0"/>
        <w:spacing w:line="480" w:lineRule="exact"/>
        <w:ind w:firstLine="470" w:firstLineChars="196"/>
        <w:rPr>
          <w:rFonts w:ascii="宋体" w:hAnsi="宋体"/>
          <w:szCs w:val="24"/>
        </w:rPr>
      </w:pPr>
      <w:r>
        <w:rPr>
          <w:rFonts w:hint="eastAsia" w:ascii="宋体" w:hAnsi="宋体"/>
          <w:szCs w:val="24"/>
        </w:rPr>
        <w:t>土层的渗透性不同，地下水对地下水位以下土层作用于支护结构上的侧压力的影响也不同。在水土分算时，水压力的分布模式的选择需区分地下水有无渗流的情况。对于采用截水帷幕且进入坑底相对不透水层时，虽然基坑内外有水头差，但可近似认为无渗流产生，按静水压力考虑。</w:t>
      </w:r>
    </w:p>
    <w:p>
      <w:pPr>
        <w:pStyle w:val="3"/>
        <w:bidi w:val="0"/>
      </w:pPr>
      <w:bookmarkStart w:id="1165" w:name="_Toc385576984"/>
      <w:bookmarkStart w:id="1166" w:name="_Toc388643491"/>
      <w:bookmarkStart w:id="1167" w:name="_Toc385579369"/>
      <w:bookmarkStart w:id="1168" w:name="_Toc14115"/>
      <w:bookmarkStart w:id="1169" w:name="_Toc14876"/>
      <w:bookmarkStart w:id="1170" w:name="_Toc30859"/>
      <w:bookmarkStart w:id="1171" w:name="_Toc16118"/>
      <w:bookmarkStart w:id="1172" w:name="_Toc385518887"/>
      <w:bookmarkStart w:id="1173" w:name="_Toc3115"/>
      <w:bookmarkStart w:id="1174" w:name="_Toc388643608"/>
      <w:r>
        <w:t xml:space="preserve">5.5  </w:t>
      </w:r>
      <w:r>
        <w:rPr>
          <w:rFonts w:hint="eastAsia"/>
        </w:rPr>
        <w:t>水平荷载</w:t>
      </w:r>
      <w:bookmarkEnd w:id="1165"/>
      <w:bookmarkEnd w:id="1166"/>
      <w:bookmarkEnd w:id="1167"/>
      <w:bookmarkEnd w:id="1168"/>
      <w:bookmarkEnd w:id="1169"/>
      <w:bookmarkEnd w:id="1170"/>
      <w:bookmarkEnd w:id="1171"/>
      <w:bookmarkEnd w:id="1172"/>
      <w:bookmarkEnd w:id="1173"/>
      <w:bookmarkEnd w:id="1174"/>
    </w:p>
    <w:p>
      <w:pPr>
        <w:widowControl w:val="0"/>
        <w:spacing w:line="480" w:lineRule="exact"/>
        <w:rPr>
          <w:rFonts w:ascii="宋体" w:hAnsi="宋体"/>
          <w:szCs w:val="24"/>
        </w:rPr>
      </w:pPr>
      <w:r>
        <w:rPr>
          <w:rFonts w:hint="eastAsia" w:ascii="Times New Roman" w:hAnsi="Times New Roman"/>
          <w:b/>
          <w:szCs w:val="24"/>
        </w:rPr>
        <w:t xml:space="preserve">5.5.1 </w:t>
      </w:r>
      <w:r>
        <w:rPr>
          <w:rFonts w:hint="eastAsia" w:ascii="宋体" w:hAnsi="宋体"/>
          <w:szCs w:val="24"/>
        </w:rPr>
        <w:t>挡土结构上的土压力计算是个比较复杂的问题，根据不同的计算理论和假定，得出了多种土压力计算方法。库仑土压力理论和朗肯土压力理论是工程中常用的两种经典土压力理论，但这两种理论的假设与实际工作情况有一定的出入，均是近似的方法，与实际测试数据有一定差别。一些试验证明，库伦土压力理论在计算主动土压力时，与实际较为接近。在计算被动土压力时，其计算结果往往偏大。</w:t>
      </w:r>
    </w:p>
    <w:p>
      <w:pPr>
        <w:pStyle w:val="12"/>
        <w:widowControl w:val="0"/>
        <w:spacing w:line="480" w:lineRule="exact"/>
        <w:ind w:firstLine="480" w:firstLineChars="200"/>
      </w:pPr>
      <w:r>
        <w:rPr>
          <w:rFonts w:hint="eastAsia" w:ascii="宋体" w:hAnsi="宋体"/>
          <w:szCs w:val="24"/>
        </w:rPr>
        <w:t>由于朗肯土压力方法的假定概念明确，与库仑土压力理论相比具有能直接得出土压力的分布</w:t>
      </w:r>
      <w:r>
        <w:rPr>
          <w:rFonts w:hint="eastAsia"/>
        </w:rPr>
        <w:t>、</w:t>
      </w:r>
      <w:r>
        <w:rPr>
          <w:rFonts w:hint="eastAsia" w:ascii="宋体" w:hAnsi="宋体"/>
          <w:szCs w:val="24"/>
        </w:rPr>
        <w:t>从而适合结构计算的优点，受到工程设计人员的普遍接受。但是，由于朗肯土压力是建立在半无限土体的假定之上，在实际基坑工程中基坑的边界条件有时不符合这一假定，如基坑邻近有建筑物的地下室时，支护结构与地下室之间是有限宽度的土体；再如，对排桩顶面低于自然地面的支护结构，</w:t>
      </w:r>
      <w:r>
        <w:rPr>
          <w:rFonts w:hint="eastAsia"/>
        </w:rPr>
        <w:t>通常</w:t>
      </w:r>
      <w:r>
        <w:rPr>
          <w:rFonts w:hint="eastAsia" w:ascii="宋体" w:hAnsi="宋体"/>
          <w:szCs w:val="24"/>
        </w:rPr>
        <w:t>是将桩顶以上土的自重化作均布荷载作用在桩顶平面上，然后再按朗肯公式计算土压力</w:t>
      </w:r>
      <w:r>
        <w:rPr>
          <w:rFonts w:hint="eastAsia"/>
        </w:rPr>
        <w:t>，但是当桩顶位置较低时会出现</w:t>
      </w:r>
      <w:r>
        <w:rPr>
          <w:rFonts w:hint="eastAsia" w:ascii="宋体" w:hAnsi="宋体"/>
          <w:szCs w:val="24"/>
        </w:rPr>
        <w:t>桩顶以上土层的自重折算成荷载后计算的土压力明显小于这部分土重实际产生的土压力。对于这类基坑边界条件，按朗肯土压力计算会有较大误差。所以，当朗肯土压力方法不能适用时，应考虑采用其他计算方法解决土压力的计算精度问题。</w:t>
      </w:r>
    </w:p>
    <w:p>
      <w:pPr>
        <w:widowControl w:val="0"/>
        <w:spacing w:line="480" w:lineRule="exact"/>
        <w:ind w:firstLine="480" w:firstLineChars="200"/>
        <w:rPr>
          <w:rFonts w:ascii="宋体" w:hAnsi="宋体"/>
          <w:szCs w:val="24"/>
        </w:rPr>
      </w:pPr>
      <w:r>
        <w:rPr>
          <w:rFonts w:hint="eastAsia" w:ascii="宋体" w:hAnsi="宋体"/>
          <w:szCs w:val="24"/>
        </w:rPr>
        <w:t>库仑土压力理论（滑动楔体法）的假定适用范围较广，对上面提到的两种情况，库仑方法能够计算出土压力的合力，但是不好解决成层土的土压力分布问题，不利于结构计算。为此，本</w:t>
      </w:r>
      <w:r>
        <w:rPr>
          <w:rFonts w:hint="eastAsia" w:ascii="宋体" w:hAnsi="宋体"/>
          <w:szCs w:val="24"/>
          <w:lang w:eastAsia="zh-CN"/>
        </w:rPr>
        <w:t>标准</w:t>
      </w:r>
      <w:r>
        <w:rPr>
          <w:rFonts w:hint="eastAsia" w:ascii="宋体" w:hAnsi="宋体"/>
          <w:szCs w:val="24"/>
        </w:rPr>
        <w:t>规定在不符合</w:t>
      </w:r>
      <w:r>
        <w:rPr>
          <w:rFonts w:hint="eastAsia"/>
        </w:rPr>
        <w:t>时</w:t>
      </w:r>
      <w:r>
        <w:rPr>
          <w:rFonts w:hint="eastAsia" w:ascii="宋体" w:hAnsi="宋体"/>
          <w:szCs w:val="24"/>
        </w:rPr>
        <w:t>朗肯土压力计算条件，可采用库仑方法计算土压力。但库仑方法在考虑墙背摩擦角时计算的被动土压力偏大，不应用于被动土压力的计算。</w:t>
      </w:r>
    </w:p>
    <w:p>
      <w:pPr>
        <w:widowControl w:val="0"/>
        <w:spacing w:line="480" w:lineRule="exact"/>
        <w:ind w:firstLine="480" w:firstLineChars="200"/>
        <w:rPr>
          <w:rFonts w:ascii="宋体" w:hAnsi="宋体"/>
          <w:szCs w:val="24"/>
        </w:rPr>
      </w:pPr>
      <w:r>
        <w:rPr>
          <w:rFonts w:hint="eastAsia" w:ascii="宋体" w:hAnsi="宋体"/>
          <w:szCs w:val="24"/>
        </w:rPr>
        <w:t>考虑结构与土相互作用的土压力计算方法，理论上更科学，从长远考虑该方法应是岩土工程中支挡结构计算技术的一个发展方向。从促进技术发展角度，对先进的计算方法不应加以限制。但是，目前考虑结构与土相互作用的土压力计算方法在工程应用上尚不够成熟，现阶段只有在有经验时才能采用，如方法使用不当反而会弄巧成拙。</w:t>
      </w:r>
    </w:p>
    <w:p>
      <w:pPr>
        <w:widowControl w:val="0"/>
        <w:spacing w:line="480" w:lineRule="exact"/>
        <w:ind w:firstLine="480" w:firstLineChars="200"/>
        <w:rPr>
          <w:rFonts w:ascii="宋体" w:hAnsi="宋体"/>
          <w:szCs w:val="24"/>
        </w:rPr>
      </w:pPr>
      <w:r>
        <w:rPr>
          <w:rFonts w:hint="eastAsia" w:ascii="宋体" w:hAnsi="宋体"/>
          <w:szCs w:val="24"/>
        </w:rPr>
        <w:t>静止土压力系数宜通过试验测定。当无试验条件时，对正常固结土也可按下表估算。</w:t>
      </w:r>
    </w:p>
    <w:p>
      <w:pPr>
        <w:widowControl w:val="0"/>
        <w:jc w:val="center"/>
        <w:rPr>
          <w:b/>
          <w:sz w:val="21"/>
          <w:szCs w:val="21"/>
        </w:rPr>
      </w:pPr>
      <w:r>
        <w:rPr>
          <w:rFonts w:hint="eastAsia"/>
          <w:b/>
          <w:sz w:val="21"/>
          <w:szCs w:val="21"/>
        </w:rPr>
        <w:t>静止土压力系数K</w:t>
      </w:r>
      <w:r>
        <w:rPr>
          <w:rFonts w:hint="eastAsia" w:ascii="Times New Roman" w:hAnsi="Times New Roman"/>
          <w:b/>
          <w:sz w:val="21"/>
          <w:szCs w:val="21"/>
          <w:vertAlign w:val="subscript"/>
        </w:rPr>
        <w:t>0</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120"/>
        <w:gridCol w:w="2379"/>
        <w:gridCol w:w="1442"/>
        <w:gridCol w:w="1442"/>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829" w:type="dxa"/>
            <w:vAlign w:val="center"/>
          </w:tcPr>
          <w:p>
            <w:pPr>
              <w:widowControl w:val="0"/>
              <w:jc w:val="center"/>
              <w:rPr>
                <w:sz w:val="21"/>
                <w:szCs w:val="21"/>
              </w:rPr>
            </w:pPr>
            <w:r>
              <w:rPr>
                <w:rFonts w:hint="eastAsia"/>
                <w:sz w:val="21"/>
                <w:szCs w:val="21"/>
              </w:rPr>
              <w:t>土类</w:t>
            </w:r>
          </w:p>
        </w:tc>
        <w:tc>
          <w:tcPr>
            <w:tcW w:w="1120" w:type="dxa"/>
            <w:vAlign w:val="center"/>
          </w:tcPr>
          <w:p>
            <w:pPr>
              <w:widowControl w:val="0"/>
              <w:jc w:val="center"/>
              <w:rPr>
                <w:sz w:val="21"/>
                <w:szCs w:val="21"/>
              </w:rPr>
            </w:pPr>
            <w:r>
              <w:rPr>
                <w:rFonts w:hint="eastAsia"/>
                <w:sz w:val="21"/>
                <w:szCs w:val="21"/>
              </w:rPr>
              <w:t>坚硬土</w:t>
            </w:r>
          </w:p>
        </w:tc>
        <w:tc>
          <w:tcPr>
            <w:tcW w:w="2379" w:type="dxa"/>
            <w:vAlign w:val="center"/>
          </w:tcPr>
          <w:p>
            <w:pPr>
              <w:widowControl w:val="0"/>
              <w:jc w:val="center"/>
              <w:rPr>
                <w:sz w:val="21"/>
                <w:szCs w:val="21"/>
              </w:rPr>
            </w:pPr>
            <w:r>
              <w:rPr>
                <w:rFonts w:hint="eastAsia"/>
                <w:sz w:val="21"/>
                <w:szCs w:val="21"/>
              </w:rPr>
              <w:t>硬-可塑黏性土、粉质黏土、砂土</w:t>
            </w:r>
          </w:p>
        </w:tc>
        <w:tc>
          <w:tcPr>
            <w:tcW w:w="1442" w:type="dxa"/>
            <w:vAlign w:val="center"/>
          </w:tcPr>
          <w:p>
            <w:pPr>
              <w:widowControl w:val="0"/>
              <w:jc w:val="center"/>
              <w:rPr>
                <w:sz w:val="21"/>
                <w:szCs w:val="21"/>
              </w:rPr>
            </w:pPr>
            <w:r>
              <w:rPr>
                <w:rFonts w:hint="eastAsia"/>
                <w:sz w:val="21"/>
                <w:szCs w:val="21"/>
              </w:rPr>
              <w:t>可-软塑</w:t>
            </w:r>
          </w:p>
          <w:p>
            <w:pPr>
              <w:widowControl w:val="0"/>
              <w:jc w:val="center"/>
              <w:rPr>
                <w:sz w:val="21"/>
                <w:szCs w:val="21"/>
              </w:rPr>
            </w:pPr>
            <w:r>
              <w:rPr>
                <w:rFonts w:hint="eastAsia"/>
                <w:sz w:val="21"/>
                <w:szCs w:val="21"/>
              </w:rPr>
              <w:t>黏性土</w:t>
            </w:r>
          </w:p>
        </w:tc>
        <w:tc>
          <w:tcPr>
            <w:tcW w:w="1442" w:type="dxa"/>
            <w:vAlign w:val="center"/>
          </w:tcPr>
          <w:p>
            <w:pPr>
              <w:widowControl w:val="0"/>
              <w:jc w:val="center"/>
              <w:rPr>
                <w:sz w:val="21"/>
                <w:szCs w:val="21"/>
              </w:rPr>
            </w:pPr>
            <w:r>
              <w:rPr>
                <w:rFonts w:hint="eastAsia"/>
                <w:sz w:val="21"/>
                <w:szCs w:val="21"/>
              </w:rPr>
              <w:t>软塑黏性土</w:t>
            </w:r>
          </w:p>
        </w:tc>
        <w:tc>
          <w:tcPr>
            <w:tcW w:w="1442" w:type="dxa"/>
            <w:vAlign w:val="center"/>
          </w:tcPr>
          <w:p>
            <w:pPr>
              <w:widowControl w:val="0"/>
              <w:jc w:val="center"/>
              <w:rPr>
                <w:sz w:val="21"/>
                <w:szCs w:val="21"/>
              </w:rPr>
            </w:pPr>
            <w:r>
              <w:rPr>
                <w:rFonts w:hint="eastAsia"/>
                <w:sz w:val="21"/>
                <w:szCs w:val="21"/>
              </w:rPr>
              <w:t>流塑黏性土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29" w:type="dxa"/>
            <w:vAlign w:val="center"/>
          </w:tcPr>
          <w:p>
            <w:pPr>
              <w:widowControl w:val="0"/>
              <w:jc w:val="center"/>
              <w:rPr>
                <w:sz w:val="21"/>
                <w:szCs w:val="21"/>
              </w:rPr>
            </w:pPr>
            <w:r>
              <w:rPr>
                <w:rFonts w:hint="eastAsia"/>
                <w:i/>
                <w:iCs/>
                <w:sz w:val="21"/>
                <w:szCs w:val="21"/>
              </w:rPr>
              <w:t>K</w:t>
            </w:r>
            <w:r>
              <w:rPr>
                <w:rFonts w:hint="eastAsia" w:ascii="Times New Roman" w:hAnsi="Times New Roman"/>
                <w:sz w:val="21"/>
                <w:szCs w:val="21"/>
                <w:vertAlign w:val="subscript"/>
              </w:rPr>
              <w:t>0</w:t>
            </w:r>
          </w:p>
        </w:tc>
        <w:tc>
          <w:tcPr>
            <w:tcW w:w="1120" w:type="dxa"/>
            <w:vAlign w:val="center"/>
          </w:tcPr>
          <w:p>
            <w:pPr>
              <w:widowControl w:val="0"/>
              <w:jc w:val="center"/>
              <w:rPr>
                <w:sz w:val="21"/>
                <w:szCs w:val="21"/>
              </w:rPr>
            </w:pP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2</w:t>
            </w:r>
            <w:r>
              <w:rPr>
                <w:rFonts w:hint="eastAsia" w:ascii="宋体"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4</w:t>
            </w:r>
          </w:p>
        </w:tc>
        <w:tc>
          <w:tcPr>
            <w:tcW w:w="2379" w:type="dxa"/>
            <w:vAlign w:val="center"/>
          </w:tcPr>
          <w:p>
            <w:pPr>
              <w:widowControl w:val="0"/>
              <w:jc w:val="center"/>
              <w:rPr>
                <w:sz w:val="21"/>
                <w:szCs w:val="21"/>
              </w:rPr>
            </w:pP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4</w:t>
            </w:r>
            <w:r>
              <w:rPr>
                <w:rFonts w:hint="eastAsia" w:ascii="宋体"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5</w:t>
            </w:r>
          </w:p>
        </w:tc>
        <w:tc>
          <w:tcPr>
            <w:tcW w:w="1442" w:type="dxa"/>
            <w:vAlign w:val="center"/>
          </w:tcPr>
          <w:p>
            <w:pPr>
              <w:widowControl w:val="0"/>
              <w:jc w:val="center"/>
              <w:rPr>
                <w:sz w:val="21"/>
                <w:szCs w:val="21"/>
              </w:rPr>
            </w:pP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5</w:t>
            </w:r>
            <w:r>
              <w:rPr>
                <w:rFonts w:hint="eastAsia" w:ascii="宋体"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6</w:t>
            </w:r>
          </w:p>
        </w:tc>
        <w:tc>
          <w:tcPr>
            <w:tcW w:w="1442" w:type="dxa"/>
            <w:vAlign w:val="center"/>
          </w:tcPr>
          <w:p>
            <w:pPr>
              <w:widowControl w:val="0"/>
              <w:jc w:val="center"/>
              <w:rPr>
                <w:sz w:val="21"/>
                <w:szCs w:val="21"/>
              </w:rPr>
            </w:pP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6</w:t>
            </w:r>
            <w:r>
              <w:rPr>
                <w:rFonts w:hint="eastAsia" w:ascii="宋体"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75</w:t>
            </w:r>
          </w:p>
        </w:tc>
        <w:tc>
          <w:tcPr>
            <w:tcW w:w="1442" w:type="dxa"/>
            <w:vAlign w:val="center"/>
          </w:tcPr>
          <w:p>
            <w:pPr>
              <w:widowControl w:val="0"/>
              <w:jc w:val="center"/>
              <w:rPr>
                <w:sz w:val="21"/>
                <w:szCs w:val="21"/>
              </w:rPr>
            </w:pP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75</w:t>
            </w:r>
            <w:r>
              <w:rPr>
                <w:rFonts w:hint="eastAsia" w:ascii="宋体"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8</w:t>
            </w:r>
          </w:p>
        </w:tc>
      </w:tr>
    </w:tbl>
    <w:p>
      <w:pPr>
        <w:bidi w:val="0"/>
        <w:rPr>
          <w:rFonts w:hint="eastAsia"/>
        </w:rPr>
      </w:pPr>
      <w:bookmarkStart w:id="1175" w:name="_Toc1611"/>
    </w:p>
    <w:p>
      <w:pPr>
        <w:widowControl w:val="0"/>
        <w:spacing w:line="480" w:lineRule="exact"/>
        <w:ind w:left="617" w:leftChars="257"/>
        <w:rPr>
          <w:rFonts w:hint="eastAsia" w:ascii="宋体" w:hAnsi="宋体"/>
          <w:szCs w:val="28"/>
        </w:rPr>
      </w:pPr>
      <w:bookmarkStart w:id="1176" w:name="_Toc25082"/>
      <w:bookmarkStart w:id="1177" w:name="_Toc21852"/>
      <w:r>
        <w:rPr>
          <w:rFonts w:hint="eastAsia" w:ascii="宋体" w:hAnsi="宋体"/>
          <w:szCs w:val="28"/>
        </w:rPr>
        <w:t>也可按下式进行估算：正常固结土</w:t>
      </w:r>
      <w:bookmarkEnd w:id="1175"/>
      <w:bookmarkEnd w:id="1176"/>
      <w:bookmarkEnd w:id="1177"/>
    </w:p>
    <w:p>
      <w:pPr>
        <w:widowControl w:val="0"/>
        <w:spacing w:line="480" w:lineRule="exact"/>
        <w:ind w:left="617" w:leftChars="257"/>
        <w:jc w:val="center"/>
        <w:rPr>
          <w:rFonts w:ascii="宋体" w:hAnsi="宋体"/>
          <w:szCs w:val="28"/>
        </w:rPr>
      </w:pPr>
      <w:r>
        <w:rPr>
          <w:rFonts w:ascii="宋体" w:hAnsi="宋体"/>
          <w:position w:val="-12"/>
          <w:szCs w:val="28"/>
        </w:rPr>
        <w:object>
          <v:shape id="_x0000_i1330" o:spt="75" type="#_x0000_t75" style="height:18.2pt;width:68.85pt;" o:ole="t" filled="f" coordsize="21600,21600">
            <v:path/>
            <v:fill on="f" focussize="0,0"/>
            <v:stroke/>
            <v:imagedata r:id="rId828" o:title=""/>
            <o:lock v:ext="edit" aspectratio="t"/>
            <w10:wrap type="none"/>
            <w10:anchorlock/>
          </v:shape>
          <o:OLEObject Type="Embed" ProgID="Equation.3" ShapeID="_x0000_i1330" DrawAspect="Content" ObjectID="_1468076010" r:id="rId827">
            <o:LockedField>false</o:LockedField>
          </o:OLEObject>
        </w:object>
      </w:r>
    </w:p>
    <w:p>
      <w:pPr>
        <w:widowControl w:val="0"/>
        <w:spacing w:line="480" w:lineRule="exact"/>
        <w:ind w:left="617" w:leftChars="257"/>
        <w:rPr>
          <w:rFonts w:ascii="宋体" w:hAnsi="宋体"/>
          <w:szCs w:val="28"/>
        </w:rPr>
      </w:pPr>
      <w:r>
        <w:rPr>
          <w:rFonts w:hint="eastAsia" w:ascii="宋体" w:hAnsi="宋体"/>
          <w:szCs w:val="28"/>
        </w:rPr>
        <w:t>超固结土</w:t>
      </w:r>
    </w:p>
    <w:p>
      <w:pPr>
        <w:widowControl w:val="0"/>
        <w:spacing w:line="480" w:lineRule="exact"/>
        <w:ind w:left="617" w:leftChars="257"/>
        <w:jc w:val="center"/>
        <w:rPr>
          <w:rFonts w:ascii="宋体" w:hAnsi="宋体"/>
          <w:szCs w:val="28"/>
        </w:rPr>
      </w:pPr>
      <w:r>
        <w:rPr>
          <w:rFonts w:ascii="宋体" w:hAnsi="宋体"/>
          <w:position w:val="-12"/>
          <w:szCs w:val="28"/>
        </w:rPr>
        <w:object>
          <v:shape id="_x0000_i1331" o:spt="75" type="#_x0000_t75" style="height:19pt;width:85.45pt;" o:ole="t" filled="f" coordsize="21600,21600">
            <v:path/>
            <v:fill on="f" focussize="0,0"/>
            <v:stroke/>
            <v:imagedata r:id="rId830" o:title=""/>
            <o:lock v:ext="edit" aspectratio="t"/>
            <w10:wrap type="none"/>
            <w10:anchorlock/>
          </v:shape>
          <o:OLEObject Type="Embed" ProgID="Equation.3" ShapeID="_x0000_i1331" DrawAspect="Content" ObjectID="_1468076011" r:id="rId829">
            <o:LockedField>false</o:LockedField>
          </o:OLEObject>
        </w:object>
      </w:r>
    </w:p>
    <w:p>
      <w:pPr>
        <w:widowControl w:val="0"/>
        <w:spacing w:line="480" w:lineRule="exact"/>
        <w:rPr>
          <w:rFonts w:ascii="宋体" w:hAnsi="宋体"/>
          <w:szCs w:val="28"/>
        </w:rPr>
      </w:pPr>
      <w:r>
        <w:rPr>
          <w:rFonts w:hint="eastAsia" w:ascii="宋体" w:hAnsi="宋体"/>
          <w:szCs w:val="28"/>
        </w:rPr>
        <w:t>式中：</w:t>
      </w:r>
      <w:r>
        <w:rPr>
          <w:rFonts w:hint="eastAsia" w:ascii="宋体" w:hAnsi="宋体"/>
          <w:position w:val="-10"/>
          <w:szCs w:val="28"/>
        </w:rPr>
        <w:object>
          <v:shape id="_x0000_i1332" o:spt="75" type="#_x0000_t75" style="height:15.8pt;width:13.45pt;" o:ole="t" filled="f" coordsize="21600,21600">
            <v:path/>
            <v:fill on="f" focussize="0,0"/>
            <v:stroke/>
            <v:imagedata r:id="rId832" o:title=""/>
            <o:lock v:ext="edit" aspectratio="t"/>
            <w10:wrap type="none"/>
            <w10:anchorlock/>
          </v:shape>
          <o:OLEObject Type="Embed" ProgID="Equation.3" ShapeID="_x0000_i1332" DrawAspect="Content" ObjectID="_1468076012" r:id="rId831">
            <o:LockedField>false</o:LockedField>
          </o:OLEObject>
        </w:object>
      </w:r>
      <w:r>
        <w:rPr>
          <w:rFonts w:ascii="Times New Roman" w:hAnsi="Times New Roman"/>
          <w:szCs w:val="24"/>
        </w:rPr>
        <w:t>——</w:t>
      </w:r>
      <w:r>
        <w:rPr>
          <w:rFonts w:hint="eastAsia" w:ascii="宋体" w:hAnsi="宋体"/>
          <w:szCs w:val="28"/>
        </w:rPr>
        <w:t>土的有效内摩擦角。</w:t>
      </w:r>
    </w:p>
    <w:p>
      <w:pPr>
        <w:widowControl w:val="0"/>
        <w:spacing w:line="480" w:lineRule="exact"/>
        <w:ind w:firstLine="480" w:firstLineChars="200"/>
        <w:rPr>
          <w:rFonts w:ascii="宋体" w:hAnsi="宋体"/>
          <w:szCs w:val="28"/>
        </w:rPr>
      </w:pPr>
      <w:r>
        <w:rPr>
          <w:rFonts w:hint="eastAsia" w:ascii="宋体" w:hAnsi="宋体"/>
          <w:szCs w:val="28"/>
        </w:rPr>
        <w:t>对于位移要求严格的支护结构，在设计时可按静止土压力作为侧向土压力，但要采用合理的支护结构形式。</w:t>
      </w:r>
    </w:p>
    <w:p>
      <w:pPr>
        <w:widowControl w:val="0"/>
        <w:spacing w:line="480" w:lineRule="exact"/>
        <w:ind w:firstLine="480" w:firstLineChars="200"/>
        <w:rPr>
          <w:rFonts w:ascii="宋体" w:hAnsi="宋体"/>
          <w:szCs w:val="28"/>
        </w:rPr>
      </w:pPr>
      <w:r>
        <w:rPr>
          <w:rFonts w:hint="eastAsia" w:ascii="宋体" w:hAnsi="宋体"/>
          <w:szCs w:val="28"/>
        </w:rPr>
        <w:t>需要指出的是，经典的库伦和朗肯土压力理论均是作用于刚性支护结构上的土压力。而相对柔性的支护结构的土压力分布情况要比较复杂，设计时应根据具体情况进行分析，选择适当的土压力值。有条件时可采用现场实测、反演分析等方法总结地区经验，使得设计更加合理可靠。</w:t>
      </w:r>
    </w:p>
    <w:p>
      <w:pPr>
        <w:widowControl w:val="0"/>
        <w:spacing w:line="480" w:lineRule="exact"/>
        <w:rPr>
          <w:rFonts w:ascii="宋体" w:hAnsi="宋体"/>
          <w:szCs w:val="28"/>
        </w:rPr>
      </w:pPr>
      <w:r>
        <w:rPr>
          <w:rFonts w:hint="eastAsia" w:ascii="Times New Roman" w:hAnsi="Times New Roman"/>
          <w:b/>
          <w:szCs w:val="24"/>
        </w:rPr>
        <w:t xml:space="preserve">5.5.2 </w:t>
      </w:r>
      <w:r>
        <w:rPr>
          <w:rFonts w:hint="eastAsia" w:ascii="宋体" w:hAnsi="宋体"/>
          <w:szCs w:val="28"/>
        </w:rPr>
        <w:t>计算水压力时，应按有无产生地下水渗流的情况，采用不同的水压力分布模式。</w:t>
      </w:r>
    </w:p>
    <w:p>
      <w:pPr>
        <w:widowControl w:val="0"/>
        <w:spacing w:line="480" w:lineRule="exact"/>
        <w:ind w:firstLine="480" w:firstLineChars="200"/>
        <w:rPr>
          <w:rFonts w:ascii="宋体" w:hAnsi="宋体"/>
          <w:szCs w:val="28"/>
        </w:rPr>
      </w:pPr>
      <w:r>
        <w:rPr>
          <w:rFonts w:hint="eastAsia" w:ascii="宋体" w:hAnsi="宋体"/>
          <w:szCs w:val="28"/>
        </w:rPr>
        <w:t>支挡结构主动土压力侧的水压力按静水压力分布时，其静水压力在基坑内地下水位以上按三角形分布，以下按矩形分布。</w:t>
      </w:r>
    </w:p>
    <w:p>
      <w:pPr>
        <w:pStyle w:val="12"/>
        <w:widowControl w:val="0"/>
        <w:spacing w:line="360" w:lineRule="auto"/>
        <w:ind w:firstLine="480" w:firstLineChars="200"/>
        <w:rPr>
          <w:rFonts w:ascii="宋体" w:hAnsi="宋体"/>
          <w:szCs w:val="28"/>
        </w:rPr>
      </w:pPr>
      <w:r>
        <w:rPr>
          <w:rFonts w:hint="eastAsia" w:ascii="宋体" w:hAnsi="宋体"/>
          <w:szCs w:val="28"/>
        </w:rPr>
        <w:t>对于地下水有稳定渗流的情况，应考虑渗流产生的水头损失，水压力分布与静水压力不一致。对安全等级为一级的基坑，宜绘制地下水流网分析围护结构前后的水压力。但在实际工程中，设计人员希望采用简单的近似方法而不专门绘制流网，</w:t>
      </w:r>
      <w:r>
        <w:rPr>
          <w:rFonts w:hint="eastAsia"/>
        </w:rPr>
        <w:t>可考虑按下图</w:t>
      </w:r>
      <w:r>
        <w:rPr>
          <w:rFonts w:hint="eastAsia" w:ascii="宋体" w:hAnsi="宋体"/>
          <w:szCs w:val="28"/>
        </w:rPr>
        <w:t>所示的近似方法，取基坑内地下水位处的静水压力</w:t>
      </w:r>
      <w:r>
        <w:rPr>
          <w:position w:val="-12"/>
        </w:rPr>
        <w:drawing>
          <wp:inline distT="0" distB="0" distL="0" distR="0">
            <wp:extent cx="210820" cy="231140"/>
            <wp:effectExtent l="0" t="0" r="2540" b="13335"/>
            <wp:docPr id="204" name="图片 2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true" noChangeArrowheads="true"/>
                    </pic:cNvPicPr>
                  </pic:nvPicPr>
                  <pic:blipFill>
                    <a:blip r:embed="rId833" cstate="print">
                      <a:extLst>
                        <a:ext uri="{28A0092B-C50C-407E-A947-70E740481C1C}">
                          <a14:useLocalDpi xmlns:a14="http://schemas.microsoft.com/office/drawing/2010/main" val="false"/>
                        </a:ext>
                      </a:extLst>
                    </a:blip>
                    <a:srcRect/>
                    <a:stretch>
                      <a:fillRect/>
                    </a:stretch>
                  </pic:blipFill>
                  <pic:spPr>
                    <a:xfrm>
                      <a:off x="0" y="0"/>
                      <a:ext cx="210820" cy="231140"/>
                    </a:xfrm>
                    <a:prstGeom prst="rect">
                      <a:avLst/>
                    </a:prstGeom>
                    <a:noFill/>
                    <a:ln>
                      <a:noFill/>
                    </a:ln>
                  </pic:spPr>
                </pic:pic>
              </a:graphicData>
            </a:graphic>
          </wp:inline>
        </w:drawing>
      </w:r>
      <w:r>
        <w:rPr>
          <w:rFonts w:hint="eastAsia" w:ascii="宋体" w:hAnsi="宋体"/>
          <w:szCs w:val="28"/>
        </w:rPr>
        <w:t>为</w:t>
      </w:r>
      <w:r>
        <w:rPr>
          <w:position w:val="-30"/>
        </w:rPr>
        <w:object>
          <v:shape id="_x0000_i1333" o:spt="75" type="#_x0000_t75" style="height:34pt;width:76.75pt;" o:ole="t" filled="f" coordsize="21600,21600">
            <v:path/>
            <v:fill on="f" focussize="0,0"/>
            <v:stroke/>
            <v:imagedata r:id="rId835" o:title=""/>
            <o:lock v:ext="edit" aspectratio="t"/>
            <w10:wrap type="none"/>
            <w10:anchorlock/>
          </v:shape>
          <o:OLEObject Type="Embed" ProgID="Equation.3" ShapeID="_x0000_i1333" DrawAspect="Content" ObjectID="_1468076013" r:id="rId834">
            <o:LockedField>false</o:LockedField>
          </o:OLEObject>
        </w:object>
      </w:r>
      <w:r>
        <w:rPr>
          <w:rFonts w:hint="eastAsia"/>
        </w:rPr>
        <w:t>、</w:t>
      </w:r>
      <w:r>
        <w:rPr>
          <w:rFonts w:hint="eastAsia" w:ascii="宋体" w:hAnsi="宋体"/>
          <w:szCs w:val="28"/>
        </w:rPr>
        <w:t>支护结构底端处为</w:t>
      </w:r>
      <w:r>
        <w:rPr>
          <w:rFonts w:hint="eastAsia" w:ascii="Times New Roman" w:hAnsi="Times New Roman"/>
        </w:rPr>
        <w:t>0</w:t>
      </w:r>
      <w:r>
        <w:rPr>
          <w:rFonts w:hint="eastAsia" w:ascii="宋体" w:hAnsi="宋体"/>
          <w:szCs w:val="28"/>
        </w:rPr>
        <w:t>的直线分布计算作用于支护墙主动土压力侧的水压力。</w:t>
      </w:r>
    </w:p>
    <w:p>
      <w:pPr>
        <w:widowControl w:val="0"/>
        <w:ind w:firstLine="420"/>
        <w:jc w:val="center"/>
        <w:rPr>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r>
        <w:rPr>
          <w:color w:val="0000FF"/>
          <w:sz w:val="28"/>
          <w:szCs w:val="28"/>
        </w:rPr>
        <mc:AlternateContent>
          <mc:Choice Requires="wpg">
            <w:drawing>
              <wp:anchor distT="0" distB="0" distL="114300" distR="114300" simplePos="0" relativeHeight="251665408" behindDoc="1" locked="0" layoutInCell="1" allowOverlap="1">
                <wp:simplePos x="0" y="0"/>
                <wp:positionH relativeFrom="character">
                  <wp:posOffset>-1642745</wp:posOffset>
                </wp:positionH>
                <wp:positionV relativeFrom="line">
                  <wp:posOffset>-77470</wp:posOffset>
                </wp:positionV>
                <wp:extent cx="3807460" cy="2263775"/>
                <wp:effectExtent l="0" t="0" r="0" b="0"/>
                <wp:wrapTight wrapText="bothSides">
                  <wp:wrapPolygon>
                    <wp:start x="519" y="15541"/>
                    <wp:lineTo x="259" y="15559"/>
                    <wp:lineTo x="259" y="16723"/>
                    <wp:lineTo x="519" y="16753"/>
                    <wp:lineTo x="519" y="21164"/>
                    <wp:lineTo x="21081" y="21164"/>
                    <wp:lineTo x="21081" y="16729"/>
                    <wp:lineTo x="21096" y="16723"/>
                    <wp:lineTo x="21081" y="15656"/>
                    <wp:lineTo x="21081" y="3072"/>
                    <wp:lineTo x="21355" y="1600"/>
                    <wp:lineTo x="21081" y="1600"/>
                    <wp:lineTo x="21081" y="436"/>
                    <wp:lineTo x="519" y="436"/>
                    <wp:lineTo x="519" y="15541"/>
                  </wp:wrapPolygon>
                </wp:wrapTight>
                <wp:docPr id="228" name="组合 228"/>
                <wp:cNvGraphicFramePr/>
                <a:graphic xmlns:a="http://schemas.openxmlformats.org/drawingml/2006/main">
                  <a:graphicData uri="http://schemas.microsoft.com/office/word/2010/wordprocessingGroup">
                    <wpg:wgp>
                      <wpg:cNvGrpSpPr/>
                      <wpg:grpSpPr>
                        <a:xfrm>
                          <a:off x="0" y="0"/>
                          <a:ext cx="3807460" cy="2263775"/>
                          <a:chOff x="0" y="0"/>
                          <a:chExt cx="5856" cy="4571"/>
                        </a:xfrm>
                      </wpg:grpSpPr>
                      <wps:wsp>
                        <wps:cNvPr id="206" name="图片 31"/>
                        <wps:cNvSpPr>
                          <a:spLocks noChangeAspect="true" noChangeArrowheads="true" noTextEdit="true"/>
                        </wps:cNvSpPr>
                        <wps:spPr bwMode="auto">
                          <a:xfrm>
                            <a:off x="0" y="0"/>
                            <a:ext cx="5856" cy="4571"/>
                          </a:xfrm>
                          <a:prstGeom prst="rect">
                            <a:avLst/>
                          </a:prstGeom>
                          <a:noFill/>
                          <a:ln>
                            <a:noFill/>
                          </a:ln>
                        </wps:spPr>
                        <wps:bodyPr rot="0" vert="horz" wrap="square" lIns="91440" tIns="45720" rIns="91440" bIns="45720" anchor="t" anchorCtr="false" upright="true">
                          <a:noAutofit/>
                        </wps:bodyPr>
                      </wps:wsp>
                      <wps:wsp>
                        <wps:cNvPr id="207" name="未知"/>
                        <wps:cNvSpPr/>
                        <wps:spPr bwMode="auto">
                          <a:xfrm>
                            <a:off x="2517" y="361"/>
                            <a:ext cx="19" cy="38"/>
                          </a:xfrm>
                          <a:custGeom>
                            <a:avLst/>
                            <a:gdLst>
                              <a:gd name="T0" fmla="*/ 19 w 19"/>
                              <a:gd name="T1" fmla="*/ 19 h 38"/>
                              <a:gd name="T2" fmla="*/ 19 w 19"/>
                              <a:gd name="T3" fmla="*/ 38 h 38"/>
                              <a:gd name="T4" fmla="*/ 15 w 19"/>
                              <a:gd name="T5" fmla="*/ 37 h 38"/>
                              <a:gd name="T6" fmla="*/ 11 w 19"/>
                              <a:gd name="T7" fmla="*/ 36 h 38"/>
                              <a:gd name="T8" fmla="*/ 8 w 19"/>
                              <a:gd name="T9" fmla="*/ 33 h 38"/>
                              <a:gd name="T10" fmla="*/ 5 w 19"/>
                              <a:gd name="T11" fmla="*/ 30 h 38"/>
                              <a:gd name="T12" fmla="*/ 2 w 19"/>
                              <a:gd name="T13" fmla="*/ 27 h 38"/>
                              <a:gd name="T14" fmla="*/ 1 w 19"/>
                              <a:gd name="T15" fmla="*/ 23 h 38"/>
                              <a:gd name="T16" fmla="*/ 0 w 19"/>
                              <a:gd name="T17" fmla="*/ 19 h 38"/>
                              <a:gd name="T18" fmla="*/ 1 w 19"/>
                              <a:gd name="T19" fmla="*/ 15 h 38"/>
                              <a:gd name="T20" fmla="*/ 2 w 19"/>
                              <a:gd name="T21" fmla="*/ 11 h 38"/>
                              <a:gd name="T22" fmla="*/ 5 w 19"/>
                              <a:gd name="T23" fmla="*/ 7 h 38"/>
                              <a:gd name="T24" fmla="*/ 8 w 19"/>
                              <a:gd name="T25" fmla="*/ 4 h 38"/>
                              <a:gd name="T26" fmla="*/ 11 w 19"/>
                              <a:gd name="T27" fmla="*/ 2 h 38"/>
                              <a:gd name="T28" fmla="*/ 15 w 19"/>
                              <a:gd name="T29" fmla="*/ 0 h 38"/>
                              <a:gd name="T30" fmla="*/ 19 w 19"/>
                              <a:gd name="T31" fmla="*/ 0 h 38"/>
                              <a:gd name="T32" fmla="*/ 19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19" y="19"/>
                                </a:moveTo>
                                <a:lnTo>
                                  <a:pt x="19" y="38"/>
                                </a:lnTo>
                                <a:lnTo>
                                  <a:pt x="15" y="37"/>
                                </a:lnTo>
                                <a:lnTo>
                                  <a:pt x="11" y="36"/>
                                </a:lnTo>
                                <a:lnTo>
                                  <a:pt x="8" y="33"/>
                                </a:lnTo>
                                <a:lnTo>
                                  <a:pt x="5" y="30"/>
                                </a:lnTo>
                                <a:lnTo>
                                  <a:pt x="2" y="27"/>
                                </a:lnTo>
                                <a:lnTo>
                                  <a:pt x="1" y="23"/>
                                </a:lnTo>
                                <a:lnTo>
                                  <a:pt x="0" y="19"/>
                                </a:lnTo>
                                <a:lnTo>
                                  <a:pt x="1" y="15"/>
                                </a:lnTo>
                                <a:lnTo>
                                  <a:pt x="2" y="11"/>
                                </a:lnTo>
                                <a:lnTo>
                                  <a:pt x="5" y="7"/>
                                </a:lnTo>
                                <a:lnTo>
                                  <a:pt x="8" y="4"/>
                                </a:lnTo>
                                <a:lnTo>
                                  <a:pt x="11" y="2"/>
                                </a:lnTo>
                                <a:lnTo>
                                  <a:pt x="15" y="0"/>
                                </a:lnTo>
                                <a:lnTo>
                                  <a:pt x="19" y="0"/>
                                </a:lnTo>
                                <a:lnTo>
                                  <a:pt x="19" y="19"/>
                                </a:lnTo>
                                <a:close/>
                              </a:path>
                            </a:pathLst>
                          </a:custGeom>
                          <a:solidFill>
                            <a:srgbClr val="000000"/>
                          </a:solidFill>
                          <a:ln>
                            <a:noFill/>
                          </a:ln>
                        </wps:spPr>
                        <wps:bodyPr rot="0" vert="horz" wrap="square" lIns="91440" tIns="45720" rIns="91440" bIns="45720" anchor="t" anchorCtr="false" upright="true">
                          <a:noAutofit/>
                        </wps:bodyPr>
                      </wps:wsp>
                      <wps:wsp>
                        <wps:cNvPr id="208" name="未知"/>
                        <wps:cNvSpPr/>
                        <wps:spPr bwMode="auto">
                          <a:xfrm>
                            <a:off x="2517" y="361"/>
                            <a:ext cx="19" cy="38"/>
                          </a:xfrm>
                          <a:custGeom>
                            <a:avLst/>
                            <a:gdLst>
                              <a:gd name="T0" fmla="*/ 19 w 19"/>
                              <a:gd name="T1" fmla="*/ 38 h 38"/>
                              <a:gd name="T2" fmla="*/ 15 w 19"/>
                              <a:gd name="T3" fmla="*/ 37 h 38"/>
                              <a:gd name="T4" fmla="*/ 11 w 19"/>
                              <a:gd name="T5" fmla="*/ 36 h 38"/>
                              <a:gd name="T6" fmla="*/ 8 w 19"/>
                              <a:gd name="T7" fmla="*/ 33 h 38"/>
                              <a:gd name="T8" fmla="*/ 5 w 19"/>
                              <a:gd name="T9" fmla="*/ 30 h 38"/>
                              <a:gd name="T10" fmla="*/ 2 w 19"/>
                              <a:gd name="T11" fmla="*/ 27 h 38"/>
                              <a:gd name="T12" fmla="*/ 1 w 19"/>
                              <a:gd name="T13" fmla="*/ 23 h 38"/>
                              <a:gd name="T14" fmla="*/ 0 w 19"/>
                              <a:gd name="T15" fmla="*/ 19 h 38"/>
                              <a:gd name="T16" fmla="*/ 1 w 19"/>
                              <a:gd name="T17" fmla="*/ 15 h 38"/>
                              <a:gd name="T18" fmla="*/ 2 w 19"/>
                              <a:gd name="T19" fmla="*/ 11 h 38"/>
                              <a:gd name="T20" fmla="*/ 5 w 19"/>
                              <a:gd name="T21" fmla="*/ 7 h 38"/>
                              <a:gd name="T22" fmla="*/ 8 w 19"/>
                              <a:gd name="T23" fmla="*/ 4 h 38"/>
                              <a:gd name="T24" fmla="*/ 11 w 19"/>
                              <a:gd name="T25" fmla="*/ 2 h 38"/>
                              <a:gd name="T26" fmla="*/ 15 w 19"/>
                              <a:gd name="T27" fmla="*/ 0 h 38"/>
                              <a:gd name="T28" fmla="*/ 19 w 19"/>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19" y="38"/>
                                </a:moveTo>
                                <a:lnTo>
                                  <a:pt x="15" y="37"/>
                                </a:lnTo>
                                <a:lnTo>
                                  <a:pt x="11" y="36"/>
                                </a:lnTo>
                                <a:lnTo>
                                  <a:pt x="8" y="33"/>
                                </a:lnTo>
                                <a:lnTo>
                                  <a:pt x="5" y="30"/>
                                </a:lnTo>
                                <a:lnTo>
                                  <a:pt x="2" y="27"/>
                                </a:lnTo>
                                <a:lnTo>
                                  <a:pt x="1" y="23"/>
                                </a:lnTo>
                                <a:lnTo>
                                  <a:pt x="0" y="19"/>
                                </a:lnTo>
                                <a:lnTo>
                                  <a:pt x="1" y="15"/>
                                </a:lnTo>
                                <a:lnTo>
                                  <a:pt x="2" y="11"/>
                                </a:lnTo>
                                <a:lnTo>
                                  <a:pt x="5" y="7"/>
                                </a:lnTo>
                                <a:lnTo>
                                  <a:pt x="8" y="4"/>
                                </a:lnTo>
                                <a:lnTo>
                                  <a:pt x="11" y="2"/>
                                </a:lnTo>
                                <a:lnTo>
                                  <a:pt x="15" y="0"/>
                                </a:lnTo>
                                <a:lnTo>
                                  <a:pt x="19" y="0"/>
                                </a:lnTo>
                              </a:path>
                            </a:pathLst>
                          </a:custGeom>
                          <a:noFill/>
                          <a:ln w="0" cmpd="sng">
                            <a:solidFill>
                              <a:srgbClr val="000000"/>
                            </a:solidFill>
                            <a:round/>
                          </a:ln>
                        </wps:spPr>
                        <wps:bodyPr rot="0" vert="horz" wrap="square" lIns="91440" tIns="45720" rIns="91440" bIns="45720" anchor="t" anchorCtr="false" upright="true">
                          <a:noAutofit/>
                        </wps:bodyPr>
                      </wps:wsp>
                      <wps:wsp>
                        <wps:cNvPr id="209" name="未知"/>
                        <wps:cNvSpPr/>
                        <wps:spPr bwMode="auto">
                          <a:xfrm>
                            <a:off x="2536" y="361"/>
                            <a:ext cx="3190" cy="38"/>
                          </a:xfrm>
                          <a:custGeom>
                            <a:avLst/>
                            <a:gdLst>
                              <a:gd name="T0" fmla="*/ 0 w 3190"/>
                              <a:gd name="T1" fmla="*/ 0 h 38"/>
                              <a:gd name="T2" fmla="*/ 0 w 3190"/>
                              <a:gd name="T3" fmla="*/ 19 h 38"/>
                              <a:gd name="T4" fmla="*/ 0 w 3190"/>
                              <a:gd name="T5" fmla="*/ 38 h 38"/>
                              <a:gd name="T6" fmla="*/ 3190 w 3190"/>
                              <a:gd name="T7" fmla="*/ 38 h 38"/>
                              <a:gd name="T8" fmla="*/ 3190 w 3190"/>
                              <a:gd name="T9" fmla="*/ 19 h 38"/>
                              <a:gd name="T10" fmla="*/ 3190 w 3190"/>
                              <a:gd name="T11" fmla="*/ 0 h 38"/>
                              <a:gd name="T12" fmla="*/ 0 w 3190"/>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190" h="38">
                                <a:moveTo>
                                  <a:pt x="0" y="0"/>
                                </a:moveTo>
                                <a:lnTo>
                                  <a:pt x="0" y="19"/>
                                </a:lnTo>
                                <a:lnTo>
                                  <a:pt x="0" y="38"/>
                                </a:lnTo>
                                <a:lnTo>
                                  <a:pt x="3190" y="38"/>
                                </a:lnTo>
                                <a:lnTo>
                                  <a:pt x="3190" y="19"/>
                                </a:lnTo>
                                <a:lnTo>
                                  <a:pt x="3190" y="0"/>
                                </a:lnTo>
                                <a:lnTo>
                                  <a:pt x="0" y="0"/>
                                </a:lnTo>
                                <a:close/>
                              </a:path>
                            </a:pathLst>
                          </a:custGeom>
                          <a:solidFill>
                            <a:srgbClr val="000000"/>
                          </a:solidFill>
                          <a:ln>
                            <a:noFill/>
                          </a:ln>
                        </wps:spPr>
                        <wps:bodyPr rot="0" vert="horz" wrap="square" lIns="91440" tIns="45720" rIns="91440" bIns="45720" anchor="t" anchorCtr="false" upright="true">
                          <a:noAutofit/>
                        </wps:bodyPr>
                      </wps:wsp>
                      <wps:wsp>
                        <wps:cNvPr id="210" name="未知"/>
                        <wps:cNvSpPr/>
                        <wps:spPr bwMode="auto">
                          <a:xfrm>
                            <a:off x="2536" y="361"/>
                            <a:ext cx="3190" cy="38"/>
                          </a:xfrm>
                          <a:custGeom>
                            <a:avLst/>
                            <a:gdLst>
                              <a:gd name="T0" fmla="*/ 0 w 3190"/>
                              <a:gd name="T1" fmla="*/ 0 h 38"/>
                              <a:gd name="T2" fmla="*/ 0 w 3190"/>
                              <a:gd name="T3" fmla="*/ 19 h 38"/>
                              <a:gd name="T4" fmla="*/ 0 w 3190"/>
                              <a:gd name="T5" fmla="*/ 38 h 38"/>
                              <a:gd name="T6" fmla="*/ 3190 w 3190"/>
                              <a:gd name="T7" fmla="*/ 38 h 38"/>
                              <a:gd name="T8" fmla="*/ 3190 w 3190"/>
                              <a:gd name="T9" fmla="*/ 19 h 38"/>
                              <a:gd name="T10" fmla="*/ 3190 w 3190"/>
                              <a:gd name="T11" fmla="*/ 0 h 38"/>
                              <a:gd name="T12" fmla="*/ 0 w 3190"/>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3190" h="38">
                                <a:moveTo>
                                  <a:pt x="0" y="0"/>
                                </a:moveTo>
                                <a:lnTo>
                                  <a:pt x="0" y="19"/>
                                </a:lnTo>
                                <a:lnTo>
                                  <a:pt x="0" y="38"/>
                                </a:lnTo>
                                <a:lnTo>
                                  <a:pt x="3190" y="38"/>
                                </a:lnTo>
                                <a:lnTo>
                                  <a:pt x="3190" y="19"/>
                                </a:lnTo>
                                <a:lnTo>
                                  <a:pt x="3190" y="0"/>
                                </a:lnTo>
                                <a:lnTo>
                                  <a:pt x="0" y="0"/>
                                </a:lnTo>
                                <a:close/>
                              </a:path>
                            </a:pathLst>
                          </a:custGeom>
                          <a:noFill/>
                          <a:ln w="0" cmpd="sng">
                            <a:solidFill>
                              <a:srgbClr val="000000"/>
                            </a:solidFill>
                            <a:round/>
                          </a:ln>
                        </wps:spPr>
                        <wps:bodyPr rot="0" vert="horz" wrap="square" lIns="91440" tIns="45720" rIns="91440" bIns="45720" anchor="t" anchorCtr="false" upright="true">
                          <a:noAutofit/>
                        </wps:bodyPr>
                      </wps:wsp>
                      <wps:wsp>
                        <wps:cNvPr id="211" name="未知"/>
                        <wps:cNvSpPr/>
                        <wps:spPr bwMode="auto">
                          <a:xfrm>
                            <a:off x="5726" y="361"/>
                            <a:ext cx="19" cy="38"/>
                          </a:xfrm>
                          <a:custGeom>
                            <a:avLst/>
                            <a:gdLst>
                              <a:gd name="T0" fmla="*/ 0 w 19"/>
                              <a:gd name="T1" fmla="*/ 19 h 38"/>
                              <a:gd name="T2" fmla="*/ 0 w 19"/>
                              <a:gd name="T3" fmla="*/ 0 h 38"/>
                              <a:gd name="T4" fmla="*/ 4 w 19"/>
                              <a:gd name="T5" fmla="*/ 0 h 38"/>
                              <a:gd name="T6" fmla="*/ 8 w 19"/>
                              <a:gd name="T7" fmla="*/ 2 h 38"/>
                              <a:gd name="T8" fmla="*/ 12 w 19"/>
                              <a:gd name="T9" fmla="*/ 4 h 38"/>
                              <a:gd name="T10" fmla="*/ 15 w 19"/>
                              <a:gd name="T11" fmla="*/ 7 h 38"/>
                              <a:gd name="T12" fmla="*/ 17 w 19"/>
                              <a:gd name="T13" fmla="*/ 11 h 38"/>
                              <a:gd name="T14" fmla="*/ 19 w 19"/>
                              <a:gd name="T15" fmla="*/ 15 h 38"/>
                              <a:gd name="T16" fmla="*/ 19 w 19"/>
                              <a:gd name="T17" fmla="*/ 19 h 38"/>
                              <a:gd name="T18" fmla="*/ 19 w 19"/>
                              <a:gd name="T19" fmla="*/ 23 h 38"/>
                              <a:gd name="T20" fmla="*/ 17 w 19"/>
                              <a:gd name="T21" fmla="*/ 27 h 38"/>
                              <a:gd name="T22" fmla="*/ 15 w 19"/>
                              <a:gd name="T23" fmla="*/ 30 h 38"/>
                              <a:gd name="T24" fmla="*/ 12 w 19"/>
                              <a:gd name="T25" fmla="*/ 33 h 38"/>
                              <a:gd name="T26" fmla="*/ 8 w 19"/>
                              <a:gd name="T27" fmla="*/ 36 h 38"/>
                              <a:gd name="T28" fmla="*/ 4 w 19"/>
                              <a:gd name="T29" fmla="*/ 37 h 38"/>
                              <a:gd name="T30" fmla="*/ 0 w 19"/>
                              <a:gd name="T31" fmla="*/ 38 h 38"/>
                              <a:gd name="T32" fmla="*/ 0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0" y="19"/>
                                </a:moveTo>
                                <a:lnTo>
                                  <a:pt x="0" y="0"/>
                                </a:lnTo>
                                <a:lnTo>
                                  <a:pt x="4" y="0"/>
                                </a:lnTo>
                                <a:lnTo>
                                  <a:pt x="8" y="2"/>
                                </a:lnTo>
                                <a:lnTo>
                                  <a:pt x="12" y="4"/>
                                </a:lnTo>
                                <a:lnTo>
                                  <a:pt x="15" y="7"/>
                                </a:lnTo>
                                <a:lnTo>
                                  <a:pt x="17" y="11"/>
                                </a:lnTo>
                                <a:lnTo>
                                  <a:pt x="19" y="15"/>
                                </a:lnTo>
                                <a:lnTo>
                                  <a:pt x="19" y="19"/>
                                </a:lnTo>
                                <a:lnTo>
                                  <a:pt x="19" y="23"/>
                                </a:lnTo>
                                <a:lnTo>
                                  <a:pt x="17" y="27"/>
                                </a:lnTo>
                                <a:lnTo>
                                  <a:pt x="15" y="30"/>
                                </a:lnTo>
                                <a:lnTo>
                                  <a:pt x="12" y="33"/>
                                </a:lnTo>
                                <a:lnTo>
                                  <a:pt x="8" y="36"/>
                                </a:lnTo>
                                <a:lnTo>
                                  <a:pt x="4" y="37"/>
                                </a:lnTo>
                                <a:lnTo>
                                  <a:pt x="0" y="38"/>
                                </a:lnTo>
                                <a:lnTo>
                                  <a:pt x="0" y="19"/>
                                </a:lnTo>
                                <a:close/>
                              </a:path>
                            </a:pathLst>
                          </a:custGeom>
                          <a:solidFill>
                            <a:srgbClr val="000000"/>
                          </a:solidFill>
                          <a:ln>
                            <a:noFill/>
                          </a:ln>
                        </wps:spPr>
                        <wps:bodyPr rot="0" vert="horz" wrap="square" lIns="91440" tIns="45720" rIns="91440" bIns="45720" anchor="t" anchorCtr="false" upright="true">
                          <a:noAutofit/>
                        </wps:bodyPr>
                      </wps:wsp>
                      <wps:wsp>
                        <wps:cNvPr id="212" name="未知"/>
                        <wps:cNvSpPr/>
                        <wps:spPr bwMode="auto">
                          <a:xfrm>
                            <a:off x="5726" y="361"/>
                            <a:ext cx="19" cy="38"/>
                          </a:xfrm>
                          <a:custGeom>
                            <a:avLst/>
                            <a:gdLst>
                              <a:gd name="T0" fmla="*/ 0 w 19"/>
                              <a:gd name="T1" fmla="*/ 0 h 38"/>
                              <a:gd name="T2" fmla="*/ 4 w 19"/>
                              <a:gd name="T3" fmla="*/ 0 h 38"/>
                              <a:gd name="T4" fmla="*/ 8 w 19"/>
                              <a:gd name="T5" fmla="*/ 2 h 38"/>
                              <a:gd name="T6" fmla="*/ 12 w 19"/>
                              <a:gd name="T7" fmla="*/ 4 h 38"/>
                              <a:gd name="T8" fmla="*/ 15 w 19"/>
                              <a:gd name="T9" fmla="*/ 7 h 38"/>
                              <a:gd name="T10" fmla="*/ 17 w 19"/>
                              <a:gd name="T11" fmla="*/ 11 h 38"/>
                              <a:gd name="T12" fmla="*/ 19 w 19"/>
                              <a:gd name="T13" fmla="*/ 15 h 38"/>
                              <a:gd name="T14" fmla="*/ 19 w 19"/>
                              <a:gd name="T15" fmla="*/ 19 h 38"/>
                              <a:gd name="T16" fmla="*/ 19 w 19"/>
                              <a:gd name="T17" fmla="*/ 23 h 38"/>
                              <a:gd name="T18" fmla="*/ 17 w 19"/>
                              <a:gd name="T19" fmla="*/ 27 h 38"/>
                              <a:gd name="T20" fmla="*/ 15 w 19"/>
                              <a:gd name="T21" fmla="*/ 30 h 38"/>
                              <a:gd name="T22" fmla="*/ 12 w 19"/>
                              <a:gd name="T23" fmla="*/ 33 h 38"/>
                              <a:gd name="T24" fmla="*/ 8 w 19"/>
                              <a:gd name="T25" fmla="*/ 36 h 38"/>
                              <a:gd name="T26" fmla="*/ 4 w 19"/>
                              <a:gd name="T27" fmla="*/ 37 h 38"/>
                              <a:gd name="T28" fmla="*/ 0 w 19"/>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0" y="0"/>
                                </a:moveTo>
                                <a:lnTo>
                                  <a:pt x="4" y="0"/>
                                </a:lnTo>
                                <a:lnTo>
                                  <a:pt x="8" y="2"/>
                                </a:lnTo>
                                <a:lnTo>
                                  <a:pt x="12" y="4"/>
                                </a:lnTo>
                                <a:lnTo>
                                  <a:pt x="15" y="7"/>
                                </a:lnTo>
                                <a:lnTo>
                                  <a:pt x="17" y="11"/>
                                </a:lnTo>
                                <a:lnTo>
                                  <a:pt x="19" y="15"/>
                                </a:lnTo>
                                <a:lnTo>
                                  <a:pt x="19" y="19"/>
                                </a:lnTo>
                                <a:lnTo>
                                  <a:pt x="19" y="23"/>
                                </a:lnTo>
                                <a:lnTo>
                                  <a:pt x="17" y="27"/>
                                </a:lnTo>
                                <a:lnTo>
                                  <a:pt x="15" y="30"/>
                                </a:lnTo>
                                <a:lnTo>
                                  <a:pt x="12" y="33"/>
                                </a:lnTo>
                                <a:lnTo>
                                  <a:pt x="8" y="36"/>
                                </a:lnTo>
                                <a:lnTo>
                                  <a:pt x="4" y="37"/>
                                </a:lnTo>
                                <a:lnTo>
                                  <a:pt x="0" y="38"/>
                                </a:lnTo>
                              </a:path>
                            </a:pathLst>
                          </a:custGeom>
                          <a:noFill/>
                          <a:ln w="0" cmpd="sng">
                            <a:solidFill>
                              <a:srgbClr val="000000"/>
                            </a:solidFill>
                            <a:round/>
                          </a:ln>
                        </wps:spPr>
                        <wps:bodyPr rot="0" vert="horz" wrap="square" lIns="91440" tIns="45720" rIns="91440" bIns="45720" anchor="t" anchorCtr="false" upright="true">
                          <a:noAutofit/>
                        </wps:bodyPr>
                      </wps:wsp>
                      <wps:wsp>
                        <wps:cNvPr id="213" name="未知"/>
                        <wps:cNvSpPr/>
                        <wps:spPr bwMode="auto">
                          <a:xfrm>
                            <a:off x="2517" y="361"/>
                            <a:ext cx="39" cy="19"/>
                          </a:xfrm>
                          <a:custGeom>
                            <a:avLst/>
                            <a:gdLst>
                              <a:gd name="T0" fmla="*/ 19 w 39"/>
                              <a:gd name="T1" fmla="*/ 19 h 19"/>
                              <a:gd name="T2" fmla="*/ 0 w 39"/>
                              <a:gd name="T3" fmla="*/ 19 h 19"/>
                              <a:gd name="T4" fmla="*/ 1 w 39"/>
                              <a:gd name="T5" fmla="*/ 15 h 19"/>
                              <a:gd name="T6" fmla="*/ 2 w 39"/>
                              <a:gd name="T7" fmla="*/ 11 h 19"/>
                              <a:gd name="T8" fmla="*/ 5 w 39"/>
                              <a:gd name="T9" fmla="*/ 7 h 19"/>
                              <a:gd name="T10" fmla="*/ 8 w 39"/>
                              <a:gd name="T11" fmla="*/ 4 h 19"/>
                              <a:gd name="T12" fmla="*/ 11 w 39"/>
                              <a:gd name="T13" fmla="*/ 2 h 19"/>
                              <a:gd name="T14" fmla="*/ 15 w 39"/>
                              <a:gd name="T15" fmla="*/ 0 h 19"/>
                              <a:gd name="T16" fmla="*/ 19 w 39"/>
                              <a:gd name="T17" fmla="*/ 0 h 19"/>
                              <a:gd name="T18" fmla="*/ 23 w 39"/>
                              <a:gd name="T19" fmla="*/ 0 h 19"/>
                              <a:gd name="T20" fmla="*/ 28 w 39"/>
                              <a:gd name="T21" fmla="*/ 2 h 19"/>
                              <a:gd name="T22" fmla="*/ 31 w 39"/>
                              <a:gd name="T23" fmla="*/ 4 h 19"/>
                              <a:gd name="T24" fmla="*/ 34 w 39"/>
                              <a:gd name="T25" fmla="*/ 7 h 19"/>
                              <a:gd name="T26" fmla="*/ 36 w 39"/>
                              <a:gd name="T27" fmla="*/ 11 h 19"/>
                              <a:gd name="T28" fmla="*/ 38 w 39"/>
                              <a:gd name="T29" fmla="*/ 15 h 19"/>
                              <a:gd name="T30" fmla="*/ 39 w 39"/>
                              <a:gd name="T31" fmla="*/ 19 h 19"/>
                              <a:gd name="T32" fmla="*/ 19 w 39"/>
                              <a:gd name="T33"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9">
                                <a:moveTo>
                                  <a:pt x="19" y="19"/>
                                </a:moveTo>
                                <a:lnTo>
                                  <a:pt x="0" y="19"/>
                                </a:lnTo>
                                <a:lnTo>
                                  <a:pt x="1" y="15"/>
                                </a:lnTo>
                                <a:lnTo>
                                  <a:pt x="2" y="11"/>
                                </a:lnTo>
                                <a:lnTo>
                                  <a:pt x="5" y="7"/>
                                </a:lnTo>
                                <a:lnTo>
                                  <a:pt x="8" y="4"/>
                                </a:lnTo>
                                <a:lnTo>
                                  <a:pt x="11" y="2"/>
                                </a:lnTo>
                                <a:lnTo>
                                  <a:pt x="15" y="0"/>
                                </a:lnTo>
                                <a:lnTo>
                                  <a:pt x="19" y="0"/>
                                </a:lnTo>
                                <a:lnTo>
                                  <a:pt x="23" y="0"/>
                                </a:lnTo>
                                <a:lnTo>
                                  <a:pt x="28" y="2"/>
                                </a:lnTo>
                                <a:lnTo>
                                  <a:pt x="31" y="4"/>
                                </a:lnTo>
                                <a:lnTo>
                                  <a:pt x="34" y="7"/>
                                </a:lnTo>
                                <a:lnTo>
                                  <a:pt x="36" y="11"/>
                                </a:lnTo>
                                <a:lnTo>
                                  <a:pt x="38" y="15"/>
                                </a:lnTo>
                                <a:lnTo>
                                  <a:pt x="39" y="19"/>
                                </a:lnTo>
                                <a:lnTo>
                                  <a:pt x="19" y="19"/>
                                </a:lnTo>
                                <a:close/>
                              </a:path>
                            </a:pathLst>
                          </a:custGeom>
                          <a:solidFill>
                            <a:srgbClr val="000000"/>
                          </a:solidFill>
                          <a:ln>
                            <a:noFill/>
                          </a:ln>
                        </wps:spPr>
                        <wps:bodyPr rot="0" vert="horz" wrap="square" lIns="91440" tIns="45720" rIns="91440" bIns="45720" anchor="t" anchorCtr="false" upright="true">
                          <a:noAutofit/>
                        </wps:bodyPr>
                      </wps:wsp>
                      <wps:wsp>
                        <wps:cNvPr id="214" name="未知"/>
                        <wps:cNvSpPr/>
                        <wps:spPr bwMode="auto">
                          <a:xfrm>
                            <a:off x="2517" y="361"/>
                            <a:ext cx="39" cy="19"/>
                          </a:xfrm>
                          <a:custGeom>
                            <a:avLst/>
                            <a:gdLst>
                              <a:gd name="T0" fmla="*/ 0 w 39"/>
                              <a:gd name="T1" fmla="*/ 19 h 19"/>
                              <a:gd name="T2" fmla="*/ 1 w 39"/>
                              <a:gd name="T3" fmla="*/ 15 h 19"/>
                              <a:gd name="T4" fmla="*/ 2 w 39"/>
                              <a:gd name="T5" fmla="*/ 11 h 19"/>
                              <a:gd name="T6" fmla="*/ 5 w 39"/>
                              <a:gd name="T7" fmla="*/ 7 h 19"/>
                              <a:gd name="T8" fmla="*/ 8 w 39"/>
                              <a:gd name="T9" fmla="*/ 4 h 19"/>
                              <a:gd name="T10" fmla="*/ 11 w 39"/>
                              <a:gd name="T11" fmla="*/ 2 h 19"/>
                              <a:gd name="T12" fmla="*/ 15 w 39"/>
                              <a:gd name="T13" fmla="*/ 0 h 19"/>
                              <a:gd name="T14" fmla="*/ 19 w 39"/>
                              <a:gd name="T15" fmla="*/ 0 h 19"/>
                              <a:gd name="T16" fmla="*/ 23 w 39"/>
                              <a:gd name="T17" fmla="*/ 0 h 19"/>
                              <a:gd name="T18" fmla="*/ 28 w 39"/>
                              <a:gd name="T19" fmla="*/ 2 h 19"/>
                              <a:gd name="T20" fmla="*/ 31 w 39"/>
                              <a:gd name="T21" fmla="*/ 4 h 19"/>
                              <a:gd name="T22" fmla="*/ 34 w 39"/>
                              <a:gd name="T23" fmla="*/ 7 h 19"/>
                              <a:gd name="T24" fmla="*/ 36 w 39"/>
                              <a:gd name="T25" fmla="*/ 11 h 19"/>
                              <a:gd name="T26" fmla="*/ 38 w 39"/>
                              <a:gd name="T27" fmla="*/ 15 h 19"/>
                              <a:gd name="T28" fmla="*/ 39 w 39"/>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19">
                                <a:moveTo>
                                  <a:pt x="0" y="19"/>
                                </a:moveTo>
                                <a:lnTo>
                                  <a:pt x="1" y="15"/>
                                </a:lnTo>
                                <a:lnTo>
                                  <a:pt x="2" y="11"/>
                                </a:lnTo>
                                <a:lnTo>
                                  <a:pt x="5" y="7"/>
                                </a:lnTo>
                                <a:lnTo>
                                  <a:pt x="8" y="4"/>
                                </a:lnTo>
                                <a:lnTo>
                                  <a:pt x="11" y="2"/>
                                </a:lnTo>
                                <a:lnTo>
                                  <a:pt x="15" y="0"/>
                                </a:lnTo>
                                <a:lnTo>
                                  <a:pt x="19" y="0"/>
                                </a:lnTo>
                                <a:lnTo>
                                  <a:pt x="23" y="0"/>
                                </a:lnTo>
                                <a:lnTo>
                                  <a:pt x="28" y="2"/>
                                </a:lnTo>
                                <a:lnTo>
                                  <a:pt x="31" y="4"/>
                                </a:lnTo>
                                <a:lnTo>
                                  <a:pt x="34" y="7"/>
                                </a:lnTo>
                                <a:lnTo>
                                  <a:pt x="36" y="11"/>
                                </a:lnTo>
                                <a:lnTo>
                                  <a:pt x="38" y="15"/>
                                </a:lnTo>
                                <a:lnTo>
                                  <a:pt x="39" y="19"/>
                                </a:lnTo>
                              </a:path>
                            </a:pathLst>
                          </a:custGeom>
                          <a:noFill/>
                          <a:ln w="0" cmpd="sng">
                            <a:solidFill>
                              <a:srgbClr val="000000"/>
                            </a:solidFill>
                            <a:round/>
                          </a:ln>
                        </wps:spPr>
                        <wps:bodyPr rot="0" vert="horz" wrap="square" lIns="91440" tIns="45720" rIns="91440" bIns="45720" anchor="t" anchorCtr="false" upright="true">
                          <a:noAutofit/>
                        </wps:bodyPr>
                      </wps:wsp>
                      <wps:wsp>
                        <wps:cNvPr id="215" name="未知"/>
                        <wps:cNvSpPr/>
                        <wps:spPr bwMode="auto">
                          <a:xfrm>
                            <a:off x="2517" y="380"/>
                            <a:ext cx="39" cy="3138"/>
                          </a:xfrm>
                          <a:custGeom>
                            <a:avLst/>
                            <a:gdLst>
                              <a:gd name="T0" fmla="*/ 39 w 39"/>
                              <a:gd name="T1" fmla="*/ 0 h 3138"/>
                              <a:gd name="T2" fmla="*/ 19 w 39"/>
                              <a:gd name="T3" fmla="*/ 0 h 3138"/>
                              <a:gd name="T4" fmla="*/ 0 w 39"/>
                              <a:gd name="T5" fmla="*/ 0 h 3138"/>
                              <a:gd name="T6" fmla="*/ 0 w 39"/>
                              <a:gd name="T7" fmla="*/ 3138 h 3138"/>
                              <a:gd name="T8" fmla="*/ 19 w 39"/>
                              <a:gd name="T9" fmla="*/ 3138 h 3138"/>
                              <a:gd name="T10" fmla="*/ 39 w 39"/>
                              <a:gd name="T11" fmla="*/ 3138 h 3138"/>
                              <a:gd name="T12" fmla="*/ 39 w 39"/>
                              <a:gd name="T13" fmla="*/ 0 h 3138"/>
                            </a:gdLst>
                            <a:ahLst/>
                            <a:cxnLst>
                              <a:cxn ang="0">
                                <a:pos x="T0" y="T1"/>
                              </a:cxn>
                              <a:cxn ang="0">
                                <a:pos x="T2" y="T3"/>
                              </a:cxn>
                              <a:cxn ang="0">
                                <a:pos x="T4" y="T5"/>
                              </a:cxn>
                              <a:cxn ang="0">
                                <a:pos x="T6" y="T7"/>
                              </a:cxn>
                              <a:cxn ang="0">
                                <a:pos x="T8" y="T9"/>
                              </a:cxn>
                              <a:cxn ang="0">
                                <a:pos x="T10" y="T11"/>
                              </a:cxn>
                              <a:cxn ang="0">
                                <a:pos x="T12" y="T13"/>
                              </a:cxn>
                            </a:cxnLst>
                            <a:rect l="0" t="0" r="r" b="b"/>
                            <a:pathLst>
                              <a:path w="39" h="3138">
                                <a:moveTo>
                                  <a:pt x="39" y="0"/>
                                </a:moveTo>
                                <a:lnTo>
                                  <a:pt x="19" y="0"/>
                                </a:lnTo>
                                <a:lnTo>
                                  <a:pt x="0" y="0"/>
                                </a:lnTo>
                                <a:lnTo>
                                  <a:pt x="0" y="3138"/>
                                </a:lnTo>
                                <a:lnTo>
                                  <a:pt x="19" y="3138"/>
                                </a:lnTo>
                                <a:lnTo>
                                  <a:pt x="39" y="3138"/>
                                </a:lnTo>
                                <a:lnTo>
                                  <a:pt x="39" y="0"/>
                                </a:lnTo>
                                <a:close/>
                              </a:path>
                            </a:pathLst>
                          </a:custGeom>
                          <a:solidFill>
                            <a:srgbClr val="000000"/>
                          </a:solidFill>
                          <a:ln>
                            <a:noFill/>
                          </a:ln>
                        </wps:spPr>
                        <wps:bodyPr rot="0" vert="horz" wrap="square" lIns="91440" tIns="45720" rIns="91440" bIns="45720" anchor="t" anchorCtr="false" upright="true">
                          <a:noAutofit/>
                        </wps:bodyPr>
                      </wps:wsp>
                      <wps:wsp>
                        <wps:cNvPr id="216" name="未知"/>
                        <wps:cNvSpPr/>
                        <wps:spPr bwMode="auto">
                          <a:xfrm>
                            <a:off x="2517" y="380"/>
                            <a:ext cx="39" cy="3138"/>
                          </a:xfrm>
                          <a:custGeom>
                            <a:avLst/>
                            <a:gdLst>
                              <a:gd name="T0" fmla="*/ 39 w 39"/>
                              <a:gd name="T1" fmla="*/ 0 h 3138"/>
                              <a:gd name="T2" fmla="*/ 19 w 39"/>
                              <a:gd name="T3" fmla="*/ 0 h 3138"/>
                              <a:gd name="T4" fmla="*/ 0 w 39"/>
                              <a:gd name="T5" fmla="*/ 0 h 3138"/>
                              <a:gd name="T6" fmla="*/ 0 w 39"/>
                              <a:gd name="T7" fmla="*/ 3138 h 3138"/>
                              <a:gd name="T8" fmla="*/ 19 w 39"/>
                              <a:gd name="T9" fmla="*/ 3138 h 3138"/>
                              <a:gd name="T10" fmla="*/ 39 w 39"/>
                              <a:gd name="T11" fmla="*/ 3138 h 3138"/>
                              <a:gd name="T12" fmla="*/ 39 w 39"/>
                              <a:gd name="T13" fmla="*/ 0 h 3138"/>
                            </a:gdLst>
                            <a:ahLst/>
                            <a:cxnLst>
                              <a:cxn ang="0">
                                <a:pos x="T0" y="T1"/>
                              </a:cxn>
                              <a:cxn ang="0">
                                <a:pos x="T2" y="T3"/>
                              </a:cxn>
                              <a:cxn ang="0">
                                <a:pos x="T4" y="T5"/>
                              </a:cxn>
                              <a:cxn ang="0">
                                <a:pos x="T6" y="T7"/>
                              </a:cxn>
                              <a:cxn ang="0">
                                <a:pos x="T8" y="T9"/>
                              </a:cxn>
                              <a:cxn ang="0">
                                <a:pos x="T10" y="T11"/>
                              </a:cxn>
                              <a:cxn ang="0">
                                <a:pos x="T12" y="T13"/>
                              </a:cxn>
                            </a:cxnLst>
                            <a:rect l="0" t="0" r="r" b="b"/>
                            <a:pathLst>
                              <a:path w="39" h="3138">
                                <a:moveTo>
                                  <a:pt x="39" y="0"/>
                                </a:moveTo>
                                <a:lnTo>
                                  <a:pt x="19" y="0"/>
                                </a:lnTo>
                                <a:lnTo>
                                  <a:pt x="0" y="0"/>
                                </a:lnTo>
                                <a:lnTo>
                                  <a:pt x="0" y="3138"/>
                                </a:lnTo>
                                <a:lnTo>
                                  <a:pt x="19" y="3138"/>
                                </a:lnTo>
                                <a:lnTo>
                                  <a:pt x="39" y="3138"/>
                                </a:lnTo>
                                <a:lnTo>
                                  <a:pt x="39" y="0"/>
                                </a:lnTo>
                                <a:close/>
                              </a:path>
                            </a:pathLst>
                          </a:custGeom>
                          <a:noFill/>
                          <a:ln w="0" cmpd="sng">
                            <a:solidFill>
                              <a:srgbClr val="000000"/>
                            </a:solidFill>
                            <a:round/>
                          </a:ln>
                        </wps:spPr>
                        <wps:bodyPr rot="0" vert="horz" wrap="square" lIns="91440" tIns="45720" rIns="91440" bIns="45720" anchor="t" anchorCtr="false" upright="true">
                          <a:noAutofit/>
                        </wps:bodyPr>
                      </wps:wsp>
                      <wps:wsp>
                        <wps:cNvPr id="217" name="未知"/>
                        <wps:cNvSpPr/>
                        <wps:spPr bwMode="auto">
                          <a:xfrm>
                            <a:off x="2517" y="3518"/>
                            <a:ext cx="39" cy="19"/>
                          </a:xfrm>
                          <a:custGeom>
                            <a:avLst/>
                            <a:gdLst>
                              <a:gd name="T0" fmla="*/ 19 w 39"/>
                              <a:gd name="T1" fmla="*/ 0 h 19"/>
                              <a:gd name="T2" fmla="*/ 39 w 39"/>
                              <a:gd name="T3" fmla="*/ 0 h 19"/>
                              <a:gd name="T4" fmla="*/ 38 w 39"/>
                              <a:gd name="T5" fmla="*/ 4 h 19"/>
                              <a:gd name="T6" fmla="*/ 36 w 39"/>
                              <a:gd name="T7" fmla="*/ 9 h 19"/>
                              <a:gd name="T8" fmla="*/ 34 w 39"/>
                              <a:gd name="T9" fmla="*/ 12 h 19"/>
                              <a:gd name="T10" fmla="*/ 31 w 39"/>
                              <a:gd name="T11" fmla="*/ 15 h 19"/>
                              <a:gd name="T12" fmla="*/ 28 w 39"/>
                              <a:gd name="T13" fmla="*/ 17 h 19"/>
                              <a:gd name="T14" fmla="*/ 23 w 39"/>
                              <a:gd name="T15" fmla="*/ 19 h 19"/>
                              <a:gd name="T16" fmla="*/ 19 w 39"/>
                              <a:gd name="T17" fmla="*/ 19 h 19"/>
                              <a:gd name="T18" fmla="*/ 15 w 39"/>
                              <a:gd name="T19" fmla="*/ 19 h 19"/>
                              <a:gd name="T20" fmla="*/ 11 w 39"/>
                              <a:gd name="T21" fmla="*/ 17 h 19"/>
                              <a:gd name="T22" fmla="*/ 8 w 39"/>
                              <a:gd name="T23" fmla="*/ 15 h 19"/>
                              <a:gd name="T24" fmla="*/ 5 w 39"/>
                              <a:gd name="T25" fmla="*/ 12 h 19"/>
                              <a:gd name="T26" fmla="*/ 2 w 39"/>
                              <a:gd name="T27" fmla="*/ 9 h 19"/>
                              <a:gd name="T28" fmla="*/ 1 w 39"/>
                              <a:gd name="T29" fmla="*/ 4 h 19"/>
                              <a:gd name="T30" fmla="*/ 0 w 39"/>
                              <a:gd name="T31" fmla="*/ 0 h 19"/>
                              <a:gd name="T32" fmla="*/ 19 w 3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9">
                                <a:moveTo>
                                  <a:pt x="19" y="0"/>
                                </a:moveTo>
                                <a:lnTo>
                                  <a:pt x="39" y="0"/>
                                </a:lnTo>
                                <a:lnTo>
                                  <a:pt x="38" y="4"/>
                                </a:lnTo>
                                <a:lnTo>
                                  <a:pt x="36" y="9"/>
                                </a:lnTo>
                                <a:lnTo>
                                  <a:pt x="34" y="12"/>
                                </a:lnTo>
                                <a:lnTo>
                                  <a:pt x="31" y="15"/>
                                </a:lnTo>
                                <a:lnTo>
                                  <a:pt x="28" y="17"/>
                                </a:lnTo>
                                <a:lnTo>
                                  <a:pt x="23" y="19"/>
                                </a:lnTo>
                                <a:lnTo>
                                  <a:pt x="19" y="19"/>
                                </a:lnTo>
                                <a:lnTo>
                                  <a:pt x="15" y="19"/>
                                </a:lnTo>
                                <a:lnTo>
                                  <a:pt x="11" y="17"/>
                                </a:lnTo>
                                <a:lnTo>
                                  <a:pt x="8" y="15"/>
                                </a:lnTo>
                                <a:lnTo>
                                  <a:pt x="5" y="12"/>
                                </a:lnTo>
                                <a:lnTo>
                                  <a:pt x="2" y="9"/>
                                </a:lnTo>
                                <a:lnTo>
                                  <a:pt x="1" y="4"/>
                                </a:lnTo>
                                <a:lnTo>
                                  <a:pt x="0" y="0"/>
                                </a:lnTo>
                                <a:lnTo>
                                  <a:pt x="19" y="0"/>
                                </a:lnTo>
                                <a:close/>
                              </a:path>
                            </a:pathLst>
                          </a:custGeom>
                          <a:solidFill>
                            <a:srgbClr val="000000"/>
                          </a:solidFill>
                          <a:ln>
                            <a:noFill/>
                          </a:ln>
                        </wps:spPr>
                        <wps:bodyPr rot="0" vert="horz" wrap="square" lIns="91440" tIns="45720" rIns="91440" bIns="45720" anchor="t" anchorCtr="false" upright="true">
                          <a:noAutofit/>
                        </wps:bodyPr>
                      </wps:wsp>
                      <wps:wsp>
                        <wps:cNvPr id="218" name="未知"/>
                        <wps:cNvSpPr/>
                        <wps:spPr bwMode="auto">
                          <a:xfrm>
                            <a:off x="2517" y="3518"/>
                            <a:ext cx="39" cy="19"/>
                          </a:xfrm>
                          <a:custGeom>
                            <a:avLst/>
                            <a:gdLst>
                              <a:gd name="T0" fmla="*/ 39 w 39"/>
                              <a:gd name="T1" fmla="*/ 0 h 19"/>
                              <a:gd name="T2" fmla="*/ 38 w 39"/>
                              <a:gd name="T3" fmla="*/ 4 h 19"/>
                              <a:gd name="T4" fmla="*/ 36 w 39"/>
                              <a:gd name="T5" fmla="*/ 9 h 19"/>
                              <a:gd name="T6" fmla="*/ 34 w 39"/>
                              <a:gd name="T7" fmla="*/ 12 h 19"/>
                              <a:gd name="T8" fmla="*/ 31 w 39"/>
                              <a:gd name="T9" fmla="*/ 15 h 19"/>
                              <a:gd name="T10" fmla="*/ 28 w 39"/>
                              <a:gd name="T11" fmla="*/ 17 h 19"/>
                              <a:gd name="T12" fmla="*/ 23 w 39"/>
                              <a:gd name="T13" fmla="*/ 19 h 19"/>
                              <a:gd name="T14" fmla="*/ 19 w 39"/>
                              <a:gd name="T15" fmla="*/ 19 h 19"/>
                              <a:gd name="T16" fmla="*/ 15 w 39"/>
                              <a:gd name="T17" fmla="*/ 19 h 19"/>
                              <a:gd name="T18" fmla="*/ 11 w 39"/>
                              <a:gd name="T19" fmla="*/ 17 h 19"/>
                              <a:gd name="T20" fmla="*/ 8 w 39"/>
                              <a:gd name="T21" fmla="*/ 15 h 19"/>
                              <a:gd name="T22" fmla="*/ 5 w 39"/>
                              <a:gd name="T23" fmla="*/ 12 h 19"/>
                              <a:gd name="T24" fmla="*/ 2 w 39"/>
                              <a:gd name="T25" fmla="*/ 9 h 19"/>
                              <a:gd name="T26" fmla="*/ 1 w 39"/>
                              <a:gd name="T27" fmla="*/ 4 h 19"/>
                              <a:gd name="T28" fmla="*/ 0 w 39"/>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19">
                                <a:moveTo>
                                  <a:pt x="39" y="0"/>
                                </a:moveTo>
                                <a:lnTo>
                                  <a:pt x="38" y="4"/>
                                </a:lnTo>
                                <a:lnTo>
                                  <a:pt x="36" y="9"/>
                                </a:lnTo>
                                <a:lnTo>
                                  <a:pt x="34" y="12"/>
                                </a:lnTo>
                                <a:lnTo>
                                  <a:pt x="31" y="15"/>
                                </a:lnTo>
                                <a:lnTo>
                                  <a:pt x="28" y="17"/>
                                </a:lnTo>
                                <a:lnTo>
                                  <a:pt x="23" y="19"/>
                                </a:lnTo>
                                <a:lnTo>
                                  <a:pt x="19" y="19"/>
                                </a:lnTo>
                                <a:lnTo>
                                  <a:pt x="15" y="19"/>
                                </a:lnTo>
                                <a:lnTo>
                                  <a:pt x="11" y="17"/>
                                </a:lnTo>
                                <a:lnTo>
                                  <a:pt x="8" y="15"/>
                                </a:lnTo>
                                <a:lnTo>
                                  <a:pt x="5" y="12"/>
                                </a:lnTo>
                                <a:lnTo>
                                  <a:pt x="2" y="9"/>
                                </a:lnTo>
                                <a:lnTo>
                                  <a:pt x="1" y="4"/>
                                </a:lnTo>
                                <a:lnTo>
                                  <a:pt x="0" y="0"/>
                                </a:lnTo>
                              </a:path>
                            </a:pathLst>
                          </a:custGeom>
                          <a:noFill/>
                          <a:ln w="0" cmpd="sng">
                            <a:solidFill>
                              <a:srgbClr val="000000"/>
                            </a:solidFill>
                            <a:round/>
                          </a:ln>
                        </wps:spPr>
                        <wps:bodyPr rot="0" vert="horz" wrap="square" lIns="91440" tIns="45720" rIns="91440" bIns="45720" anchor="t" anchorCtr="false" upright="true">
                          <a:noAutofit/>
                        </wps:bodyPr>
                      </wps:wsp>
                      <wps:wsp>
                        <wps:cNvPr id="219" name="未知"/>
                        <wps:cNvSpPr/>
                        <wps:spPr bwMode="auto">
                          <a:xfrm>
                            <a:off x="2517" y="3499"/>
                            <a:ext cx="19" cy="38"/>
                          </a:xfrm>
                          <a:custGeom>
                            <a:avLst/>
                            <a:gdLst>
                              <a:gd name="T0" fmla="*/ 19 w 19"/>
                              <a:gd name="T1" fmla="*/ 19 h 38"/>
                              <a:gd name="T2" fmla="*/ 19 w 19"/>
                              <a:gd name="T3" fmla="*/ 38 h 38"/>
                              <a:gd name="T4" fmla="*/ 15 w 19"/>
                              <a:gd name="T5" fmla="*/ 38 h 38"/>
                              <a:gd name="T6" fmla="*/ 11 w 19"/>
                              <a:gd name="T7" fmla="*/ 36 h 38"/>
                              <a:gd name="T8" fmla="*/ 8 w 19"/>
                              <a:gd name="T9" fmla="*/ 34 h 38"/>
                              <a:gd name="T10" fmla="*/ 5 w 19"/>
                              <a:gd name="T11" fmla="*/ 31 h 38"/>
                              <a:gd name="T12" fmla="*/ 2 w 19"/>
                              <a:gd name="T13" fmla="*/ 28 h 38"/>
                              <a:gd name="T14" fmla="*/ 1 w 19"/>
                              <a:gd name="T15" fmla="*/ 23 h 38"/>
                              <a:gd name="T16" fmla="*/ 0 w 19"/>
                              <a:gd name="T17" fmla="*/ 19 h 38"/>
                              <a:gd name="T18" fmla="*/ 1 w 19"/>
                              <a:gd name="T19" fmla="*/ 15 h 38"/>
                              <a:gd name="T20" fmla="*/ 2 w 19"/>
                              <a:gd name="T21" fmla="*/ 11 h 38"/>
                              <a:gd name="T22" fmla="*/ 5 w 19"/>
                              <a:gd name="T23" fmla="*/ 8 h 38"/>
                              <a:gd name="T24" fmla="*/ 8 w 19"/>
                              <a:gd name="T25" fmla="*/ 5 h 38"/>
                              <a:gd name="T26" fmla="*/ 11 w 19"/>
                              <a:gd name="T27" fmla="*/ 2 h 38"/>
                              <a:gd name="T28" fmla="*/ 15 w 19"/>
                              <a:gd name="T29" fmla="*/ 1 h 38"/>
                              <a:gd name="T30" fmla="*/ 19 w 19"/>
                              <a:gd name="T31" fmla="*/ 0 h 38"/>
                              <a:gd name="T32" fmla="*/ 19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19" y="19"/>
                                </a:moveTo>
                                <a:lnTo>
                                  <a:pt x="19" y="38"/>
                                </a:lnTo>
                                <a:lnTo>
                                  <a:pt x="15" y="38"/>
                                </a:lnTo>
                                <a:lnTo>
                                  <a:pt x="11" y="36"/>
                                </a:lnTo>
                                <a:lnTo>
                                  <a:pt x="8" y="34"/>
                                </a:lnTo>
                                <a:lnTo>
                                  <a:pt x="5" y="31"/>
                                </a:lnTo>
                                <a:lnTo>
                                  <a:pt x="2" y="28"/>
                                </a:lnTo>
                                <a:lnTo>
                                  <a:pt x="1" y="23"/>
                                </a:lnTo>
                                <a:lnTo>
                                  <a:pt x="0" y="19"/>
                                </a:lnTo>
                                <a:lnTo>
                                  <a:pt x="1" y="15"/>
                                </a:lnTo>
                                <a:lnTo>
                                  <a:pt x="2" y="11"/>
                                </a:lnTo>
                                <a:lnTo>
                                  <a:pt x="5" y="8"/>
                                </a:lnTo>
                                <a:lnTo>
                                  <a:pt x="8" y="5"/>
                                </a:lnTo>
                                <a:lnTo>
                                  <a:pt x="11" y="2"/>
                                </a:lnTo>
                                <a:lnTo>
                                  <a:pt x="15" y="1"/>
                                </a:lnTo>
                                <a:lnTo>
                                  <a:pt x="19" y="0"/>
                                </a:lnTo>
                                <a:lnTo>
                                  <a:pt x="19" y="19"/>
                                </a:lnTo>
                                <a:close/>
                              </a:path>
                            </a:pathLst>
                          </a:custGeom>
                          <a:solidFill>
                            <a:srgbClr val="000000"/>
                          </a:solidFill>
                          <a:ln>
                            <a:noFill/>
                          </a:ln>
                        </wps:spPr>
                        <wps:bodyPr rot="0" vert="horz" wrap="square" lIns="91440" tIns="45720" rIns="91440" bIns="45720" anchor="t" anchorCtr="false" upright="true">
                          <a:noAutofit/>
                        </wps:bodyPr>
                      </wps:wsp>
                      <wps:wsp>
                        <wps:cNvPr id="220" name="未知"/>
                        <wps:cNvSpPr/>
                        <wps:spPr bwMode="auto">
                          <a:xfrm>
                            <a:off x="2517" y="3499"/>
                            <a:ext cx="19" cy="38"/>
                          </a:xfrm>
                          <a:custGeom>
                            <a:avLst/>
                            <a:gdLst>
                              <a:gd name="T0" fmla="*/ 19 w 19"/>
                              <a:gd name="T1" fmla="*/ 38 h 38"/>
                              <a:gd name="T2" fmla="*/ 15 w 19"/>
                              <a:gd name="T3" fmla="*/ 38 h 38"/>
                              <a:gd name="T4" fmla="*/ 11 w 19"/>
                              <a:gd name="T5" fmla="*/ 36 h 38"/>
                              <a:gd name="T6" fmla="*/ 8 w 19"/>
                              <a:gd name="T7" fmla="*/ 34 h 38"/>
                              <a:gd name="T8" fmla="*/ 5 w 19"/>
                              <a:gd name="T9" fmla="*/ 31 h 38"/>
                              <a:gd name="T10" fmla="*/ 2 w 19"/>
                              <a:gd name="T11" fmla="*/ 28 h 38"/>
                              <a:gd name="T12" fmla="*/ 1 w 19"/>
                              <a:gd name="T13" fmla="*/ 23 h 38"/>
                              <a:gd name="T14" fmla="*/ 0 w 19"/>
                              <a:gd name="T15" fmla="*/ 19 h 38"/>
                              <a:gd name="T16" fmla="*/ 1 w 19"/>
                              <a:gd name="T17" fmla="*/ 15 h 38"/>
                              <a:gd name="T18" fmla="*/ 2 w 19"/>
                              <a:gd name="T19" fmla="*/ 11 h 38"/>
                              <a:gd name="T20" fmla="*/ 5 w 19"/>
                              <a:gd name="T21" fmla="*/ 8 h 38"/>
                              <a:gd name="T22" fmla="*/ 8 w 19"/>
                              <a:gd name="T23" fmla="*/ 5 h 38"/>
                              <a:gd name="T24" fmla="*/ 11 w 19"/>
                              <a:gd name="T25" fmla="*/ 2 h 38"/>
                              <a:gd name="T26" fmla="*/ 15 w 19"/>
                              <a:gd name="T27" fmla="*/ 1 h 38"/>
                              <a:gd name="T28" fmla="*/ 19 w 19"/>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19" y="38"/>
                                </a:moveTo>
                                <a:lnTo>
                                  <a:pt x="15" y="38"/>
                                </a:lnTo>
                                <a:lnTo>
                                  <a:pt x="11" y="36"/>
                                </a:lnTo>
                                <a:lnTo>
                                  <a:pt x="8" y="34"/>
                                </a:lnTo>
                                <a:lnTo>
                                  <a:pt x="5" y="31"/>
                                </a:lnTo>
                                <a:lnTo>
                                  <a:pt x="2" y="28"/>
                                </a:lnTo>
                                <a:lnTo>
                                  <a:pt x="1" y="23"/>
                                </a:lnTo>
                                <a:lnTo>
                                  <a:pt x="0" y="19"/>
                                </a:lnTo>
                                <a:lnTo>
                                  <a:pt x="1" y="15"/>
                                </a:lnTo>
                                <a:lnTo>
                                  <a:pt x="2" y="11"/>
                                </a:lnTo>
                                <a:lnTo>
                                  <a:pt x="5" y="8"/>
                                </a:lnTo>
                                <a:lnTo>
                                  <a:pt x="8" y="5"/>
                                </a:lnTo>
                                <a:lnTo>
                                  <a:pt x="11" y="2"/>
                                </a:lnTo>
                                <a:lnTo>
                                  <a:pt x="15" y="1"/>
                                </a:lnTo>
                                <a:lnTo>
                                  <a:pt x="19" y="0"/>
                                </a:lnTo>
                              </a:path>
                            </a:pathLst>
                          </a:custGeom>
                          <a:noFill/>
                          <a:ln w="0" cmpd="sng">
                            <a:solidFill>
                              <a:srgbClr val="000000"/>
                            </a:solidFill>
                            <a:round/>
                          </a:ln>
                        </wps:spPr>
                        <wps:bodyPr rot="0" vert="horz" wrap="square" lIns="91440" tIns="45720" rIns="91440" bIns="45720" anchor="t" anchorCtr="false" upright="true">
                          <a:noAutofit/>
                        </wps:bodyPr>
                      </wps:wsp>
                      <wps:wsp>
                        <wps:cNvPr id="221" name="未知"/>
                        <wps:cNvSpPr/>
                        <wps:spPr bwMode="auto">
                          <a:xfrm>
                            <a:off x="2536" y="3499"/>
                            <a:ext cx="242" cy="38"/>
                          </a:xfrm>
                          <a:custGeom>
                            <a:avLst/>
                            <a:gdLst>
                              <a:gd name="T0" fmla="*/ 0 w 242"/>
                              <a:gd name="T1" fmla="*/ 0 h 38"/>
                              <a:gd name="T2" fmla="*/ 0 w 242"/>
                              <a:gd name="T3" fmla="*/ 19 h 38"/>
                              <a:gd name="T4" fmla="*/ 0 w 242"/>
                              <a:gd name="T5" fmla="*/ 38 h 38"/>
                              <a:gd name="T6" fmla="*/ 242 w 242"/>
                              <a:gd name="T7" fmla="*/ 38 h 38"/>
                              <a:gd name="T8" fmla="*/ 242 w 242"/>
                              <a:gd name="T9" fmla="*/ 19 h 38"/>
                              <a:gd name="T10" fmla="*/ 242 w 242"/>
                              <a:gd name="T11" fmla="*/ 0 h 38"/>
                              <a:gd name="T12" fmla="*/ 0 w 242"/>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242" h="38">
                                <a:moveTo>
                                  <a:pt x="0" y="0"/>
                                </a:moveTo>
                                <a:lnTo>
                                  <a:pt x="0" y="19"/>
                                </a:lnTo>
                                <a:lnTo>
                                  <a:pt x="0" y="38"/>
                                </a:lnTo>
                                <a:lnTo>
                                  <a:pt x="242" y="38"/>
                                </a:lnTo>
                                <a:lnTo>
                                  <a:pt x="242" y="19"/>
                                </a:lnTo>
                                <a:lnTo>
                                  <a:pt x="242" y="0"/>
                                </a:lnTo>
                                <a:lnTo>
                                  <a:pt x="0" y="0"/>
                                </a:lnTo>
                                <a:close/>
                              </a:path>
                            </a:pathLst>
                          </a:custGeom>
                          <a:solidFill>
                            <a:srgbClr val="000000"/>
                          </a:solidFill>
                          <a:ln>
                            <a:noFill/>
                          </a:ln>
                        </wps:spPr>
                        <wps:bodyPr rot="0" vert="horz" wrap="square" lIns="91440" tIns="45720" rIns="91440" bIns="45720" anchor="t" anchorCtr="false" upright="true">
                          <a:noAutofit/>
                        </wps:bodyPr>
                      </wps:wsp>
                      <wps:wsp>
                        <wps:cNvPr id="222" name="未知"/>
                        <wps:cNvSpPr/>
                        <wps:spPr bwMode="auto">
                          <a:xfrm>
                            <a:off x="2536" y="3499"/>
                            <a:ext cx="242" cy="38"/>
                          </a:xfrm>
                          <a:custGeom>
                            <a:avLst/>
                            <a:gdLst>
                              <a:gd name="T0" fmla="*/ 0 w 242"/>
                              <a:gd name="T1" fmla="*/ 0 h 38"/>
                              <a:gd name="T2" fmla="*/ 0 w 242"/>
                              <a:gd name="T3" fmla="*/ 19 h 38"/>
                              <a:gd name="T4" fmla="*/ 0 w 242"/>
                              <a:gd name="T5" fmla="*/ 38 h 38"/>
                              <a:gd name="T6" fmla="*/ 242 w 242"/>
                              <a:gd name="T7" fmla="*/ 38 h 38"/>
                              <a:gd name="T8" fmla="*/ 242 w 242"/>
                              <a:gd name="T9" fmla="*/ 19 h 38"/>
                              <a:gd name="T10" fmla="*/ 242 w 242"/>
                              <a:gd name="T11" fmla="*/ 0 h 38"/>
                              <a:gd name="T12" fmla="*/ 0 w 242"/>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242" h="38">
                                <a:moveTo>
                                  <a:pt x="0" y="0"/>
                                </a:moveTo>
                                <a:lnTo>
                                  <a:pt x="0" y="19"/>
                                </a:lnTo>
                                <a:lnTo>
                                  <a:pt x="0" y="38"/>
                                </a:lnTo>
                                <a:lnTo>
                                  <a:pt x="242" y="38"/>
                                </a:lnTo>
                                <a:lnTo>
                                  <a:pt x="242" y="19"/>
                                </a:lnTo>
                                <a:lnTo>
                                  <a:pt x="242" y="0"/>
                                </a:lnTo>
                                <a:lnTo>
                                  <a:pt x="0" y="0"/>
                                </a:lnTo>
                                <a:close/>
                              </a:path>
                            </a:pathLst>
                          </a:custGeom>
                          <a:noFill/>
                          <a:ln w="0" cmpd="sng">
                            <a:solidFill>
                              <a:srgbClr val="000000"/>
                            </a:solidFill>
                            <a:round/>
                          </a:ln>
                        </wps:spPr>
                        <wps:bodyPr rot="0" vert="horz" wrap="square" lIns="91440" tIns="45720" rIns="91440" bIns="45720" anchor="t" anchorCtr="false" upright="true">
                          <a:noAutofit/>
                        </wps:bodyPr>
                      </wps:wsp>
                      <wps:wsp>
                        <wps:cNvPr id="223" name="未知"/>
                        <wps:cNvSpPr/>
                        <wps:spPr bwMode="auto">
                          <a:xfrm>
                            <a:off x="2778" y="3499"/>
                            <a:ext cx="19" cy="38"/>
                          </a:xfrm>
                          <a:custGeom>
                            <a:avLst/>
                            <a:gdLst>
                              <a:gd name="T0" fmla="*/ 0 w 19"/>
                              <a:gd name="T1" fmla="*/ 19 h 38"/>
                              <a:gd name="T2" fmla="*/ 0 w 19"/>
                              <a:gd name="T3" fmla="*/ 0 h 38"/>
                              <a:gd name="T4" fmla="*/ 4 w 19"/>
                              <a:gd name="T5" fmla="*/ 1 h 38"/>
                              <a:gd name="T6" fmla="*/ 8 w 19"/>
                              <a:gd name="T7" fmla="*/ 2 h 38"/>
                              <a:gd name="T8" fmla="*/ 12 w 19"/>
                              <a:gd name="T9" fmla="*/ 5 h 38"/>
                              <a:gd name="T10" fmla="*/ 15 w 19"/>
                              <a:gd name="T11" fmla="*/ 8 h 38"/>
                              <a:gd name="T12" fmla="*/ 17 w 19"/>
                              <a:gd name="T13" fmla="*/ 11 h 38"/>
                              <a:gd name="T14" fmla="*/ 19 w 19"/>
                              <a:gd name="T15" fmla="*/ 15 h 38"/>
                              <a:gd name="T16" fmla="*/ 19 w 19"/>
                              <a:gd name="T17" fmla="*/ 19 h 38"/>
                              <a:gd name="T18" fmla="*/ 19 w 19"/>
                              <a:gd name="T19" fmla="*/ 23 h 38"/>
                              <a:gd name="T20" fmla="*/ 17 w 19"/>
                              <a:gd name="T21" fmla="*/ 28 h 38"/>
                              <a:gd name="T22" fmla="*/ 15 w 19"/>
                              <a:gd name="T23" fmla="*/ 31 h 38"/>
                              <a:gd name="T24" fmla="*/ 12 w 19"/>
                              <a:gd name="T25" fmla="*/ 34 h 38"/>
                              <a:gd name="T26" fmla="*/ 8 w 19"/>
                              <a:gd name="T27" fmla="*/ 36 h 38"/>
                              <a:gd name="T28" fmla="*/ 4 w 19"/>
                              <a:gd name="T29" fmla="*/ 38 h 38"/>
                              <a:gd name="T30" fmla="*/ 0 w 19"/>
                              <a:gd name="T31" fmla="*/ 38 h 38"/>
                              <a:gd name="T32" fmla="*/ 0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0" y="19"/>
                                </a:moveTo>
                                <a:lnTo>
                                  <a:pt x="0" y="0"/>
                                </a:lnTo>
                                <a:lnTo>
                                  <a:pt x="4" y="1"/>
                                </a:lnTo>
                                <a:lnTo>
                                  <a:pt x="8" y="2"/>
                                </a:lnTo>
                                <a:lnTo>
                                  <a:pt x="12" y="5"/>
                                </a:lnTo>
                                <a:lnTo>
                                  <a:pt x="15" y="8"/>
                                </a:lnTo>
                                <a:lnTo>
                                  <a:pt x="17" y="11"/>
                                </a:lnTo>
                                <a:lnTo>
                                  <a:pt x="19" y="15"/>
                                </a:lnTo>
                                <a:lnTo>
                                  <a:pt x="19" y="19"/>
                                </a:lnTo>
                                <a:lnTo>
                                  <a:pt x="19" y="23"/>
                                </a:lnTo>
                                <a:lnTo>
                                  <a:pt x="17" y="28"/>
                                </a:lnTo>
                                <a:lnTo>
                                  <a:pt x="15" y="31"/>
                                </a:lnTo>
                                <a:lnTo>
                                  <a:pt x="12" y="34"/>
                                </a:lnTo>
                                <a:lnTo>
                                  <a:pt x="8" y="36"/>
                                </a:lnTo>
                                <a:lnTo>
                                  <a:pt x="4" y="38"/>
                                </a:lnTo>
                                <a:lnTo>
                                  <a:pt x="0" y="38"/>
                                </a:lnTo>
                                <a:lnTo>
                                  <a:pt x="0" y="19"/>
                                </a:lnTo>
                                <a:close/>
                              </a:path>
                            </a:pathLst>
                          </a:custGeom>
                          <a:solidFill>
                            <a:srgbClr val="000000"/>
                          </a:solidFill>
                          <a:ln>
                            <a:noFill/>
                          </a:ln>
                        </wps:spPr>
                        <wps:bodyPr rot="0" vert="horz" wrap="square" lIns="91440" tIns="45720" rIns="91440" bIns="45720" anchor="t" anchorCtr="false" upright="true">
                          <a:noAutofit/>
                        </wps:bodyPr>
                      </wps:wsp>
                      <wps:wsp>
                        <wps:cNvPr id="385" name="未知"/>
                        <wps:cNvSpPr/>
                        <wps:spPr bwMode="auto">
                          <a:xfrm>
                            <a:off x="2778" y="3499"/>
                            <a:ext cx="19" cy="38"/>
                          </a:xfrm>
                          <a:custGeom>
                            <a:avLst/>
                            <a:gdLst>
                              <a:gd name="T0" fmla="*/ 0 w 19"/>
                              <a:gd name="T1" fmla="*/ 0 h 38"/>
                              <a:gd name="T2" fmla="*/ 4 w 19"/>
                              <a:gd name="T3" fmla="*/ 1 h 38"/>
                              <a:gd name="T4" fmla="*/ 8 w 19"/>
                              <a:gd name="T5" fmla="*/ 2 h 38"/>
                              <a:gd name="T6" fmla="*/ 12 w 19"/>
                              <a:gd name="T7" fmla="*/ 5 h 38"/>
                              <a:gd name="T8" fmla="*/ 15 w 19"/>
                              <a:gd name="T9" fmla="*/ 8 h 38"/>
                              <a:gd name="T10" fmla="*/ 17 w 19"/>
                              <a:gd name="T11" fmla="*/ 11 h 38"/>
                              <a:gd name="T12" fmla="*/ 19 w 19"/>
                              <a:gd name="T13" fmla="*/ 15 h 38"/>
                              <a:gd name="T14" fmla="*/ 19 w 19"/>
                              <a:gd name="T15" fmla="*/ 19 h 38"/>
                              <a:gd name="T16" fmla="*/ 19 w 19"/>
                              <a:gd name="T17" fmla="*/ 23 h 38"/>
                              <a:gd name="T18" fmla="*/ 17 w 19"/>
                              <a:gd name="T19" fmla="*/ 28 h 38"/>
                              <a:gd name="T20" fmla="*/ 15 w 19"/>
                              <a:gd name="T21" fmla="*/ 31 h 38"/>
                              <a:gd name="T22" fmla="*/ 12 w 19"/>
                              <a:gd name="T23" fmla="*/ 34 h 38"/>
                              <a:gd name="T24" fmla="*/ 8 w 19"/>
                              <a:gd name="T25" fmla="*/ 36 h 38"/>
                              <a:gd name="T26" fmla="*/ 4 w 19"/>
                              <a:gd name="T27" fmla="*/ 38 h 38"/>
                              <a:gd name="T28" fmla="*/ 0 w 19"/>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0" y="0"/>
                                </a:moveTo>
                                <a:lnTo>
                                  <a:pt x="4" y="1"/>
                                </a:lnTo>
                                <a:lnTo>
                                  <a:pt x="8" y="2"/>
                                </a:lnTo>
                                <a:lnTo>
                                  <a:pt x="12" y="5"/>
                                </a:lnTo>
                                <a:lnTo>
                                  <a:pt x="15" y="8"/>
                                </a:lnTo>
                                <a:lnTo>
                                  <a:pt x="17" y="11"/>
                                </a:lnTo>
                                <a:lnTo>
                                  <a:pt x="19" y="15"/>
                                </a:lnTo>
                                <a:lnTo>
                                  <a:pt x="19" y="19"/>
                                </a:lnTo>
                                <a:lnTo>
                                  <a:pt x="19" y="23"/>
                                </a:lnTo>
                                <a:lnTo>
                                  <a:pt x="17" y="28"/>
                                </a:lnTo>
                                <a:lnTo>
                                  <a:pt x="15" y="31"/>
                                </a:lnTo>
                                <a:lnTo>
                                  <a:pt x="12" y="34"/>
                                </a:lnTo>
                                <a:lnTo>
                                  <a:pt x="8" y="36"/>
                                </a:lnTo>
                                <a:lnTo>
                                  <a:pt x="4" y="38"/>
                                </a:lnTo>
                                <a:lnTo>
                                  <a:pt x="0" y="38"/>
                                </a:lnTo>
                              </a:path>
                            </a:pathLst>
                          </a:custGeom>
                          <a:noFill/>
                          <a:ln w="0" cmpd="sng">
                            <a:solidFill>
                              <a:srgbClr val="000000"/>
                            </a:solidFill>
                            <a:round/>
                          </a:ln>
                        </wps:spPr>
                        <wps:bodyPr rot="0" vert="horz" wrap="square" lIns="91440" tIns="45720" rIns="91440" bIns="45720" anchor="t" anchorCtr="false" upright="true">
                          <a:noAutofit/>
                        </wps:bodyPr>
                      </wps:wsp>
                      <wps:wsp>
                        <wps:cNvPr id="386" name="未知"/>
                        <wps:cNvSpPr/>
                        <wps:spPr bwMode="auto">
                          <a:xfrm>
                            <a:off x="2759" y="3518"/>
                            <a:ext cx="38" cy="19"/>
                          </a:xfrm>
                          <a:custGeom>
                            <a:avLst/>
                            <a:gdLst>
                              <a:gd name="T0" fmla="*/ 19 w 38"/>
                              <a:gd name="T1" fmla="*/ 0 h 19"/>
                              <a:gd name="T2" fmla="*/ 38 w 38"/>
                              <a:gd name="T3" fmla="*/ 0 h 19"/>
                              <a:gd name="T4" fmla="*/ 38 w 38"/>
                              <a:gd name="T5" fmla="*/ 4 h 19"/>
                              <a:gd name="T6" fmla="*/ 36 w 38"/>
                              <a:gd name="T7" fmla="*/ 9 h 19"/>
                              <a:gd name="T8" fmla="*/ 34 w 38"/>
                              <a:gd name="T9" fmla="*/ 12 h 19"/>
                              <a:gd name="T10" fmla="*/ 31 w 38"/>
                              <a:gd name="T11" fmla="*/ 15 h 19"/>
                              <a:gd name="T12" fmla="*/ 27 w 38"/>
                              <a:gd name="T13" fmla="*/ 17 h 19"/>
                              <a:gd name="T14" fmla="*/ 23 w 38"/>
                              <a:gd name="T15" fmla="*/ 19 h 19"/>
                              <a:gd name="T16" fmla="*/ 19 w 38"/>
                              <a:gd name="T17" fmla="*/ 19 h 19"/>
                              <a:gd name="T18" fmla="*/ 15 w 38"/>
                              <a:gd name="T19" fmla="*/ 19 h 19"/>
                              <a:gd name="T20" fmla="*/ 11 w 38"/>
                              <a:gd name="T21" fmla="*/ 17 h 19"/>
                              <a:gd name="T22" fmla="*/ 7 w 38"/>
                              <a:gd name="T23" fmla="*/ 15 h 19"/>
                              <a:gd name="T24" fmla="*/ 4 w 38"/>
                              <a:gd name="T25" fmla="*/ 12 h 19"/>
                              <a:gd name="T26" fmla="*/ 2 w 38"/>
                              <a:gd name="T27" fmla="*/ 9 h 19"/>
                              <a:gd name="T28" fmla="*/ 1 w 38"/>
                              <a:gd name="T29" fmla="*/ 4 h 19"/>
                              <a:gd name="T30" fmla="*/ 0 w 38"/>
                              <a:gd name="T31" fmla="*/ 0 h 19"/>
                              <a:gd name="T32" fmla="*/ 19 w 38"/>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19">
                                <a:moveTo>
                                  <a:pt x="19" y="0"/>
                                </a:moveTo>
                                <a:lnTo>
                                  <a:pt x="38" y="0"/>
                                </a:lnTo>
                                <a:lnTo>
                                  <a:pt x="38" y="4"/>
                                </a:lnTo>
                                <a:lnTo>
                                  <a:pt x="36" y="9"/>
                                </a:lnTo>
                                <a:lnTo>
                                  <a:pt x="34" y="12"/>
                                </a:lnTo>
                                <a:lnTo>
                                  <a:pt x="31" y="15"/>
                                </a:lnTo>
                                <a:lnTo>
                                  <a:pt x="27" y="17"/>
                                </a:lnTo>
                                <a:lnTo>
                                  <a:pt x="23" y="19"/>
                                </a:lnTo>
                                <a:lnTo>
                                  <a:pt x="19" y="19"/>
                                </a:lnTo>
                                <a:lnTo>
                                  <a:pt x="15" y="19"/>
                                </a:lnTo>
                                <a:lnTo>
                                  <a:pt x="11" y="17"/>
                                </a:lnTo>
                                <a:lnTo>
                                  <a:pt x="7" y="15"/>
                                </a:lnTo>
                                <a:lnTo>
                                  <a:pt x="4" y="12"/>
                                </a:lnTo>
                                <a:lnTo>
                                  <a:pt x="2" y="9"/>
                                </a:lnTo>
                                <a:lnTo>
                                  <a:pt x="1" y="4"/>
                                </a:lnTo>
                                <a:lnTo>
                                  <a:pt x="0" y="0"/>
                                </a:lnTo>
                                <a:lnTo>
                                  <a:pt x="19" y="0"/>
                                </a:lnTo>
                                <a:close/>
                              </a:path>
                            </a:pathLst>
                          </a:custGeom>
                          <a:solidFill>
                            <a:srgbClr val="000000"/>
                          </a:solidFill>
                          <a:ln>
                            <a:noFill/>
                          </a:ln>
                        </wps:spPr>
                        <wps:bodyPr rot="0" vert="horz" wrap="square" lIns="91440" tIns="45720" rIns="91440" bIns="45720" anchor="t" anchorCtr="false" upright="true">
                          <a:noAutofit/>
                        </wps:bodyPr>
                      </wps:wsp>
                      <wps:wsp>
                        <wps:cNvPr id="387" name="未知"/>
                        <wps:cNvSpPr/>
                        <wps:spPr bwMode="auto">
                          <a:xfrm>
                            <a:off x="2759" y="3518"/>
                            <a:ext cx="38" cy="19"/>
                          </a:xfrm>
                          <a:custGeom>
                            <a:avLst/>
                            <a:gdLst>
                              <a:gd name="T0" fmla="*/ 38 w 38"/>
                              <a:gd name="T1" fmla="*/ 0 h 19"/>
                              <a:gd name="T2" fmla="*/ 38 w 38"/>
                              <a:gd name="T3" fmla="*/ 4 h 19"/>
                              <a:gd name="T4" fmla="*/ 36 w 38"/>
                              <a:gd name="T5" fmla="*/ 9 h 19"/>
                              <a:gd name="T6" fmla="*/ 34 w 38"/>
                              <a:gd name="T7" fmla="*/ 12 h 19"/>
                              <a:gd name="T8" fmla="*/ 31 w 38"/>
                              <a:gd name="T9" fmla="*/ 15 h 19"/>
                              <a:gd name="T10" fmla="*/ 27 w 38"/>
                              <a:gd name="T11" fmla="*/ 17 h 19"/>
                              <a:gd name="T12" fmla="*/ 23 w 38"/>
                              <a:gd name="T13" fmla="*/ 19 h 19"/>
                              <a:gd name="T14" fmla="*/ 19 w 38"/>
                              <a:gd name="T15" fmla="*/ 19 h 19"/>
                              <a:gd name="T16" fmla="*/ 15 w 38"/>
                              <a:gd name="T17" fmla="*/ 19 h 19"/>
                              <a:gd name="T18" fmla="*/ 11 w 38"/>
                              <a:gd name="T19" fmla="*/ 17 h 19"/>
                              <a:gd name="T20" fmla="*/ 7 w 38"/>
                              <a:gd name="T21" fmla="*/ 15 h 19"/>
                              <a:gd name="T22" fmla="*/ 4 w 38"/>
                              <a:gd name="T23" fmla="*/ 12 h 19"/>
                              <a:gd name="T24" fmla="*/ 2 w 38"/>
                              <a:gd name="T25" fmla="*/ 9 h 19"/>
                              <a:gd name="T26" fmla="*/ 1 w 38"/>
                              <a:gd name="T27" fmla="*/ 4 h 19"/>
                              <a:gd name="T28" fmla="*/ 0 w 3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19">
                                <a:moveTo>
                                  <a:pt x="38" y="0"/>
                                </a:moveTo>
                                <a:lnTo>
                                  <a:pt x="38" y="4"/>
                                </a:lnTo>
                                <a:lnTo>
                                  <a:pt x="36" y="9"/>
                                </a:lnTo>
                                <a:lnTo>
                                  <a:pt x="34" y="12"/>
                                </a:lnTo>
                                <a:lnTo>
                                  <a:pt x="31" y="15"/>
                                </a:lnTo>
                                <a:lnTo>
                                  <a:pt x="27" y="17"/>
                                </a:lnTo>
                                <a:lnTo>
                                  <a:pt x="23" y="19"/>
                                </a:lnTo>
                                <a:lnTo>
                                  <a:pt x="19" y="19"/>
                                </a:lnTo>
                                <a:lnTo>
                                  <a:pt x="15" y="19"/>
                                </a:lnTo>
                                <a:lnTo>
                                  <a:pt x="11" y="17"/>
                                </a:lnTo>
                                <a:lnTo>
                                  <a:pt x="7" y="15"/>
                                </a:lnTo>
                                <a:lnTo>
                                  <a:pt x="4" y="12"/>
                                </a:lnTo>
                                <a:lnTo>
                                  <a:pt x="2" y="9"/>
                                </a:lnTo>
                                <a:lnTo>
                                  <a:pt x="1" y="4"/>
                                </a:lnTo>
                                <a:lnTo>
                                  <a:pt x="0" y="0"/>
                                </a:lnTo>
                              </a:path>
                            </a:pathLst>
                          </a:custGeom>
                          <a:noFill/>
                          <a:ln w="0" cmpd="sng">
                            <a:solidFill>
                              <a:srgbClr val="000000"/>
                            </a:solidFill>
                            <a:round/>
                          </a:ln>
                        </wps:spPr>
                        <wps:bodyPr rot="0" vert="horz" wrap="square" lIns="91440" tIns="45720" rIns="91440" bIns="45720" anchor="t" anchorCtr="false" upright="true">
                          <a:noAutofit/>
                        </wps:bodyPr>
                      </wps:wsp>
                      <wps:wsp>
                        <wps:cNvPr id="388" name="未知"/>
                        <wps:cNvSpPr/>
                        <wps:spPr bwMode="auto">
                          <a:xfrm>
                            <a:off x="2759" y="380"/>
                            <a:ext cx="38" cy="3138"/>
                          </a:xfrm>
                          <a:custGeom>
                            <a:avLst/>
                            <a:gdLst>
                              <a:gd name="T0" fmla="*/ 0 w 38"/>
                              <a:gd name="T1" fmla="*/ 3138 h 3138"/>
                              <a:gd name="T2" fmla="*/ 19 w 38"/>
                              <a:gd name="T3" fmla="*/ 3138 h 3138"/>
                              <a:gd name="T4" fmla="*/ 38 w 38"/>
                              <a:gd name="T5" fmla="*/ 3138 h 3138"/>
                              <a:gd name="T6" fmla="*/ 38 w 38"/>
                              <a:gd name="T7" fmla="*/ 0 h 3138"/>
                              <a:gd name="T8" fmla="*/ 19 w 38"/>
                              <a:gd name="T9" fmla="*/ 0 h 3138"/>
                              <a:gd name="T10" fmla="*/ 0 w 38"/>
                              <a:gd name="T11" fmla="*/ 0 h 3138"/>
                              <a:gd name="T12" fmla="*/ 0 w 38"/>
                              <a:gd name="T13" fmla="*/ 3138 h 3138"/>
                            </a:gdLst>
                            <a:ahLst/>
                            <a:cxnLst>
                              <a:cxn ang="0">
                                <a:pos x="T0" y="T1"/>
                              </a:cxn>
                              <a:cxn ang="0">
                                <a:pos x="T2" y="T3"/>
                              </a:cxn>
                              <a:cxn ang="0">
                                <a:pos x="T4" y="T5"/>
                              </a:cxn>
                              <a:cxn ang="0">
                                <a:pos x="T6" y="T7"/>
                              </a:cxn>
                              <a:cxn ang="0">
                                <a:pos x="T8" y="T9"/>
                              </a:cxn>
                              <a:cxn ang="0">
                                <a:pos x="T10" y="T11"/>
                              </a:cxn>
                              <a:cxn ang="0">
                                <a:pos x="T12" y="T13"/>
                              </a:cxn>
                            </a:cxnLst>
                            <a:rect l="0" t="0" r="r" b="b"/>
                            <a:pathLst>
                              <a:path w="38" h="3138">
                                <a:moveTo>
                                  <a:pt x="0" y="3138"/>
                                </a:moveTo>
                                <a:lnTo>
                                  <a:pt x="19" y="3138"/>
                                </a:lnTo>
                                <a:lnTo>
                                  <a:pt x="38" y="3138"/>
                                </a:lnTo>
                                <a:lnTo>
                                  <a:pt x="38" y="0"/>
                                </a:lnTo>
                                <a:lnTo>
                                  <a:pt x="19" y="0"/>
                                </a:lnTo>
                                <a:lnTo>
                                  <a:pt x="0" y="0"/>
                                </a:lnTo>
                                <a:lnTo>
                                  <a:pt x="0" y="3138"/>
                                </a:lnTo>
                                <a:close/>
                              </a:path>
                            </a:pathLst>
                          </a:custGeom>
                          <a:solidFill>
                            <a:srgbClr val="000000"/>
                          </a:solidFill>
                          <a:ln>
                            <a:noFill/>
                          </a:ln>
                        </wps:spPr>
                        <wps:bodyPr rot="0" vert="horz" wrap="square" lIns="91440" tIns="45720" rIns="91440" bIns="45720" anchor="t" anchorCtr="false" upright="true">
                          <a:noAutofit/>
                        </wps:bodyPr>
                      </wps:wsp>
                      <wps:wsp>
                        <wps:cNvPr id="389" name="未知"/>
                        <wps:cNvSpPr/>
                        <wps:spPr bwMode="auto">
                          <a:xfrm>
                            <a:off x="2759" y="380"/>
                            <a:ext cx="38" cy="3138"/>
                          </a:xfrm>
                          <a:custGeom>
                            <a:avLst/>
                            <a:gdLst>
                              <a:gd name="T0" fmla="*/ 0 w 38"/>
                              <a:gd name="T1" fmla="*/ 3138 h 3138"/>
                              <a:gd name="T2" fmla="*/ 19 w 38"/>
                              <a:gd name="T3" fmla="*/ 3138 h 3138"/>
                              <a:gd name="T4" fmla="*/ 38 w 38"/>
                              <a:gd name="T5" fmla="*/ 3138 h 3138"/>
                              <a:gd name="T6" fmla="*/ 38 w 38"/>
                              <a:gd name="T7" fmla="*/ 0 h 3138"/>
                              <a:gd name="T8" fmla="*/ 19 w 38"/>
                              <a:gd name="T9" fmla="*/ 0 h 3138"/>
                              <a:gd name="T10" fmla="*/ 0 w 38"/>
                              <a:gd name="T11" fmla="*/ 0 h 3138"/>
                              <a:gd name="T12" fmla="*/ 0 w 38"/>
                              <a:gd name="T13" fmla="*/ 3138 h 3138"/>
                            </a:gdLst>
                            <a:ahLst/>
                            <a:cxnLst>
                              <a:cxn ang="0">
                                <a:pos x="T0" y="T1"/>
                              </a:cxn>
                              <a:cxn ang="0">
                                <a:pos x="T2" y="T3"/>
                              </a:cxn>
                              <a:cxn ang="0">
                                <a:pos x="T4" y="T5"/>
                              </a:cxn>
                              <a:cxn ang="0">
                                <a:pos x="T6" y="T7"/>
                              </a:cxn>
                              <a:cxn ang="0">
                                <a:pos x="T8" y="T9"/>
                              </a:cxn>
                              <a:cxn ang="0">
                                <a:pos x="T10" y="T11"/>
                              </a:cxn>
                              <a:cxn ang="0">
                                <a:pos x="T12" y="T13"/>
                              </a:cxn>
                            </a:cxnLst>
                            <a:rect l="0" t="0" r="r" b="b"/>
                            <a:pathLst>
                              <a:path w="38" h="3138">
                                <a:moveTo>
                                  <a:pt x="0" y="3138"/>
                                </a:moveTo>
                                <a:lnTo>
                                  <a:pt x="19" y="3138"/>
                                </a:lnTo>
                                <a:lnTo>
                                  <a:pt x="38" y="3138"/>
                                </a:lnTo>
                                <a:lnTo>
                                  <a:pt x="38" y="0"/>
                                </a:lnTo>
                                <a:lnTo>
                                  <a:pt x="19" y="0"/>
                                </a:lnTo>
                                <a:lnTo>
                                  <a:pt x="0" y="0"/>
                                </a:lnTo>
                                <a:lnTo>
                                  <a:pt x="0" y="3138"/>
                                </a:lnTo>
                                <a:close/>
                              </a:path>
                            </a:pathLst>
                          </a:custGeom>
                          <a:noFill/>
                          <a:ln w="0" cmpd="sng">
                            <a:solidFill>
                              <a:srgbClr val="000000"/>
                            </a:solidFill>
                            <a:round/>
                          </a:ln>
                        </wps:spPr>
                        <wps:bodyPr rot="0" vert="horz" wrap="square" lIns="91440" tIns="45720" rIns="91440" bIns="45720" anchor="t" anchorCtr="false" upright="true">
                          <a:noAutofit/>
                        </wps:bodyPr>
                      </wps:wsp>
                      <wps:wsp>
                        <wps:cNvPr id="391" name="未知"/>
                        <wps:cNvSpPr/>
                        <wps:spPr bwMode="auto">
                          <a:xfrm>
                            <a:off x="2759" y="361"/>
                            <a:ext cx="38" cy="19"/>
                          </a:xfrm>
                          <a:custGeom>
                            <a:avLst/>
                            <a:gdLst>
                              <a:gd name="T0" fmla="*/ 19 w 38"/>
                              <a:gd name="T1" fmla="*/ 19 h 19"/>
                              <a:gd name="T2" fmla="*/ 0 w 38"/>
                              <a:gd name="T3" fmla="*/ 19 h 19"/>
                              <a:gd name="T4" fmla="*/ 1 w 38"/>
                              <a:gd name="T5" fmla="*/ 15 h 19"/>
                              <a:gd name="T6" fmla="*/ 2 w 38"/>
                              <a:gd name="T7" fmla="*/ 11 h 19"/>
                              <a:gd name="T8" fmla="*/ 4 w 38"/>
                              <a:gd name="T9" fmla="*/ 7 h 19"/>
                              <a:gd name="T10" fmla="*/ 7 w 38"/>
                              <a:gd name="T11" fmla="*/ 4 h 19"/>
                              <a:gd name="T12" fmla="*/ 11 w 38"/>
                              <a:gd name="T13" fmla="*/ 2 h 19"/>
                              <a:gd name="T14" fmla="*/ 15 w 38"/>
                              <a:gd name="T15" fmla="*/ 0 h 19"/>
                              <a:gd name="T16" fmla="*/ 19 w 38"/>
                              <a:gd name="T17" fmla="*/ 0 h 19"/>
                              <a:gd name="T18" fmla="*/ 23 w 38"/>
                              <a:gd name="T19" fmla="*/ 0 h 19"/>
                              <a:gd name="T20" fmla="*/ 27 w 38"/>
                              <a:gd name="T21" fmla="*/ 2 h 19"/>
                              <a:gd name="T22" fmla="*/ 31 w 38"/>
                              <a:gd name="T23" fmla="*/ 4 h 19"/>
                              <a:gd name="T24" fmla="*/ 34 w 38"/>
                              <a:gd name="T25" fmla="*/ 7 h 19"/>
                              <a:gd name="T26" fmla="*/ 36 w 38"/>
                              <a:gd name="T27" fmla="*/ 11 h 19"/>
                              <a:gd name="T28" fmla="*/ 38 w 38"/>
                              <a:gd name="T29" fmla="*/ 15 h 19"/>
                              <a:gd name="T30" fmla="*/ 38 w 38"/>
                              <a:gd name="T31" fmla="*/ 19 h 19"/>
                              <a:gd name="T32" fmla="*/ 19 w 38"/>
                              <a:gd name="T33"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19">
                                <a:moveTo>
                                  <a:pt x="19" y="19"/>
                                </a:moveTo>
                                <a:lnTo>
                                  <a:pt x="0" y="19"/>
                                </a:lnTo>
                                <a:lnTo>
                                  <a:pt x="1" y="15"/>
                                </a:lnTo>
                                <a:lnTo>
                                  <a:pt x="2" y="11"/>
                                </a:lnTo>
                                <a:lnTo>
                                  <a:pt x="4" y="7"/>
                                </a:lnTo>
                                <a:lnTo>
                                  <a:pt x="7" y="4"/>
                                </a:lnTo>
                                <a:lnTo>
                                  <a:pt x="11" y="2"/>
                                </a:lnTo>
                                <a:lnTo>
                                  <a:pt x="15" y="0"/>
                                </a:lnTo>
                                <a:lnTo>
                                  <a:pt x="19" y="0"/>
                                </a:lnTo>
                                <a:lnTo>
                                  <a:pt x="23" y="0"/>
                                </a:lnTo>
                                <a:lnTo>
                                  <a:pt x="27" y="2"/>
                                </a:lnTo>
                                <a:lnTo>
                                  <a:pt x="31" y="4"/>
                                </a:lnTo>
                                <a:lnTo>
                                  <a:pt x="34" y="7"/>
                                </a:lnTo>
                                <a:lnTo>
                                  <a:pt x="36" y="11"/>
                                </a:lnTo>
                                <a:lnTo>
                                  <a:pt x="38" y="15"/>
                                </a:lnTo>
                                <a:lnTo>
                                  <a:pt x="38" y="19"/>
                                </a:lnTo>
                                <a:lnTo>
                                  <a:pt x="19" y="19"/>
                                </a:lnTo>
                                <a:close/>
                              </a:path>
                            </a:pathLst>
                          </a:custGeom>
                          <a:solidFill>
                            <a:srgbClr val="000000"/>
                          </a:solidFill>
                          <a:ln>
                            <a:noFill/>
                          </a:ln>
                        </wps:spPr>
                        <wps:bodyPr rot="0" vert="horz" wrap="square" lIns="91440" tIns="45720" rIns="91440" bIns="45720" anchor="t" anchorCtr="false" upright="true">
                          <a:noAutofit/>
                        </wps:bodyPr>
                      </wps:wsp>
                      <wps:wsp>
                        <wps:cNvPr id="393" name="未知"/>
                        <wps:cNvSpPr/>
                        <wps:spPr bwMode="auto">
                          <a:xfrm>
                            <a:off x="2759" y="361"/>
                            <a:ext cx="38" cy="19"/>
                          </a:xfrm>
                          <a:custGeom>
                            <a:avLst/>
                            <a:gdLst>
                              <a:gd name="T0" fmla="*/ 0 w 38"/>
                              <a:gd name="T1" fmla="*/ 19 h 19"/>
                              <a:gd name="T2" fmla="*/ 1 w 38"/>
                              <a:gd name="T3" fmla="*/ 15 h 19"/>
                              <a:gd name="T4" fmla="*/ 2 w 38"/>
                              <a:gd name="T5" fmla="*/ 11 h 19"/>
                              <a:gd name="T6" fmla="*/ 4 w 38"/>
                              <a:gd name="T7" fmla="*/ 7 h 19"/>
                              <a:gd name="T8" fmla="*/ 7 w 38"/>
                              <a:gd name="T9" fmla="*/ 4 h 19"/>
                              <a:gd name="T10" fmla="*/ 11 w 38"/>
                              <a:gd name="T11" fmla="*/ 2 h 19"/>
                              <a:gd name="T12" fmla="*/ 15 w 38"/>
                              <a:gd name="T13" fmla="*/ 0 h 19"/>
                              <a:gd name="T14" fmla="*/ 19 w 38"/>
                              <a:gd name="T15" fmla="*/ 0 h 19"/>
                              <a:gd name="T16" fmla="*/ 23 w 38"/>
                              <a:gd name="T17" fmla="*/ 0 h 19"/>
                              <a:gd name="T18" fmla="*/ 27 w 38"/>
                              <a:gd name="T19" fmla="*/ 2 h 19"/>
                              <a:gd name="T20" fmla="*/ 31 w 38"/>
                              <a:gd name="T21" fmla="*/ 4 h 19"/>
                              <a:gd name="T22" fmla="*/ 34 w 38"/>
                              <a:gd name="T23" fmla="*/ 7 h 19"/>
                              <a:gd name="T24" fmla="*/ 36 w 38"/>
                              <a:gd name="T25" fmla="*/ 11 h 19"/>
                              <a:gd name="T26" fmla="*/ 38 w 38"/>
                              <a:gd name="T27" fmla="*/ 15 h 19"/>
                              <a:gd name="T28" fmla="*/ 38 w 3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19">
                                <a:moveTo>
                                  <a:pt x="0" y="19"/>
                                </a:moveTo>
                                <a:lnTo>
                                  <a:pt x="1" y="15"/>
                                </a:lnTo>
                                <a:lnTo>
                                  <a:pt x="2" y="11"/>
                                </a:lnTo>
                                <a:lnTo>
                                  <a:pt x="4" y="7"/>
                                </a:lnTo>
                                <a:lnTo>
                                  <a:pt x="7" y="4"/>
                                </a:lnTo>
                                <a:lnTo>
                                  <a:pt x="11" y="2"/>
                                </a:lnTo>
                                <a:lnTo>
                                  <a:pt x="15" y="0"/>
                                </a:lnTo>
                                <a:lnTo>
                                  <a:pt x="19" y="0"/>
                                </a:lnTo>
                                <a:lnTo>
                                  <a:pt x="23" y="0"/>
                                </a:lnTo>
                                <a:lnTo>
                                  <a:pt x="27" y="2"/>
                                </a:lnTo>
                                <a:lnTo>
                                  <a:pt x="31" y="4"/>
                                </a:lnTo>
                                <a:lnTo>
                                  <a:pt x="34" y="7"/>
                                </a:lnTo>
                                <a:lnTo>
                                  <a:pt x="36" y="11"/>
                                </a:lnTo>
                                <a:lnTo>
                                  <a:pt x="38" y="15"/>
                                </a:lnTo>
                                <a:lnTo>
                                  <a:pt x="38" y="19"/>
                                </a:lnTo>
                              </a:path>
                            </a:pathLst>
                          </a:custGeom>
                          <a:noFill/>
                          <a:ln w="0" cmpd="sng">
                            <a:solidFill>
                              <a:srgbClr val="000000"/>
                            </a:solidFill>
                            <a:round/>
                          </a:ln>
                        </wps:spPr>
                        <wps:bodyPr rot="0" vert="horz" wrap="square" lIns="91440" tIns="45720" rIns="91440" bIns="45720" anchor="t" anchorCtr="false" upright="true">
                          <a:noAutofit/>
                        </wps:bodyPr>
                      </wps:wsp>
                      <wps:wsp>
                        <wps:cNvPr id="394" name="未知"/>
                        <wps:cNvSpPr/>
                        <wps:spPr bwMode="auto">
                          <a:xfrm>
                            <a:off x="111" y="3499"/>
                            <a:ext cx="19" cy="38"/>
                          </a:xfrm>
                          <a:custGeom>
                            <a:avLst/>
                            <a:gdLst>
                              <a:gd name="T0" fmla="*/ 19 w 19"/>
                              <a:gd name="T1" fmla="*/ 19 h 38"/>
                              <a:gd name="T2" fmla="*/ 19 w 19"/>
                              <a:gd name="T3" fmla="*/ 38 h 38"/>
                              <a:gd name="T4" fmla="*/ 15 w 19"/>
                              <a:gd name="T5" fmla="*/ 38 h 38"/>
                              <a:gd name="T6" fmla="*/ 10 w 19"/>
                              <a:gd name="T7" fmla="*/ 36 h 38"/>
                              <a:gd name="T8" fmla="*/ 7 w 19"/>
                              <a:gd name="T9" fmla="*/ 34 h 38"/>
                              <a:gd name="T10" fmla="*/ 4 w 19"/>
                              <a:gd name="T11" fmla="*/ 31 h 38"/>
                              <a:gd name="T12" fmla="*/ 2 w 19"/>
                              <a:gd name="T13" fmla="*/ 28 h 38"/>
                              <a:gd name="T14" fmla="*/ 0 w 19"/>
                              <a:gd name="T15" fmla="*/ 23 h 38"/>
                              <a:gd name="T16" fmla="*/ 0 w 19"/>
                              <a:gd name="T17" fmla="*/ 19 h 38"/>
                              <a:gd name="T18" fmla="*/ 0 w 19"/>
                              <a:gd name="T19" fmla="*/ 15 h 38"/>
                              <a:gd name="T20" fmla="*/ 2 w 19"/>
                              <a:gd name="T21" fmla="*/ 11 h 38"/>
                              <a:gd name="T22" fmla="*/ 4 w 19"/>
                              <a:gd name="T23" fmla="*/ 8 h 38"/>
                              <a:gd name="T24" fmla="*/ 7 w 19"/>
                              <a:gd name="T25" fmla="*/ 5 h 38"/>
                              <a:gd name="T26" fmla="*/ 10 w 19"/>
                              <a:gd name="T27" fmla="*/ 2 h 38"/>
                              <a:gd name="T28" fmla="*/ 15 w 19"/>
                              <a:gd name="T29" fmla="*/ 1 h 38"/>
                              <a:gd name="T30" fmla="*/ 19 w 19"/>
                              <a:gd name="T31" fmla="*/ 0 h 38"/>
                              <a:gd name="T32" fmla="*/ 19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19" y="19"/>
                                </a:moveTo>
                                <a:lnTo>
                                  <a:pt x="19" y="38"/>
                                </a:lnTo>
                                <a:lnTo>
                                  <a:pt x="15" y="38"/>
                                </a:lnTo>
                                <a:lnTo>
                                  <a:pt x="10" y="36"/>
                                </a:lnTo>
                                <a:lnTo>
                                  <a:pt x="7" y="34"/>
                                </a:lnTo>
                                <a:lnTo>
                                  <a:pt x="4" y="31"/>
                                </a:lnTo>
                                <a:lnTo>
                                  <a:pt x="2" y="28"/>
                                </a:lnTo>
                                <a:lnTo>
                                  <a:pt x="0" y="23"/>
                                </a:lnTo>
                                <a:lnTo>
                                  <a:pt x="0" y="19"/>
                                </a:lnTo>
                                <a:lnTo>
                                  <a:pt x="0" y="15"/>
                                </a:lnTo>
                                <a:lnTo>
                                  <a:pt x="2" y="11"/>
                                </a:lnTo>
                                <a:lnTo>
                                  <a:pt x="4" y="8"/>
                                </a:lnTo>
                                <a:lnTo>
                                  <a:pt x="7" y="5"/>
                                </a:lnTo>
                                <a:lnTo>
                                  <a:pt x="10" y="2"/>
                                </a:lnTo>
                                <a:lnTo>
                                  <a:pt x="15" y="1"/>
                                </a:lnTo>
                                <a:lnTo>
                                  <a:pt x="19" y="0"/>
                                </a:lnTo>
                                <a:lnTo>
                                  <a:pt x="19" y="19"/>
                                </a:lnTo>
                                <a:close/>
                              </a:path>
                            </a:pathLst>
                          </a:custGeom>
                          <a:solidFill>
                            <a:srgbClr val="000000"/>
                          </a:solidFill>
                          <a:ln>
                            <a:noFill/>
                          </a:ln>
                        </wps:spPr>
                        <wps:bodyPr rot="0" vert="horz" wrap="square" lIns="91440" tIns="45720" rIns="91440" bIns="45720" anchor="t" anchorCtr="false" upright="true">
                          <a:noAutofit/>
                        </wps:bodyPr>
                      </wps:wsp>
                      <wps:wsp>
                        <wps:cNvPr id="395" name="未知"/>
                        <wps:cNvSpPr/>
                        <wps:spPr bwMode="auto">
                          <a:xfrm>
                            <a:off x="111" y="3499"/>
                            <a:ext cx="19" cy="38"/>
                          </a:xfrm>
                          <a:custGeom>
                            <a:avLst/>
                            <a:gdLst>
                              <a:gd name="T0" fmla="*/ 19 w 19"/>
                              <a:gd name="T1" fmla="*/ 38 h 38"/>
                              <a:gd name="T2" fmla="*/ 15 w 19"/>
                              <a:gd name="T3" fmla="*/ 38 h 38"/>
                              <a:gd name="T4" fmla="*/ 10 w 19"/>
                              <a:gd name="T5" fmla="*/ 36 h 38"/>
                              <a:gd name="T6" fmla="*/ 7 w 19"/>
                              <a:gd name="T7" fmla="*/ 34 h 38"/>
                              <a:gd name="T8" fmla="*/ 4 w 19"/>
                              <a:gd name="T9" fmla="*/ 31 h 38"/>
                              <a:gd name="T10" fmla="*/ 2 w 19"/>
                              <a:gd name="T11" fmla="*/ 28 h 38"/>
                              <a:gd name="T12" fmla="*/ 0 w 19"/>
                              <a:gd name="T13" fmla="*/ 23 h 38"/>
                              <a:gd name="T14" fmla="*/ 0 w 19"/>
                              <a:gd name="T15" fmla="*/ 19 h 38"/>
                              <a:gd name="T16" fmla="*/ 0 w 19"/>
                              <a:gd name="T17" fmla="*/ 15 h 38"/>
                              <a:gd name="T18" fmla="*/ 2 w 19"/>
                              <a:gd name="T19" fmla="*/ 11 h 38"/>
                              <a:gd name="T20" fmla="*/ 4 w 19"/>
                              <a:gd name="T21" fmla="*/ 8 h 38"/>
                              <a:gd name="T22" fmla="*/ 7 w 19"/>
                              <a:gd name="T23" fmla="*/ 5 h 38"/>
                              <a:gd name="T24" fmla="*/ 10 w 19"/>
                              <a:gd name="T25" fmla="*/ 2 h 38"/>
                              <a:gd name="T26" fmla="*/ 15 w 19"/>
                              <a:gd name="T27" fmla="*/ 1 h 38"/>
                              <a:gd name="T28" fmla="*/ 19 w 19"/>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19" y="38"/>
                                </a:moveTo>
                                <a:lnTo>
                                  <a:pt x="15" y="38"/>
                                </a:lnTo>
                                <a:lnTo>
                                  <a:pt x="10" y="36"/>
                                </a:lnTo>
                                <a:lnTo>
                                  <a:pt x="7" y="34"/>
                                </a:lnTo>
                                <a:lnTo>
                                  <a:pt x="4" y="31"/>
                                </a:lnTo>
                                <a:lnTo>
                                  <a:pt x="2" y="28"/>
                                </a:lnTo>
                                <a:lnTo>
                                  <a:pt x="0" y="23"/>
                                </a:lnTo>
                                <a:lnTo>
                                  <a:pt x="0" y="19"/>
                                </a:lnTo>
                                <a:lnTo>
                                  <a:pt x="0" y="15"/>
                                </a:lnTo>
                                <a:lnTo>
                                  <a:pt x="2" y="11"/>
                                </a:lnTo>
                                <a:lnTo>
                                  <a:pt x="4" y="8"/>
                                </a:lnTo>
                                <a:lnTo>
                                  <a:pt x="7" y="5"/>
                                </a:lnTo>
                                <a:lnTo>
                                  <a:pt x="10" y="2"/>
                                </a:lnTo>
                                <a:lnTo>
                                  <a:pt x="15" y="1"/>
                                </a:lnTo>
                                <a:lnTo>
                                  <a:pt x="19" y="0"/>
                                </a:lnTo>
                              </a:path>
                            </a:pathLst>
                          </a:custGeom>
                          <a:noFill/>
                          <a:ln w="0" cmpd="sng">
                            <a:solidFill>
                              <a:srgbClr val="000000"/>
                            </a:solidFill>
                            <a:round/>
                          </a:ln>
                        </wps:spPr>
                        <wps:bodyPr rot="0" vert="horz" wrap="square" lIns="91440" tIns="45720" rIns="91440" bIns="45720" anchor="t" anchorCtr="false" upright="true">
                          <a:noAutofit/>
                        </wps:bodyPr>
                      </wps:wsp>
                      <wps:wsp>
                        <wps:cNvPr id="396" name="未知"/>
                        <wps:cNvSpPr/>
                        <wps:spPr bwMode="auto">
                          <a:xfrm>
                            <a:off x="5207" y="3499"/>
                            <a:ext cx="19" cy="38"/>
                          </a:xfrm>
                          <a:custGeom>
                            <a:avLst/>
                            <a:gdLst>
                              <a:gd name="T0" fmla="*/ 0 w 19"/>
                              <a:gd name="T1" fmla="*/ 19 h 38"/>
                              <a:gd name="T2" fmla="*/ 0 w 19"/>
                              <a:gd name="T3" fmla="*/ 0 h 38"/>
                              <a:gd name="T4" fmla="*/ 4 w 19"/>
                              <a:gd name="T5" fmla="*/ 1 h 38"/>
                              <a:gd name="T6" fmla="*/ 8 w 19"/>
                              <a:gd name="T7" fmla="*/ 2 h 38"/>
                              <a:gd name="T8" fmla="*/ 12 w 19"/>
                              <a:gd name="T9" fmla="*/ 5 h 38"/>
                              <a:gd name="T10" fmla="*/ 15 w 19"/>
                              <a:gd name="T11" fmla="*/ 8 h 38"/>
                              <a:gd name="T12" fmla="*/ 17 w 19"/>
                              <a:gd name="T13" fmla="*/ 11 h 38"/>
                              <a:gd name="T14" fmla="*/ 18 w 19"/>
                              <a:gd name="T15" fmla="*/ 15 h 38"/>
                              <a:gd name="T16" fmla="*/ 19 w 19"/>
                              <a:gd name="T17" fmla="*/ 19 h 38"/>
                              <a:gd name="T18" fmla="*/ 18 w 19"/>
                              <a:gd name="T19" fmla="*/ 23 h 38"/>
                              <a:gd name="T20" fmla="*/ 17 w 19"/>
                              <a:gd name="T21" fmla="*/ 28 h 38"/>
                              <a:gd name="T22" fmla="*/ 15 w 19"/>
                              <a:gd name="T23" fmla="*/ 31 h 38"/>
                              <a:gd name="T24" fmla="*/ 12 w 19"/>
                              <a:gd name="T25" fmla="*/ 34 h 38"/>
                              <a:gd name="T26" fmla="*/ 8 w 19"/>
                              <a:gd name="T27" fmla="*/ 36 h 38"/>
                              <a:gd name="T28" fmla="*/ 4 w 19"/>
                              <a:gd name="T29" fmla="*/ 38 h 38"/>
                              <a:gd name="T30" fmla="*/ 0 w 19"/>
                              <a:gd name="T31" fmla="*/ 38 h 38"/>
                              <a:gd name="T32" fmla="*/ 0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0" y="19"/>
                                </a:moveTo>
                                <a:lnTo>
                                  <a:pt x="0" y="0"/>
                                </a:lnTo>
                                <a:lnTo>
                                  <a:pt x="4" y="1"/>
                                </a:lnTo>
                                <a:lnTo>
                                  <a:pt x="8" y="2"/>
                                </a:lnTo>
                                <a:lnTo>
                                  <a:pt x="12" y="5"/>
                                </a:lnTo>
                                <a:lnTo>
                                  <a:pt x="15" y="8"/>
                                </a:lnTo>
                                <a:lnTo>
                                  <a:pt x="17" y="11"/>
                                </a:lnTo>
                                <a:lnTo>
                                  <a:pt x="18" y="15"/>
                                </a:lnTo>
                                <a:lnTo>
                                  <a:pt x="19" y="19"/>
                                </a:lnTo>
                                <a:lnTo>
                                  <a:pt x="18" y="23"/>
                                </a:lnTo>
                                <a:lnTo>
                                  <a:pt x="17" y="28"/>
                                </a:lnTo>
                                <a:lnTo>
                                  <a:pt x="15" y="31"/>
                                </a:lnTo>
                                <a:lnTo>
                                  <a:pt x="12" y="34"/>
                                </a:lnTo>
                                <a:lnTo>
                                  <a:pt x="8" y="36"/>
                                </a:lnTo>
                                <a:lnTo>
                                  <a:pt x="4" y="38"/>
                                </a:lnTo>
                                <a:lnTo>
                                  <a:pt x="0" y="38"/>
                                </a:lnTo>
                                <a:lnTo>
                                  <a:pt x="0" y="19"/>
                                </a:lnTo>
                                <a:close/>
                              </a:path>
                            </a:pathLst>
                          </a:custGeom>
                          <a:solidFill>
                            <a:srgbClr val="000000"/>
                          </a:solidFill>
                          <a:ln>
                            <a:noFill/>
                          </a:ln>
                        </wps:spPr>
                        <wps:bodyPr rot="0" vert="horz" wrap="square" lIns="91440" tIns="45720" rIns="91440" bIns="45720" anchor="t" anchorCtr="false" upright="true">
                          <a:noAutofit/>
                        </wps:bodyPr>
                      </wps:wsp>
                      <wps:wsp>
                        <wps:cNvPr id="397" name="未知"/>
                        <wps:cNvSpPr/>
                        <wps:spPr bwMode="auto">
                          <a:xfrm>
                            <a:off x="5207" y="3499"/>
                            <a:ext cx="19" cy="38"/>
                          </a:xfrm>
                          <a:custGeom>
                            <a:avLst/>
                            <a:gdLst>
                              <a:gd name="T0" fmla="*/ 0 w 19"/>
                              <a:gd name="T1" fmla="*/ 0 h 38"/>
                              <a:gd name="T2" fmla="*/ 4 w 19"/>
                              <a:gd name="T3" fmla="*/ 1 h 38"/>
                              <a:gd name="T4" fmla="*/ 8 w 19"/>
                              <a:gd name="T5" fmla="*/ 2 h 38"/>
                              <a:gd name="T6" fmla="*/ 12 w 19"/>
                              <a:gd name="T7" fmla="*/ 5 h 38"/>
                              <a:gd name="T8" fmla="*/ 15 w 19"/>
                              <a:gd name="T9" fmla="*/ 8 h 38"/>
                              <a:gd name="T10" fmla="*/ 17 w 19"/>
                              <a:gd name="T11" fmla="*/ 11 h 38"/>
                              <a:gd name="T12" fmla="*/ 18 w 19"/>
                              <a:gd name="T13" fmla="*/ 15 h 38"/>
                              <a:gd name="T14" fmla="*/ 19 w 19"/>
                              <a:gd name="T15" fmla="*/ 19 h 38"/>
                              <a:gd name="T16" fmla="*/ 18 w 19"/>
                              <a:gd name="T17" fmla="*/ 23 h 38"/>
                              <a:gd name="T18" fmla="*/ 17 w 19"/>
                              <a:gd name="T19" fmla="*/ 28 h 38"/>
                              <a:gd name="T20" fmla="*/ 15 w 19"/>
                              <a:gd name="T21" fmla="*/ 31 h 38"/>
                              <a:gd name="T22" fmla="*/ 12 w 19"/>
                              <a:gd name="T23" fmla="*/ 34 h 38"/>
                              <a:gd name="T24" fmla="*/ 8 w 19"/>
                              <a:gd name="T25" fmla="*/ 36 h 38"/>
                              <a:gd name="T26" fmla="*/ 4 w 19"/>
                              <a:gd name="T27" fmla="*/ 38 h 38"/>
                              <a:gd name="T28" fmla="*/ 0 w 19"/>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0" y="0"/>
                                </a:moveTo>
                                <a:lnTo>
                                  <a:pt x="4" y="1"/>
                                </a:lnTo>
                                <a:lnTo>
                                  <a:pt x="8" y="2"/>
                                </a:lnTo>
                                <a:lnTo>
                                  <a:pt x="12" y="5"/>
                                </a:lnTo>
                                <a:lnTo>
                                  <a:pt x="15" y="8"/>
                                </a:lnTo>
                                <a:lnTo>
                                  <a:pt x="17" y="11"/>
                                </a:lnTo>
                                <a:lnTo>
                                  <a:pt x="18" y="15"/>
                                </a:lnTo>
                                <a:lnTo>
                                  <a:pt x="19" y="19"/>
                                </a:lnTo>
                                <a:lnTo>
                                  <a:pt x="18" y="23"/>
                                </a:lnTo>
                                <a:lnTo>
                                  <a:pt x="17" y="28"/>
                                </a:lnTo>
                                <a:lnTo>
                                  <a:pt x="15" y="31"/>
                                </a:lnTo>
                                <a:lnTo>
                                  <a:pt x="12" y="34"/>
                                </a:lnTo>
                                <a:lnTo>
                                  <a:pt x="8" y="36"/>
                                </a:lnTo>
                                <a:lnTo>
                                  <a:pt x="4" y="38"/>
                                </a:lnTo>
                                <a:lnTo>
                                  <a:pt x="0" y="38"/>
                                </a:lnTo>
                              </a:path>
                            </a:pathLst>
                          </a:custGeom>
                          <a:noFill/>
                          <a:ln w="0" cmpd="sng">
                            <a:solidFill>
                              <a:srgbClr val="000000"/>
                            </a:solidFill>
                            <a:round/>
                          </a:ln>
                        </wps:spPr>
                        <wps:bodyPr rot="0" vert="horz" wrap="square" lIns="91440" tIns="45720" rIns="91440" bIns="45720" anchor="t" anchorCtr="false" upright="true">
                          <a:noAutofit/>
                        </wps:bodyPr>
                      </wps:wsp>
                      <wps:wsp>
                        <wps:cNvPr id="398" name="直线 60"/>
                        <wps:cNvCnPr/>
                        <wps:spPr bwMode="auto">
                          <a:xfrm>
                            <a:off x="2778" y="667"/>
                            <a:ext cx="1409" cy="1653"/>
                          </a:xfrm>
                          <a:prstGeom prst="line">
                            <a:avLst/>
                          </a:prstGeom>
                          <a:noFill/>
                          <a:ln w="0" cmpd="sng">
                            <a:solidFill>
                              <a:srgbClr val="000000"/>
                            </a:solidFill>
                            <a:round/>
                          </a:ln>
                        </wps:spPr>
                        <wps:bodyPr/>
                      </wps:wsp>
                      <wps:wsp>
                        <wps:cNvPr id="399" name="直线 61"/>
                        <wps:cNvCnPr/>
                        <wps:spPr bwMode="auto">
                          <a:xfrm flipH="true">
                            <a:off x="2778" y="2320"/>
                            <a:ext cx="1409" cy="1198"/>
                          </a:xfrm>
                          <a:prstGeom prst="line">
                            <a:avLst/>
                          </a:prstGeom>
                          <a:noFill/>
                          <a:ln w="0" cmpd="sng">
                            <a:solidFill>
                              <a:srgbClr val="000000"/>
                            </a:solidFill>
                            <a:round/>
                          </a:ln>
                        </wps:spPr>
                        <wps:bodyPr/>
                      </wps:wsp>
                      <wps:wsp>
                        <wps:cNvPr id="401" name="直线 62"/>
                        <wps:cNvCnPr/>
                        <wps:spPr bwMode="auto">
                          <a:xfrm>
                            <a:off x="4187" y="2320"/>
                            <a:ext cx="117" cy="139"/>
                          </a:xfrm>
                          <a:prstGeom prst="line">
                            <a:avLst/>
                          </a:prstGeom>
                          <a:noFill/>
                          <a:ln w="0" cmpd="sng">
                            <a:solidFill>
                              <a:srgbClr val="000000"/>
                            </a:solidFill>
                            <a:round/>
                          </a:ln>
                        </wps:spPr>
                        <wps:bodyPr/>
                      </wps:wsp>
                      <wps:wsp>
                        <wps:cNvPr id="403" name="直线 63"/>
                        <wps:cNvCnPr/>
                        <wps:spPr bwMode="auto">
                          <a:xfrm>
                            <a:off x="4435" y="2612"/>
                            <a:ext cx="87" cy="103"/>
                          </a:xfrm>
                          <a:prstGeom prst="line">
                            <a:avLst/>
                          </a:prstGeom>
                          <a:noFill/>
                          <a:ln w="0" cmpd="sng">
                            <a:solidFill>
                              <a:srgbClr val="000000"/>
                            </a:solidFill>
                            <a:round/>
                          </a:ln>
                        </wps:spPr>
                        <wps:bodyPr/>
                      </wps:wsp>
                      <wps:wsp>
                        <wps:cNvPr id="404" name="直线 64"/>
                        <wps:cNvCnPr/>
                        <wps:spPr bwMode="auto">
                          <a:xfrm>
                            <a:off x="4653" y="2868"/>
                            <a:ext cx="88" cy="102"/>
                          </a:xfrm>
                          <a:prstGeom prst="line">
                            <a:avLst/>
                          </a:prstGeom>
                          <a:noFill/>
                          <a:ln w="0" cmpd="sng">
                            <a:solidFill>
                              <a:srgbClr val="000000"/>
                            </a:solidFill>
                            <a:round/>
                          </a:ln>
                        </wps:spPr>
                        <wps:bodyPr/>
                      </wps:wsp>
                      <wps:wsp>
                        <wps:cNvPr id="405" name="直线 65"/>
                        <wps:cNvCnPr/>
                        <wps:spPr bwMode="auto">
                          <a:xfrm>
                            <a:off x="4871" y="3124"/>
                            <a:ext cx="87" cy="103"/>
                          </a:xfrm>
                          <a:prstGeom prst="line">
                            <a:avLst/>
                          </a:prstGeom>
                          <a:noFill/>
                          <a:ln w="0" cmpd="sng">
                            <a:solidFill>
                              <a:srgbClr val="000000"/>
                            </a:solidFill>
                            <a:round/>
                          </a:ln>
                        </wps:spPr>
                        <wps:bodyPr/>
                      </wps:wsp>
                      <wps:wsp>
                        <wps:cNvPr id="407" name="直线 66"/>
                        <wps:cNvCnPr/>
                        <wps:spPr bwMode="auto">
                          <a:xfrm>
                            <a:off x="5089" y="3380"/>
                            <a:ext cx="118" cy="138"/>
                          </a:xfrm>
                          <a:prstGeom prst="line">
                            <a:avLst/>
                          </a:prstGeom>
                          <a:noFill/>
                          <a:ln w="0" cmpd="sng">
                            <a:solidFill>
                              <a:srgbClr val="000000"/>
                            </a:solidFill>
                            <a:round/>
                          </a:ln>
                        </wps:spPr>
                        <wps:bodyPr/>
                      </wps:wsp>
                      <wps:wsp>
                        <wps:cNvPr id="408" name="直线 67"/>
                        <wps:cNvCnPr/>
                        <wps:spPr bwMode="auto">
                          <a:xfrm>
                            <a:off x="2778" y="798"/>
                            <a:ext cx="113" cy="1"/>
                          </a:xfrm>
                          <a:prstGeom prst="line">
                            <a:avLst/>
                          </a:prstGeom>
                          <a:noFill/>
                          <a:ln w="0" cmpd="sng">
                            <a:solidFill>
                              <a:srgbClr val="000000"/>
                            </a:solidFill>
                            <a:round/>
                          </a:ln>
                        </wps:spPr>
                        <wps:bodyPr/>
                      </wps:wsp>
                      <wps:wsp>
                        <wps:cNvPr id="409" name="直线 68"/>
                        <wps:cNvCnPr/>
                        <wps:spPr bwMode="auto">
                          <a:xfrm>
                            <a:off x="2778" y="1043"/>
                            <a:ext cx="321" cy="1"/>
                          </a:xfrm>
                          <a:prstGeom prst="line">
                            <a:avLst/>
                          </a:prstGeom>
                          <a:noFill/>
                          <a:ln w="0" cmpd="sng">
                            <a:solidFill>
                              <a:srgbClr val="000000"/>
                            </a:solidFill>
                            <a:round/>
                          </a:ln>
                        </wps:spPr>
                        <wps:bodyPr/>
                      </wps:wsp>
                      <wps:wsp>
                        <wps:cNvPr id="410" name="直线 69"/>
                        <wps:cNvCnPr/>
                        <wps:spPr bwMode="auto">
                          <a:xfrm>
                            <a:off x="2778" y="1288"/>
                            <a:ext cx="529" cy="1"/>
                          </a:xfrm>
                          <a:prstGeom prst="line">
                            <a:avLst/>
                          </a:prstGeom>
                          <a:noFill/>
                          <a:ln w="0" cmpd="sng">
                            <a:solidFill>
                              <a:srgbClr val="000000"/>
                            </a:solidFill>
                            <a:round/>
                          </a:ln>
                        </wps:spPr>
                        <wps:bodyPr/>
                      </wps:wsp>
                      <wps:wsp>
                        <wps:cNvPr id="418" name="直线 70"/>
                        <wps:cNvCnPr/>
                        <wps:spPr bwMode="auto">
                          <a:xfrm>
                            <a:off x="2778" y="1532"/>
                            <a:ext cx="737" cy="1"/>
                          </a:xfrm>
                          <a:prstGeom prst="line">
                            <a:avLst/>
                          </a:prstGeom>
                          <a:noFill/>
                          <a:ln w="0" cmpd="sng">
                            <a:solidFill>
                              <a:srgbClr val="000000"/>
                            </a:solidFill>
                            <a:round/>
                          </a:ln>
                        </wps:spPr>
                        <wps:bodyPr/>
                      </wps:wsp>
                      <wps:wsp>
                        <wps:cNvPr id="438" name="直线 71"/>
                        <wps:cNvCnPr/>
                        <wps:spPr bwMode="auto">
                          <a:xfrm>
                            <a:off x="2778" y="1776"/>
                            <a:ext cx="945" cy="1"/>
                          </a:xfrm>
                          <a:prstGeom prst="line">
                            <a:avLst/>
                          </a:prstGeom>
                          <a:noFill/>
                          <a:ln w="0" cmpd="sng">
                            <a:solidFill>
                              <a:srgbClr val="000000"/>
                            </a:solidFill>
                            <a:round/>
                          </a:ln>
                        </wps:spPr>
                        <wps:bodyPr/>
                      </wps:wsp>
                      <wps:wsp>
                        <wps:cNvPr id="439" name="直线 72"/>
                        <wps:cNvCnPr/>
                        <wps:spPr bwMode="auto">
                          <a:xfrm>
                            <a:off x="2778" y="2021"/>
                            <a:ext cx="1154" cy="1"/>
                          </a:xfrm>
                          <a:prstGeom prst="line">
                            <a:avLst/>
                          </a:prstGeom>
                          <a:noFill/>
                          <a:ln w="0" cmpd="sng">
                            <a:solidFill>
                              <a:srgbClr val="000000"/>
                            </a:solidFill>
                            <a:round/>
                          </a:ln>
                        </wps:spPr>
                        <wps:bodyPr/>
                      </wps:wsp>
                      <wps:wsp>
                        <wps:cNvPr id="440" name="直线 73"/>
                        <wps:cNvCnPr/>
                        <wps:spPr bwMode="auto">
                          <a:xfrm>
                            <a:off x="2778" y="2265"/>
                            <a:ext cx="1362" cy="1"/>
                          </a:xfrm>
                          <a:prstGeom prst="line">
                            <a:avLst/>
                          </a:prstGeom>
                          <a:noFill/>
                          <a:ln w="0" cmpd="sng">
                            <a:solidFill>
                              <a:srgbClr val="000000"/>
                            </a:solidFill>
                            <a:round/>
                          </a:ln>
                        </wps:spPr>
                        <wps:bodyPr/>
                      </wps:wsp>
                      <wps:wsp>
                        <wps:cNvPr id="442" name="直线 74"/>
                        <wps:cNvCnPr/>
                        <wps:spPr bwMode="auto">
                          <a:xfrm>
                            <a:off x="2785" y="2500"/>
                            <a:ext cx="1186" cy="1"/>
                          </a:xfrm>
                          <a:prstGeom prst="line">
                            <a:avLst/>
                          </a:prstGeom>
                          <a:noFill/>
                          <a:ln w="0" cmpd="sng">
                            <a:solidFill>
                              <a:srgbClr val="000000"/>
                            </a:solidFill>
                            <a:round/>
                          </a:ln>
                        </wps:spPr>
                        <wps:bodyPr/>
                      </wps:wsp>
                      <wps:wsp>
                        <wps:cNvPr id="443" name="直线 75"/>
                        <wps:cNvCnPr/>
                        <wps:spPr bwMode="auto">
                          <a:xfrm>
                            <a:off x="2778" y="2754"/>
                            <a:ext cx="899" cy="1"/>
                          </a:xfrm>
                          <a:prstGeom prst="line">
                            <a:avLst/>
                          </a:prstGeom>
                          <a:noFill/>
                          <a:ln w="0" cmpd="sng">
                            <a:solidFill>
                              <a:srgbClr val="000000"/>
                            </a:solidFill>
                            <a:round/>
                          </a:ln>
                        </wps:spPr>
                        <wps:bodyPr/>
                      </wps:wsp>
                      <wps:wsp>
                        <wps:cNvPr id="445" name="直线 76"/>
                        <wps:cNvCnPr/>
                        <wps:spPr bwMode="auto">
                          <a:xfrm>
                            <a:off x="2778" y="2998"/>
                            <a:ext cx="611" cy="1"/>
                          </a:xfrm>
                          <a:prstGeom prst="line">
                            <a:avLst/>
                          </a:prstGeom>
                          <a:noFill/>
                          <a:ln w="0" cmpd="sng">
                            <a:solidFill>
                              <a:srgbClr val="000000"/>
                            </a:solidFill>
                            <a:round/>
                          </a:ln>
                        </wps:spPr>
                        <wps:bodyPr/>
                      </wps:wsp>
                      <wps:wsp>
                        <wps:cNvPr id="446" name="直线 77"/>
                        <wps:cNvCnPr/>
                        <wps:spPr bwMode="auto">
                          <a:xfrm>
                            <a:off x="2778" y="3243"/>
                            <a:ext cx="324" cy="1"/>
                          </a:xfrm>
                          <a:prstGeom prst="line">
                            <a:avLst/>
                          </a:prstGeom>
                          <a:noFill/>
                          <a:ln w="0" cmpd="sng">
                            <a:solidFill>
                              <a:srgbClr val="000000"/>
                            </a:solidFill>
                            <a:round/>
                          </a:ln>
                        </wps:spPr>
                        <wps:bodyPr/>
                      </wps:wsp>
                      <wps:wsp>
                        <wps:cNvPr id="447" name="直线 78"/>
                        <wps:cNvCnPr/>
                        <wps:spPr bwMode="auto">
                          <a:xfrm>
                            <a:off x="2778" y="3488"/>
                            <a:ext cx="36" cy="1"/>
                          </a:xfrm>
                          <a:prstGeom prst="line">
                            <a:avLst/>
                          </a:prstGeom>
                          <a:noFill/>
                          <a:ln w="0" cmpd="sng">
                            <a:solidFill>
                              <a:srgbClr val="000000"/>
                            </a:solidFill>
                            <a:round/>
                          </a:ln>
                        </wps:spPr>
                        <wps:bodyPr/>
                      </wps:wsp>
                      <wps:wsp>
                        <wps:cNvPr id="449" name="直线 79"/>
                        <wps:cNvCnPr/>
                        <wps:spPr bwMode="auto">
                          <a:xfrm flipH="true">
                            <a:off x="232" y="2300"/>
                            <a:ext cx="2304" cy="1"/>
                          </a:xfrm>
                          <a:prstGeom prst="line">
                            <a:avLst/>
                          </a:prstGeom>
                          <a:noFill/>
                          <a:ln w="0" cmpd="sng">
                            <a:solidFill>
                              <a:srgbClr val="000000"/>
                            </a:solidFill>
                            <a:round/>
                          </a:ln>
                        </wps:spPr>
                        <wps:bodyPr/>
                      </wps:wsp>
                      <wps:wsp>
                        <wps:cNvPr id="450" name="未知"/>
                        <wps:cNvSpPr/>
                        <wps:spPr bwMode="auto">
                          <a:xfrm>
                            <a:off x="2536" y="1930"/>
                            <a:ext cx="20" cy="38"/>
                          </a:xfrm>
                          <a:custGeom>
                            <a:avLst/>
                            <a:gdLst>
                              <a:gd name="T0" fmla="*/ 0 w 20"/>
                              <a:gd name="T1" fmla="*/ 19 h 38"/>
                              <a:gd name="T2" fmla="*/ 0 w 20"/>
                              <a:gd name="T3" fmla="*/ 0 h 38"/>
                              <a:gd name="T4" fmla="*/ 4 w 20"/>
                              <a:gd name="T5" fmla="*/ 1 h 38"/>
                              <a:gd name="T6" fmla="*/ 9 w 20"/>
                              <a:gd name="T7" fmla="*/ 2 h 38"/>
                              <a:gd name="T8" fmla="*/ 12 w 20"/>
                              <a:gd name="T9" fmla="*/ 4 h 38"/>
                              <a:gd name="T10" fmla="*/ 15 w 20"/>
                              <a:gd name="T11" fmla="*/ 7 h 38"/>
                              <a:gd name="T12" fmla="*/ 17 w 20"/>
                              <a:gd name="T13" fmla="*/ 11 h 38"/>
                              <a:gd name="T14" fmla="*/ 19 w 20"/>
                              <a:gd name="T15" fmla="*/ 15 h 38"/>
                              <a:gd name="T16" fmla="*/ 20 w 20"/>
                              <a:gd name="T17" fmla="*/ 19 h 38"/>
                              <a:gd name="T18" fmla="*/ 19 w 20"/>
                              <a:gd name="T19" fmla="*/ 23 h 38"/>
                              <a:gd name="T20" fmla="*/ 17 w 20"/>
                              <a:gd name="T21" fmla="*/ 27 h 38"/>
                              <a:gd name="T22" fmla="*/ 15 w 20"/>
                              <a:gd name="T23" fmla="*/ 30 h 38"/>
                              <a:gd name="T24" fmla="*/ 12 w 20"/>
                              <a:gd name="T25" fmla="*/ 33 h 38"/>
                              <a:gd name="T26" fmla="*/ 9 w 20"/>
                              <a:gd name="T27" fmla="*/ 36 h 38"/>
                              <a:gd name="T28" fmla="*/ 4 w 20"/>
                              <a:gd name="T29" fmla="*/ 37 h 38"/>
                              <a:gd name="T30" fmla="*/ 0 w 20"/>
                              <a:gd name="T31" fmla="*/ 38 h 38"/>
                              <a:gd name="T32" fmla="*/ 0 w 20"/>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8">
                                <a:moveTo>
                                  <a:pt x="0" y="19"/>
                                </a:moveTo>
                                <a:lnTo>
                                  <a:pt x="0" y="0"/>
                                </a:lnTo>
                                <a:lnTo>
                                  <a:pt x="4" y="1"/>
                                </a:lnTo>
                                <a:lnTo>
                                  <a:pt x="9" y="2"/>
                                </a:lnTo>
                                <a:lnTo>
                                  <a:pt x="12" y="4"/>
                                </a:lnTo>
                                <a:lnTo>
                                  <a:pt x="15" y="7"/>
                                </a:lnTo>
                                <a:lnTo>
                                  <a:pt x="17" y="11"/>
                                </a:lnTo>
                                <a:lnTo>
                                  <a:pt x="19" y="15"/>
                                </a:lnTo>
                                <a:lnTo>
                                  <a:pt x="20" y="19"/>
                                </a:lnTo>
                                <a:lnTo>
                                  <a:pt x="19" y="23"/>
                                </a:lnTo>
                                <a:lnTo>
                                  <a:pt x="17" y="27"/>
                                </a:lnTo>
                                <a:lnTo>
                                  <a:pt x="15" y="30"/>
                                </a:lnTo>
                                <a:lnTo>
                                  <a:pt x="12" y="33"/>
                                </a:lnTo>
                                <a:lnTo>
                                  <a:pt x="9" y="36"/>
                                </a:lnTo>
                                <a:lnTo>
                                  <a:pt x="4" y="37"/>
                                </a:lnTo>
                                <a:lnTo>
                                  <a:pt x="0" y="38"/>
                                </a:lnTo>
                                <a:lnTo>
                                  <a:pt x="0" y="19"/>
                                </a:lnTo>
                                <a:close/>
                              </a:path>
                            </a:pathLst>
                          </a:custGeom>
                          <a:solidFill>
                            <a:srgbClr val="000000"/>
                          </a:solidFill>
                          <a:ln>
                            <a:noFill/>
                          </a:ln>
                        </wps:spPr>
                        <wps:bodyPr rot="0" vert="horz" wrap="square" lIns="91440" tIns="45720" rIns="91440" bIns="45720" anchor="t" anchorCtr="false" upright="true">
                          <a:noAutofit/>
                        </wps:bodyPr>
                      </wps:wsp>
                      <wps:wsp>
                        <wps:cNvPr id="451" name="未知"/>
                        <wps:cNvSpPr/>
                        <wps:spPr bwMode="auto">
                          <a:xfrm>
                            <a:off x="2536" y="1930"/>
                            <a:ext cx="20" cy="38"/>
                          </a:xfrm>
                          <a:custGeom>
                            <a:avLst/>
                            <a:gdLst>
                              <a:gd name="T0" fmla="*/ 0 w 20"/>
                              <a:gd name="T1" fmla="*/ 0 h 38"/>
                              <a:gd name="T2" fmla="*/ 4 w 20"/>
                              <a:gd name="T3" fmla="*/ 1 h 38"/>
                              <a:gd name="T4" fmla="*/ 9 w 20"/>
                              <a:gd name="T5" fmla="*/ 2 h 38"/>
                              <a:gd name="T6" fmla="*/ 12 w 20"/>
                              <a:gd name="T7" fmla="*/ 4 h 38"/>
                              <a:gd name="T8" fmla="*/ 15 w 20"/>
                              <a:gd name="T9" fmla="*/ 7 h 38"/>
                              <a:gd name="T10" fmla="*/ 17 w 20"/>
                              <a:gd name="T11" fmla="*/ 11 h 38"/>
                              <a:gd name="T12" fmla="*/ 19 w 20"/>
                              <a:gd name="T13" fmla="*/ 15 h 38"/>
                              <a:gd name="T14" fmla="*/ 20 w 20"/>
                              <a:gd name="T15" fmla="*/ 19 h 38"/>
                              <a:gd name="T16" fmla="*/ 19 w 20"/>
                              <a:gd name="T17" fmla="*/ 23 h 38"/>
                              <a:gd name="T18" fmla="*/ 17 w 20"/>
                              <a:gd name="T19" fmla="*/ 27 h 38"/>
                              <a:gd name="T20" fmla="*/ 15 w 20"/>
                              <a:gd name="T21" fmla="*/ 30 h 38"/>
                              <a:gd name="T22" fmla="*/ 12 w 20"/>
                              <a:gd name="T23" fmla="*/ 33 h 38"/>
                              <a:gd name="T24" fmla="*/ 9 w 20"/>
                              <a:gd name="T25" fmla="*/ 36 h 38"/>
                              <a:gd name="T26" fmla="*/ 4 w 20"/>
                              <a:gd name="T27" fmla="*/ 37 h 38"/>
                              <a:gd name="T28" fmla="*/ 0 w 20"/>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38">
                                <a:moveTo>
                                  <a:pt x="0" y="0"/>
                                </a:moveTo>
                                <a:lnTo>
                                  <a:pt x="4" y="1"/>
                                </a:lnTo>
                                <a:lnTo>
                                  <a:pt x="9" y="2"/>
                                </a:lnTo>
                                <a:lnTo>
                                  <a:pt x="12" y="4"/>
                                </a:lnTo>
                                <a:lnTo>
                                  <a:pt x="15" y="7"/>
                                </a:lnTo>
                                <a:lnTo>
                                  <a:pt x="17" y="11"/>
                                </a:lnTo>
                                <a:lnTo>
                                  <a:pt x="19" y="15"/>
                                </a:lnTo>
                                <a:lnTo>
                                  <a:pt x="20" y="19"/>
                                </a:lnTo>
                                <a:lnTo>
                                  <a:pt x="19" y="23"/>
                                </a:lnTo>
                                <a:lnTo>
                                  <a:pt x="17" y="27"/>
                                </a:lnTo>
                                <a:lnTo>
                                  <a:pt x="15" y="30"/>
                                </a:lnTo>
                                <a:lnTo>
                                  <a:pt x="12" y="33"/>
                                </a:lnTo>
                                <a:lnTo>
                                  <a:pt x="9" y="36"/>
                                </a:lnTo>
                                <a:lnTo>
                                  <a:pt x="4" y="37"/>
                                </a:lnTo>
                                <a:lnTo>
                                  <a:pt x="0" y="38"/>
                                </a:lnTo>
                              </a:path>
                            </a:pathLst>
                          </a:custGeom>
                          <a:noFill/>
                          <a:ln w="0" cmpd="sng">
                            <a:solidFill>
                              <a:srgbClr val="000000"/>
                            </a:solidFill>
                            <a:round/>
                          </a:ln>
                        </wps:spPr>
                        <wps:bodyPr rot="0" vert="horz" wrap="square" lIns="91440" tIns="45720" rIns="91440" bIns="45720" anchor="t" anchorCtr="false" upright="true">
                          <a:noAutofit/>
                        </wps:bodyPr>
                      </wps:wsp>
                      <wps:wsp>
                        <wps:cNvPr id="452" name="未知"/>
                        <wps:cNvSpPr/>
                        <wps:spPr bwMode="auto">
                          <a:xfrm>
                            <a:off x="254" y="1930"/>
                            <a:ext cx="2282" cy="38"/>
                          </a:xfrm>
                          <a:custGeom>
                            <a:avLst/>
                            <a:gdLst>
                              <a:gd name="T0" fmla="*/ 2282 w 2282"/>
                              <a:gd name="T1" fmla="*/ 38 h 38"/>
                              <a:gd name="T2" fmla="*/ 2282 w 2282"/>
                              <a:gd name="T3" fmla="*/ 19 h 38"/>
                              <a:gd name="T4" fmla="*/ 2282 w 2282"/>
                              <a:gd name="T5" fmla="*/ 0 h 38"/>
                              <a:gd name="T6" fmla="*/ 0 w 2282"/>
                              <a:gd name="T7" fmla="*/ 0 h 38"/>
                              <a:gd name="T8" fmla="*/ 0 w 2282"/>
                              <a:gd name="T9" fmla="*/ 19 h 38"/>
                              <a:gd name="T10" fmla="*/ 0 w 2282"/>
                              <a:gd name="T11" fmla="*/ 38 h 38"/>
                              <a:gd name="T12" fmla="*/ 2282 w 2282"/>
                              <a:gd name="T13" fmla="*/ 38 h 38"/>
                            </a:gdLst>
                            <a:ahLst/>
                            <a:cxnLst>
                              <a:cxn ang="0">
                                <a:pos x="T0" y="T1"/>
                              </a:cxn>
                              <a:cxn ang="0">
                                <a:pos x="T2" y="T3"/>
                              </a:cxn>
                              <a:cxn ang="0">
                                <a:pos x="T4" y="T5"/>
                              </a:cxn>
                              <a:cxn ang="0">
                                <a:pos x="T6" y="T7"/>
                              </a:cxn>
                              <a:cxn ang="0">
                                <a:pos x="T8" y="T9"/>
                              </a:cxn>
                              <a:cxn ang="0">
                                <a:pos x="T10" y="T11"/>
                              </a:cxn>
                              <a:cxn ang="0">
                                <a:pos x="T12" y="T13"/>
                              </a:cxn>
                            </a:cxnLst>
                            <a:rect l="0" t="0" r="r" b="b"/>
                            <a:pathLst>
                              <a:path w="2282" h="38">
                                <a:moveTo>
                                  <a:pt x="2282" y="38"/>
                                </a:moveTo>
                                <a:lnTo>
                                  <a:pt x="2282" y="19"/>
                                </a:lnTo>
                                <a:lnTo>
                                  <a:pt x="2282" y="0"/>
                                </a:lnTo>
                                <a:lnTo>
                                  <a:pt x="0" y="0"/>
                                </a:lnTo>
                                <a:lnTo>
                                  <a:pt x="0" y="19"/>
                                </a:lnTo>
                                <a:lnTo>
                                  <a:pt x="0" y="38"/>
                                </a:lnTo>
                                <a:lnTo>
                                  <a:pt x="2282" y="38"/>
                                </a:lnTo>
                                <a:close/>
                              </a:path>
                            </a:pathLst>
                          </a:custGeom>
                          <a:solidFill>
                            <a:srgbClr val="000000"/>
                          </a:solidFill>
                          <a:ln>
                            <a:noFill/>
                          </a:ln>
                        </wps:spPr>
                        <wps:bodyPr rot="0" vert="horz" wrap="square" lIns="91440" tIns="45720" rIns="91440" bIns="45720" anchor="t" anchorCtr="false" upright="true">
                          <a:noAutofit/>
                        </wps:bodyPr>
                      </wps:wsp>
                      <wps:wsp>
                        <wps:cNvPr id="453" name="未知"/>
                        <wps:cNvSpPr/>
                        <wps:spPr bwMode="auto">
                          <a:xfrm>
                            <a:off x="254" y="1930"/>
                            <a:ext cx="2282" cy="38"/>
                          </a:xfrm>
                          <a:custGeom>
                            <a:avLst/>
                            <a:gdLst>
                              <a:gd name="T0" fmla="*/ 2282 w 2282"/>
                              <a:gd name="T1" fmla="*/ 38 h 38"/>
                              <a:gd name="T2" fmla="*/ 2282 w 2282"/>
                              <a:gd name="T3" fmla="*/ 19 h 38"/>
                              <a:gd name="T4" fmla="*/ 2282 w 2282"/>
                              <a:gd name="T5" fmla="*/ 0 h 38"/>
                              <a:gd name="T6" fmla="*/ 0 w 2282"/>
                              <a:gd name="T7" fmla="*/ 0 h 38"/>
                              <a:gd name="T8" fmla="*/ 0 w 2282"/>
                              <a:gd name="T9" fmla="*/ 19 h 38"/>
                              <a:gd name="T10" fmla="*/ 0 w 2282"/>
                              <a:gd name="T11" fmla="*/ 38 h 38"/>
                              <a:gd name="T12" fmla="*/ 2282 w 2282"/>
                              <a:gd name="T13" fmla="*/ 38 h 38"/>
                            </a:gdLst>
                            <a:ahLst/>
                            <a:cxnLst>
                              <a:cxn ang="0">
                                <a:pos x="T0" y="T1"/>
                              </a:cxn>
                              <a:cxn ang="0">
                                <a:pos x="T2" y="T3"/>
                              </a:cxn>
                              <a:cxn ang="0">
                                <a:pos x="T4" y="T5"/>
                              </a:cxn>
                              <a:cxn ang="0">
                                <a:pos x="T6" y="T7"/>
                              </a:cxn>
                              <a:cxn ang="0">
                                <a:pos x="T8" y="T9"/>
                              </a:cxn>
                              <a:cxn ang="0">
                                <a:pos x="T10" y="T11"/>
                              </a:cxn>
                              <a:cxn ang="0">
                                <a:pos x="T12" y="T13"/>
                              </a:cxn>
                            </a:cxnLst>
                            <a:rect l="0" t="0" r="r" b="b"/>
                            <a:pathLst>
                              <a:path w="2282" h="38">
                                <a:moveTo>
                                  <a:pt x="2282" y="38"/>
                                </a:moveTo>
                                <a:lnTo>
                                  <a:pt x="2282" y="19"/>
                                </a:lnTo>
                                <a:lnTo>
                                  <a:pt x="2282" y="0"/>
                                </a:lnTo>
                                <a:lnTo>
                                  <a:pt x="0" y="0"/>
                                </a:lnTo>
                                <a:lnTo>
                                  <a:pt x="0" y="19"/>
                                </a:lnTo>
                                <a:lnTo>
                                  <a:pt x="0" y="38"/>
                                </a:lnTo>
                                <a:lnTo>
                                  <a:pt x="2282" y="38"/>
                                </a:lnTo>
                                <a:close/>
                              </a:path>
                            </a:pathLst>
                          </a:custGeom>
                          <a:noFill/>
                          <a:ln w="0" cmpd="sng">
                            <a:solidFill>
                              <a:srgbClr val="000000"/>
                            </a:solidFill>
                            <a:round/>
                          </a:ln>
                        </wps:spPr>
                        <wps:bodyPr rot="0" vert="horz" wrap="square" lIns="91440" tIns="45720" rIns="91440" bIns="45720" anchor="t" anchorCtr="false" upright="true">
                          <a:noAutofit/>
                        </wps:bodyPr>
                      </wps:wsp>
                      <wps:wsp>
                        <wps:cNvPr id="454" name="未知"/>
                        <wps:cNvSpPr/>
                        <wps:spPr bwMode="auto">
                          <a:xfrm>
                            <a:off x="235" y="1930"/>
                            <a:ext cx="19" cy="38"/>
                          </a:xfrm>
                          <a:custGeom>
                            <a:avLst/>
                            <a:gdLst>
                              <a:gd name="T0" fmla="*/ 19 w 19"/>
                              <a:gd name="T1" fmla="*/ 19 h 38"/>
                              <a:gd name="T2" fmla="*/ 19 w 19"/>
                              <a:gd name="T3" fmla="*/ 38 h 38"/>
                              <a:gd name="T4" fmla="*/ 14 w 19"/>
                              <a:gd name="T5" fmla="*/ 37 h 38"/>
                              <a:gd name="T6" fmla="*/ 10 w 19"/>
                              <a:gd name="T7" fmla="*/ 36 h 38"/>
                              <a:gd name="T8" fmla="*/ 7 w 19"/>
                              <a:gd name="T9" fmla="*/ 33 h 38"/>
                              <a:gd name="T10" fmla="*/ 4 w 19"/>
                              <a:gd name="T11" fmla="*/ 30 h 38"/>
                              <a:gd name="T12" fmla="*/ 2 w 19"/>
                              <a:gd name="T13" fmla="*/ 27 h 38"/>
                              <a:gd name="T14" fmla="*/ 0 w 19"/>
                              <a:gd name="T15" fmla="*/ 23 h 38"/>
                              <a:gd name="T16" fmla="*/ 0 w 19"/>
                              <a:gd name="T17" fmla="*/ 19 h 38"/>
                              <a:gd name="T18" fmla="*/ 0 w 19"/>
                              <a:gd name="T19" fmla="*/ 15 h 38"/>
                              <a:gd name="T20" fmla="*/ 2 w 19"/>
                              <a:gd name="T21" fmla="*/ 11 h 38"/>
                              <a:gd name="T22" fmla="*/ 4 w 19"/>
                              <a:gd name="T23" fmla="*/ 7 h 38"/>
                              <a:gd name="T24" fmla="*/ 7 w 19"/>
                              <a:gd name="T25" fmla="*/ 4 h 38"/>
                              <a:gd name="T26" fmla="*/ 10 w 19"/>
                              <a:gd name="T27" fmla="*/ 2 h 38"/>
                              <a:gd name="T28" fmla="*/ 14 w 19"/>
                              <a:gd name="T29" fmla="*/ 1 h 38"/>
                              <a:gd name="T30" fmla="*/ 19 w 19"/>
                              <a:gd name="T31" fmla="*/ 0 h 38"/>
                              <a:gd name="T32" fmla="*/ 19 w 19"/>
                              <a:gd name="T33"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8">
                                <a:moveTo>
                                  <a:pt x="19" y="19"/>
                                </a:moveTo>
                                <a:lnTo>
                                  <a:pt x="19" y="38"/>
                                </a:lnTo>
                                <a:lnTo>
                                  <a:pt x="14" y="37"/>
                                </a:lnTo>
                                <a:lnTo>
                                  <a:pt x="10" y="36"/>
                                </a:lnTo>
                                <a:lnTo>
                                  <a:pt x="7" y="33"/>
                                </a:lnTo>
                                <a:lnTo>
                                  <a:pt x="4" y="30"/>
                                </a:lnTo>
                                <a:lnTo>
                                  <a:pt x="2" y="27"/>
                                </a:lnTo>
                                <a:lnTo>
                                  <a:pt x="0" y="23"/>
                                </a:lnTo>
                                <a:lnTo>
                                  <a:pt x="0" y="19"/>
                                </a:lnTo>
                                <a:lnTo>
                                  <a:pt x="0" y="15"/>
                                </a:lnTo>
                                <a:lnTo>
                                  <a:pt x="2" y="11"/>
                                </a:lnTo>
                                <a:lnTo>
                                  <a:pt x="4" y="7"/>
                                </a:lnTo>
                                <a:lnTo>
                                  <a:pt x="7" y="4"/>
                                </a:lnTo>
                                <a:lnTo>
                                  <a:pt x="10" y="2"/>
                                </a:lnTo>
                                <a:lnTo>
                                  <a:pt x="14" y="1"/>
                                </a:lnTo>
                                <a:lnTo>
                                  <a:pt x="19" y="0"/>
                                </a:lnTo>
                                <a:lnTo>
                                  <a:pt x="19" y="19"/>
                                </a:lnTo>
                                <a:close/>
                              </a:path>
                            </a:pathLst>
                          </a:custGeom>
                          <a:solidFill>
                            <a:srgbClr val="000000"/>
                          </a:solidFill>
                          <a:ln>
                            <a:noFill/>
                          </a:ln>
                        </wps:spPr>
                        <wps:bodyPr rot="0" vert="horz" wrap="square" lIns="91440" tIns="45720" rIns="91440" bIns="45720" anchor="t" anchorCtr="false" upright="true">
                          <a:noAutofit/>
                        </wps:bodyPr>
                      </wps:wsp>
                      <wps:wsp>
                        <wps:cNvPr id="455" name="未知"/>
                        <wps:cNvSpPr/>
                        <wps:spPr bwMode="auto">
                          <a:xfrm>
                            <a:off x="235" y="1930"/>
                            <a:ext cx="19" cy="38"/>
                          </a:xfrm>
                          <a:custGeom>
                            <a:avLst/>
                            <a:gdLst>
                              <a:gd name="T0" fmla="*/ 19 w 19"/>
                              <a:gd name="T1" fmla="*/ 38 h 38"/>
                              <a:gd name="T2" fmla="*/ 14 w 19"/>
                              <a:gd name="T3" fmla="*/ 37 h 38"/>
                              <a:gd name="T4" fmla="*/ 10 w 19"/>
                              <a:gd name="T5" fmla="*/ 36 h 38"/>
                              <a:gd name="T6" fmla="*/ 7 w 19"/>
                              <a:gd name="T7" fmla="*/ 33 h 38"/>
                              <a:gd name="T8" fmla="*/ 4 w 19"/>
                              <a:gd name="T9" fmla="*/ 30 h 38"/>
                              <a:gd name="T10" fmla="*/ 2 w 19"/>
                              <a:gd name="T11" fmla="*/ 27 h 38"/>
                              <a:gd name="T12" fmla="*/ 0 w 19"/>
                              <a:gd name="T13" fmla="*/ 23 h 38"/>
                              <a:gd name="T14" fmla="*/ 0 w 19"/>
                              <a:gd name="T15" fmla="*/ 19 h 38"/>
                              <a:gd name="T16" fmla="*/ 0 w 19"/>
                              <a:gd name="T17" fmla="*/ 15 h 38"/>
                              <a:gd name="T18" fmla="*/ 2 w 19"/>
                              <a:gd name="T19" fmla="*/ 11 h 38"/>
                              <a:gd name="T20" fmla="*/ 4 w 19"/>
                              <a:gd name="T21" fmla="*/ 7 h 38"/>
                              <a:gd name="T22" fmla="*/ 7 w 19"/>
                              <a:gd name="T23" fmla="*/ 4 h 38"/>
                              <a:gd name="T24" fmla="*/ 10 w 19"/>
                              <a:gd name="T25" fmla="*/ 2 h 38"/>
                              <a:gd name="T26" fmla="*/ 14 w 19"/>
                              <a:gd name="T27" fmla="*/ 1 h 38"/>
                              <a:gd name="T28" fmla="*/ 19 w 19"/>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8">
                                <a:moveTo>
                                  <a:pt x="19" y="38"/>
                                </a:moveTo>
                                <a:lnTo>
                                  <a:pt x="14" y="37"/>
                                </a:lnTo>
                                <a:lnTo>
                                  <a:pt x="10" y="36"/>
                                </a:lnTo>
                                <a:lnTo>
                                  <a:pt x="7" y="33"/>
                                </a:lnTo>
                                <a:lnTo>
                                  <a:pt x="4" y="30"/>
                                </a:lnTo>
                                <a:lnTo>
                                  <a:pt x="2" y="27"/>
                                </a:lnTo>
                                <a:lnTo>
                                  <a:pt x="0" y="23"/>
                                </a:lnTo>
                                <a:lnTo>
                                  <a:pt x="0" y="19"/>
                                </a:lnTo>
                                <a:lnTo>
                                  <a:pt x="0" y="15"/>
                                </a:lnTo>
                                <a:lnTo>
                                  <a:pt x="2" y="11"/>
                                </a:lnTo>
                                <a:lnTo>
                                  <a:pt x="4" y="7"/>
                                </a:lnTo>
                                <a:lnTo>
                                  <a:pt x="7" y="4"/>
                                </a:lnTo>
                                <a:lnTo>
                                  <a:pt x="10" y="2"/>
                                </a:lnTo>
                                <a:lnTo>
                                  <a:pt x="14" y="1"/>
                                </a:lnTo>
                                <a:lnTo>
                                  <a:pt x="19" y="0"/>
                                </a:lnTo>
                              </a:path>
                            </a:pathLst>
                          </a:custGeom>
                          <a:noFill/>
                          <a:ln w="0" cmpd="sng">
                            <a:solidFill>
                              <a:srgbClr val="000000"/>
                            </a:solidFill>
                            <a:round/>
                          </a:ln>
                        </wps:spPr>
                        <wps:bodyPr rot="0" vert="horz" wrap="square" lIns="91440" tIns="45720" rIns="91440" bIns="45720" anchor="t" anchorCtr="false" upright="true">
                          <a:noAutofit/>
                        </wps:bodyPr>
                      </wps:wsp>
                      <wps:wsp>
                        <wps:cNvPr id="456" name="直线 86"/>
                        <wps:cNvCnPr/>
                        <wps:spPr bwMode="auto">
                          <a:xfrm flipH="true">
                            <a:off x="2476" y="2300"/>
                            <a:ext cx="60" cy="31"/>
                          </a:xfrm>
                          <a:prstGeom prst="line">
                            <a:avLst/>
                          </a:prstGeom>
                          <a:noFill/>
                          <a:ln w="0" cmpd="sng">
                            <a:solidFill>
                              <a:srgbClr val="000000"/>
                            </a:solidFill>
                            <a:round/>
                          </a:ln>
                        </wps:spPr>
                        <wps:bodyPr/>
                      </wps:wsp>
                      <wps:wsp>
                        <wps:cNvPr id="457" name="直线 87"/>
                        <wps:cNvCnPr/>
                        <wps:spPr bwMode="auto">
                          <a:xfrm flipH="true">
                            <a:off x="2175" y="2422"/>
                            <a:ext cx="120" cy="61"/>
                          </a:xfrm>
                          <a:prstGeom prst="line">
                            <a:avLst/>
                          </a:prstGeom>
                          <a:noFill/>
                          <a:ln w="0" cmpd="sng">
                            <a:solidFill>
                              <a:srgbClr val="000000"/>
                            </a:solidFill>
                            <a:round/>
                          </a:ln>
                        </wps:spPr>
                        <wps:bodyPr/>
                      </wps:wsp>
                      <wps:wsp>
                        <wps:cNvPr id="458" name="直线 88"/>
                        <wps:cNvCnPr/>
                        <wps:spPr bwMode="auto">
                          <a:xfrm flipH="true">
                            <a:off x="1874" y="2574"/>
                            <a:ext cx="120" cy="61"/>
                          </a:xfrm>
                          <a:prstGeom prst="line">
                            <a:avLst/>
                          </a:prstGeom>
                          <a:noFill/>
                          <a:ln w="0" cmpd="sng">
                            <a:solidFill>
                              <a:srgbClr val="000000"/>
                            </a:solidFill>
                            <a:round/>
                          </a:ln>
                        </wps:spPr>
                        <wps:bodyPr/>
                      </wps:wsp>
                      <wps:wsp>
                        <wps:cNvPr id="459" name="直线 89"/>
                        <wps:cNvCnPr/>
                        <wps:spPr bwMode="auto">
                          <a:xfrm flipH="true">
                            <a:off x="1574" y="2727"/>
                            <a:ext cx="120" cy="60"/>
                          </a:xfrm>
                          <a:prstGeom prst="line">
                            <a:avLst/>
                          </a:prstGeom>
                          <a:noFill/>
                          <a:ln w="0" cmpd="sng">
                            <a:solidFill>
                              <a:srgbClr val="000000"/>
                            </a:solidFill>
                            <a:round/>
                          </a:ln>
                        </wps:spPr>
                        <wps:bodyPr/>
                      </wps:wsp>
                      <wps:wsp>
                        <wps:cNvPr id="460" name="直线 90"/>
                        <wps:cNvCnPr/>
                        <wps:spPr bwMode="auto">
                          <a:xfrm flipH="true">
                            <a:off x="1273" y="2879"/>
                            <a:ext cx="120" cy="61"/>
                          </a:xfrm>
                          <a:prstGeom prst="line">
                            <a:avLst/>
                          </a:prstGeom>
                          <a:noFill/>
                          <a:ln w="0" cmpd="sng">
                            <a:solidFill>
                              <a:srgbClr val="000000"/>
                            </a:solidFill>
                            <a:round/>
                          </a:ln>
                        </wps:spPr>
                        <wps:bodyPr/>
                      </wps:wsp>
                      <wps:wsp>
                        <wps:cNvPr id="461" name="直线 91"/>
                        <wps:cNvCnPr/>
                        <wps:spPr bwMode="auto">
                          <a:xfrm flipH="true">
                            <a:off x="972" y="3031"/>
                            <a:ext cx="121" cy="61"/>
                          </a:xfrm>
                          <a:prstGeom prst="line">
                            <a:avLst/>
                          </a:prstGeom>
                          <a:noFill/>
                          <a:ln w="0" cmpd="sng">
                            <a:solidFill>
                              <a:srgbClr val="000000"/>
                            </a:solidFill>
                            <a:round/>
                          </a:ln>
                        </wps:spPr>
                        <wps:bodyPr/>
                      </wps:wsp>
                      <wps:wsp>
                        <wps:cNvPr id="462" name="直线 92"/>
                        <wps:cNvCnPr/>
                        <wps:spPr bwMode="auto">
                          <a:xfrm flipH="true">
                            <a:off x="672" y="3183"/>
                            <a:ext cx="120" cy="61"/>
                          </a:xfrm>
                          <a:prstGeom prst="line">
                            <a:avLst/>
                          </a:prstGeom>
                          <a:noFill/>
                          <a:ln w="0" cmpd="sng">
                            <a:solidFill>
                              <a:srgbClr val="000000"/>
                            </a:solidFill>
                            <a:round/>
                          </a:ln>
                        </wps:spPr>
                        <wps:bodyPr/>
                      </wps:wsp>
                      <wps:wsp>
                        <wps:cNvPr id="463" name="直线 93"/>
                        <wps:cNvCnPr/>
                        <wps:spPr bwMode="auto">
                          <a:xfrm flipH="true">
                            <a:off x="371" y="3336"/>
                            <a:ext cx="120" cy="61"/>
                          </a:xfrm>
                          <a:prstGeom prst="line">
                            <a:avLst/>
                          </a:prstGeom>
                          <a:noFill/>
                          <a:ln w="0" cmpd="sng">
                            <a:solidFill>
                              <a:srgbClr val="000000"/>
                            </a:solidFill>
                            <a:round/>
                          </a:ln>
                        </wps:spPr>
                        <wps:bodyPr/>
                      </wps:wsp>
                      <wps:wsp>
                        <wps:cNvPr id="464" name="直线 94"/>
                        <wps:cNvCnPr/>
                        <wps:spPr bwMode="auto">
                          <a:xfrm flipH="true">
                            <a:off x="130" y="3488"/>
                            <a:ext cx="61" cy="30"/>
                          </a:xfrm>
                          <a:prstGeom prst="line">
                            <a:avLst/>
                          </a:prstGeom>
                          <a:noFill/>
                          <a:ln w="0" cmpd="sng">
                            <a:solidFill>
                              <a:srgbClr val="000000"/>
                            </a:solidFill>
                            <a:round/>
                          </a:ln>
                        </wps:spPr>
                        <wps:bodyPr/>
                      </wps:wsp>
                      <wps:wsp>
                        <wps:cNvPr id="465" name="直线 95"/>
                        <wps:cNvCnPr/>
                        <wps:spPr bwMode="auto">
                          <a:xfrm>
                            <a:off x="4247" y="570"/>
                            <a:ext cx="174" cy="1"/>
                          </a:xfrm>
                          <a:prstGeom prst="line">
                            <a:avLst/>
                          </a:prstGeom>
                          <a:noFill/>
                          <a:ln w="0" cmpd="sng">
                            <a:solidFill>
                              <a:srgbClr val="000000"/>
                            </a:solidFill>
                            <a:round/>
                          </a:ln>
                        </wps:spPr>
                        <wps:bodyPr/>
                      </wps:wsp>
                      <wps:wsp>
                        <wps:cNvPr id="466" name="直线 96"/>
                        <wps:cNvCnPr/>
                        <wps:spPr bwMode="auto">
                          <a:xfrm flipH="true">
                            <a:off x="4336" y="570"/>
                            <a:ext cx="85" cy="112"/>
                          </a:xfrm>
                          <a:prstGeom prst="line">
                            <a:avLst/>
                          </a:prstGeom>
                          <a:noFill/>
                          <a:ln w="0" cmpd="sng">
                            <a:solidFill>
                              <a:srgbClr val="000000"/>
                            </a:solidFill>
                            <a:round/>
                          </a:ln>
                        </wps:spPr>
                        <wps:bodyPr/>
                      </wps:wsp>
                      <wps:wsp>
                        <wps:cNvPr id="467" name="直线 97"/>
                        <wps:cNvCnPr/>
                        <wps:spPr bwMode="auto">
                          <a:xfrm flipH="true" flipV="true">
                            <a:off x="4247" y="570"/>
                            <a:ext cx="89" cy="112"/>
                          </a:xfrm>
                          <a:prstGeom prst="line">
                            <a:avLst/>
                          </a:prstGeom>
                          <a:noFill/>
                          <a:ln w="0" cmpd="sng">
                            <a:solidFill>
                              <a:srgbClr val="000000"/>
                            </a:solidFill>
                            <a:round/>
                          </a:ln>
                        </wps:spPr>
                        <wps:bodyPr/>
                      </wps:wsp>
                      <wps:wsp>
                        <wps:cNvPr id="468" name="直线 98"/>
                        <wps:cNvCnPr/>
                        <wps:spPr bwMode="auto">
                          <a:xfrm>
                            <a:off x="4203" y="682"/>
                            <a:ext cx="266" cy="1"/>
                          </a:xfrm>
                          <a:prstGeom prst="line">
                            <a:avLst/>
                          </a:prstGeom>
                          <a:noFill/>
                          <a:ln w="0" cmpd="sng">
                            <a:solidFill>
                              <a:srgbClr val="000000"/>
                            </a:solidFill>
                            <a:round/>
                          </a:ln>
                        </wps:spPr>
                        <wps:bodyPr/>
                      </wps:wsp>
                      <wps:wsp>
                        <wps:cNvPr id="469" name="直线 99"/>
                        <wps:cNvCnPr/>
                        <wps:spPr bwMode="auto">
                          <a:xfrm>
                            <a:off x="4237" y="707"/>
                            <a:ext cx="196" cy="1"/>
                          </a:xfrm>
                          <a:prstGeom prst="line">
                            <a:avLst/>
                          </a:prstGeom>
                          <a:noFill/>
                          <a:ln w="0" cmpd="sng">
                            <a:solidFill>
                              <a:srgbClr val="000000"/>
                            </a:solidFill>
                            <a:round/>
                          </a:ln>
                        </wps:spPr>
                        <wps:bodyPr/>
                      </wps:wsp>
                      <wps:wsp>
                        <wps:cNvPr id="470" name="直线 100"/>
                        <wps:cNvCnPr/>
                        <wps:spPr bwMode="auto">
                          <a:xfrm>
                            <a:off x="4285" y="735"/>
                            <a:ext cx="96" cy="1"/>
                          </a:xfrm>
                          <a:prstGeom prst="line">
                            <a:avLst/>
                          </a:prstGeom>
                          <a:noFill/>
                          <a:ln w="0" cmpd="sng">
                            <a:solidFill>
                              <a:srgbClr val="000000"/>
                            </a:solidFill>
                            <a:round/>
                          </a:ln>
                        </wps:spPr>
                        <wps:bodyPr/>
                      </wps:wsp>
                      <wps:wsp>
                        <wps:cNvPr id="471" name="直线 101"/>
                        <wps:cNvCnPr/>
                        <wps:spPr bwMode="auto">
                          <a:xfrm>
                            <a:off x="1756" y="2188"/>
                            <a:ext cx="175" cy="1"/>
                          </a:xfrm>
                          <a:prstGeom prst="line">
                            <a:avLst/>
                          </a:prstGeom>
                          <a:noFill/>
                          <a:ln w="0" cmpd="sng">
                            <a:solidFill>
                              <a:srgbClr val="000000"/>
                            </a:solidFill>
                            <a:round/>
                          </a:ln>
                        </wps:spPr>
                        <wps:bodyPr/>
                      </wps:wsp>
                      <wps:wsp>
                        <wps:cNvPr id="472" name="直线 102"/>
                        <wps:cNvCnPr/>
                        <wps:spPr bwMode="auto">
                          <a:xfrm flipH="true">
                            <a:off x="1845" y="2188"/>
                            <a:ext cx="86" cy="112"/>
                          </a:xfrm>
                          <a:prstGeom prst="line">
                            <a:avLst/>
                          </a:prstGeom>
                          <a:noFill/>
                          <a:ln w="0" cmpd="sng">
                            <a:solidFill>
                              <a:srgbClr val="000000"/>
                            </a:solidFill>
                            <a:round/>
                          </a:ln>
                        </wps:spPr>
                        <wps:bodyPr/>
                      </wps:wsp>
                      <wps:wsp>
                        <wps:cNvPr id="473" name="直线 103"/>
                        <wps:cNvCnPr/>
                        <wps:spPr bwMode="auto">
                          <a:xfrm flipH="true" flipV="true">
                            <a:off x="1756" y="2188"/>
                            <a:ext cx="89" cy="112"/>
                          </a:xfrm>
                          <a:prstGeom prst="line">
                            <a:avLst/>
                          </a:prstGeom>
                          <a:noFill/>
                          <a:ln w="0" cmpd="sng">
                            <a:solidFill>
                              <a:srgbClr val="000000"/>
                            </a:solidFill>
                            <a:round/>
                          </a:ln>
                        </wps:spPr>
                        <wps:bodyPr/>
                      </wps:wsp>
                      <wps:wsp>
                        <wps:cNvPr id="474" name="直线 104"/>
                        <wps:cNvCnPr/>
                        <wps:spPr bwMode="auto">
                          <a:xfrm>
                            <a:off x="1713" y="2300"/>
                            <a:ext cx="265" cy="1"/>
                          </a:xfrm>
                          <a:prstGeom prst="line">
                            <a:avLst/>
                          </a:prstGeom>
                          <a:noFill/>
                          <a:ln w="0" cmpd="sng">
                            <a:solidFill>
                              <a:srgbClr val="000000"/>
                            </a:solidFill>
                            <a:round/>
                          </a:ln>
                        </wps:spPr>
                        <wps:bodyPr/>
                      </wps:wsp>
                      <wps:wsp>
                        <wps:cNvPr id="475" name="直线 105"/>
                        <wps:cNvCnPr/>
                        <wps:spPr bwMode="auto">
                          <a:xfrm>
                            <a:off x="1747" y="2325"/>
                            <a:ext cx="196" cy="1"/>
                          </a:xfrm>
                          <a:prstGeom prst="line">
                            <a:avLst/>
                          </a:prstGeom>
                          <a:noFill/>
                          <a:ln w="0" cmpd="sng">
                            <a:solidFill>
                              <a:srgbClr val="000000"/>
                            </a:solidFill>
                            <a:round/>
                          </a:ln>
                        </wps:spPr>
                        <wps:bodyPr/>
                      </wps:wsp>
                      <wps:wsp>
                        <wps:cNvPr id="476" name="直线 106"/>
                        <wps:cNvCnPr/>
                        <wps:spPr bwMode="auto">
                          <a:xfrm>
                            <a:off x="1795" y="2353"/>
                            <a:ext cx="95" cy="1"/>
                          </a:xfrm>
                          <a:prstGeom prst="line">
                            <a:avLst/>
                          </a:prstGeom>
                          <a:noFill/>
                          <a:ln w="0" cmpd="sng">
                            <a:solidFill>
                              <a:srgbClr val="000000"/>
                            </a:solidFill>
                            <a:round/>
                          </a:ln>
                        </wps:spPr>
                        <wps:bodyPr/>
                      </wps:wsp>
                      <wps:wsp>
                        <wps:cNvPr id="477" name="未知"/>
                        <wps:cNvSpPr/>
                        <wps:spPr bwMode="auto">
                          <a:xfrm>
                            <a:off x="2753" y="4093"/>
                            <a:ext cx="56" cy="62"/>
                          </a:xfrm>
                          <a:custGeom>
                            <a:avLst/>
                            <a:gdLst>
                              <a:gd name="T0" fmla="*/ 56 w 56"/>
                              <a:gd name="T1" fmla="*/ 6 h 62"/>
                              <a:gd name="T2" fmla="*/ 50 w 56"/>
                              <a:gd name="T3" fmla="*/ 0 h 62"/>
                              <a:gd name="T4" fmla="*/ 0 w 56"/>
                              <a:gd name="T5" fmla="*/ 62 h 62"/>
                              <a:gd name="T6" fmla="*/ 56 w 56"/>
                              <a:gd name="T7" fmla="*/ 6 h 62"/>
                            </a:gdLst>
                            <a:ahLst/>
                            <a:cxnLst>
                              <a:cxn ang="0">
                                <a:pos x="T0" y="T1"/>
                              </a:cxn>
                              <a:cxn ang="0">
                                <a:pos x="T2" y="T3"/>
                              </a:cxn>
                              <a:cxn ang="0">
                                <a:pos x="T4" y="T5"/>
                              </a:cxn>
                              <a:cxn ang="0">
                                <a:pos x="T6" y="T7"/>
                              </a:cxn>
                            </a:cxnLst>
                            <a:rect l="0" t="0" r="r" b="b"/>
                            <a:pathLst>
                              <a:path w="56" h="62">
                                <a:moveTo>
                                  <a:pt x="56" y="6"/>
                                </a:moveTo>
                                <a:lnTo>
                                  <a:pt x="50" y="0"/>
                                </a:lnTo>
                                <a:lnTo>
                                  <a:pt x="0" y="62"/>
                                </a:lnTo>
                                <a:lnTo>
                                  <a:pt x="56" y="6"/>
                                </a:lnTo>
                                <a:close/>
                              </a:path>
                            </a:pathLst>
                          </a:custGeom>
                          <a:solidFill>
                            <a:srgbClr val="000000"/>
                          </a:solidFill>
                          <a:ln>
                            <a:noFill/>
                          </a:ln>
                        </wps:spPr>
                        <wps:bodyPr rot="0" vert="horz" wrap="square" lIns="91440" tIns="45720" rIns="91440" bIns="45720" anchor="t" anchorCtr="false" upright="true">
                          <a:noAutofit/>
                        </wps:bodyPr>
                      </wps:wsp>
                      <wps:wsp>
                        <wps:cNvPr id="478" name="未知"/>
                        <wps:cNvSpPr/>
                        <wps:spPr bwMode="auto">
                          <a:xfrm>
                            <a:off x="4114" y="4141"/>
                            <a:ext cx="56" cy="62"/>
                          </a:xfrm>
                          <a:custGeom>
                            <a:avLst/>
                            <a:gdLst>
                              <a:gd name="T0" fmla="*/ 0 w 56"/>
                              <a:gd name="T1" fmla="*/ 62 h 62"/>
                              <a:gd name="T2" fmla="*/ 50 w 56"/>
                              <a:gd name="T3" fmla="*/ 0 h 62"/>
                              <a:gd name="T4" fmla="*/ 56 w 56"/>
                              <a:gd name="T5" fmla="*/ 6 h 62"/>
                              <a:gd name="T6" fmla="*/ 0 w 56"/>
                              <a:gd name="T7" fmla="*/ 62 h 62"/>
                            </a:gdLst>
                            <a:ahLst/>
                            <a:cxnLst>
                              <a:cxn ang="0">
                                <a:pos x="T0" y="T1"/>
                              </a:cxn>
                              <a:cxn ang="0">
                                <a:pos x="T2" y="T3"/>
                              </a:cxn>
                              <a:cxn ang="0">
                                <a:pos x="T4" y="T5"/>
                              </a:cxn>
                              <a:cxn ang="0">
                                <a:pos x="T6" y="T7"/>
                              </a:cxn>
                            </a:cxnLst>
                            <a:rect l="0" t="0" r="r" b="b"/>
                            <a:pathLst>
                              <a:path w="56" h="62">
                                <a:moveTo>
                                  <a:pt x="0" y="62"/>
                                </a:moveTo>
                                <a:lnTo>
                                  <a:pt x="50" y="0"/>
                                </a:lnTo>
                                <a:lnTo>
                                  <a:pt x="56" y="6"/>
                                </a:lnTo>
                                <a:lnTo>
                                  <a:pt x="0" y="62"/>
                                </a:lnTo>
                                <a:close/>
                              </a:path>
                            </a:pathLst>
                          </a:custGeom>
                          <a:solidFill>
                            <a:srgbClr val="000000"/>
                          </a:solidFill>
                          <a:ln>
                            <a:noFill/>
                          </a:ln>
                        </wps:spPr>
                        <wps:bodyPr rot="0" vert="horz" wrap="square" lIns="91440" tIns="45720" rIns="91440" bIns="45720" anchor="t" anchorCtr="false" upright="true">
                          <a:noAutofit/>
                        </wps:bodyPr>
                      </wps:wsp>
                      <wps:wsp>
                        <wps:cNvPr id="479" name="未知"/>
                        <wps:cNvSpPr/>
                        <wps:spPr bwMode="auto">
                          <a:xfrm>
                            <a:off x="3218" y="3794"/>
                            <a:ext cx="112" cy="168"/>
                          </a:xfrm>
                          <a:custGeom>
                            <a:avLst/>
                            <a:gdLst>
                              <a:gd name="T0" fmla="*/ 0 w 112"/>
                              <a:gd name="T1" fmla="*/ 168 h 168"/>
                              <a:gd name="T2" fmla="*/ 0 w 112"/>
                              <a:gd name="T3" fmla="*/ 0 h 168"/>
                              <a:gd name="T4" fmla="*/ 72 w 112"/>
                              <a:gd name="T5" fmla="*/ 0 h 168"/>
                              <a:gd name="T6" fmla="*/ 96 w 112"/>
                              <a:gd name="T7" fmla="*/ 8 h 168"/>
                              <a:gd name="T8" fmla="*/ 104 w 112"/>
                              <a:gd name="T9" fmla="*/ 16 h 168"/>
                              <a:gd name="T10" fmla="*/ 112 w 112"/>
                              <a:gd name="T11" fmla="*/ 32 h 168"/>
                              <a:gd name="T12" fmla="*/ 112 w 112"/>
                              <a:gd name="T13" fmla="*/ 56 h 168"/>
                              <a:gd name="T14" fmla="*/ 104 w 112"/>
                              <a:gd name="T15" fmla="*/ 72 h 168"/>
                              <a:gd name="T16" fmla="*/ 96 w 112"/>
                              <a:gd name="T17" fmla="*/ 80 h 168"/>
                              <a:gd name="T18" fmla="*/ 72 w 112"/>
                              <a:gd name="T19" fmla="*/ 88 h 168"/>
                              <a:gd name="T20" fmla="*/ 0 w 112"/>
                              <a:gd name="T21" fmla="*/ 8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68">
                                <a:moveTo>
                                  <a:pt x="0" y="168"/>
                                </a:moveTo>
                                <a:lnTo>
                                  <a:pt x="0" y="0"/>
                                </a:lnTo>
                                <a:lnTo>
                                  <a:pt x="72" y="0"/>
                                </a:lnTo>
                                <a:lnTo>
                                  <a:pt x="96" y="8"/>
                                </a:lnTo>
                                <a:lnTo>
                                  <a:pt x="104" y="16"/>
                                </a:lnTo>
                                <a:lnTo>
                                  <a:pt x="112" y="32"/>
                                </a:lnTo>
                                <a:lnTo>
                                  <a:pt x="112" y="56"/>
                                </a:lnTo>
                                <a:lnTo>
                                  <a:pt x="104" y="72"/>
                                </a:lnTo>
                                <a:lnTo>
                                  <a:pt x="96" y="80"/>
                                </a:lnTo>
                                <a:lnTo>
                                  <a:pt x="72" y="88"/>
                                </a:lnTo>
                                <a:lnTo>
                                  <a:pt x="0" y="88"/>
                                </a:lnTo>
                              </a:path>
                            </a:pathLst>
                          </a:custGeom>
                          <a:noFill/>
                          <a:ln w="0" cmpd="sng">
                            <a:solidFill>
                              <a:srgbClr val="000000"/>
                            </a:solidFill>
                            <a:round/>
                          </a:ln>
                        </wps:spPr>
                        <wps:bodyPr rot="0" vert="horz" wrap="square" lIns="91440" tIns="45720" rIns="91440" bIns="45720" anchor="t" anchorCtr="false" upright="true">
                          <a:noAutofit/>
                        </wps:bodyPr>
                      </wps:wsp>
                      <wps:wsp>
                        <wps:cNvPr id="480" name="未知"/>
                        <wps:cNvSpPr/>
                        <wps:spPr bwMode="auto">
                          <a:xfrm>
                            <a:off x="3386" y="3850"/>
                            <a:ext cx="129" cy="112"/>
                          </a:xfrm>
                          <a:custGeom>
                            <a:avLst/>
                            <a:gdLst>
                              <a:gd name="T0" fmla="*/ 0 w 129"/>
                              <a:gd name="T1" fmla="*/ 0 h 112"/>
                              <a:gd name="T2" fmla="*/ 32 w 129"/>
                              <a:gd name="T3" fmla="*/ 112 h 112"/>
                              <a:gd name="T4" fmla="*/ 65 w 129"/>
                              <a:gd name="T5" fmla="*/ 0 h 112"/>
                              <a:gd name="T6" fmla="*/ 97 w 129"/>
                              <a:gd name="T7" fmla="*/ 112 h 112"/>
                              <a:gd name="T8" fmla="*/ 129 w 129"/>
                              <a:gd name="T9" fmla="*/ 0 h 112"/>
                            </a:gdLst>
                            <a:ahLst/>
                            <a:cxnLst>
                              <a:cxn ang="0">
                                <a:pos x="T0" y="T1"/>
                              </a:cxn>
                              <a:cxn ang="0">
                                <a:pos x="T2" y="T3"/>
                              </a:cxn>
                              <a:cxn ang="0">
                                <a:pos x="T4" y="T5"/>
                              </a:cxn>
                              <a:cxn ang="0">
                                <a:pos x="T6" y="T7"/>
                              </a:cxn>
                              <a:cxn ang="0">
                                <a:pos x="T8" y="T9"/>
                              </a:cxn>
                            </a:cxnLst>
                            <a:rect l="0" t="0" r="r" b="b"/>
                            <a:pathLst>
                              <a:path w="129" h="112">
                                <a:moveTo>
                                  <a:pt x="0" y="0"/>
                                </a:moveTo>
                                <a:lnTo>
                                  <a:pt x="32" y="112"/>
                                </a:lnTo>
                                <a:lnTo>
                                  <a:pt x="65" y="0"/>
                                </a:lnTo>
                                <a:lnTo>
                                  <a:pt x="97" y="112"/>
                                </a:lnTo>
                                <a:lnTo>
                                  <a:pt x="129" y="0"/>
                                </a:lnTo>
                              </a:path>
                            </a:pathLst>
                          </a:custGeom>
                          <a:noFill/>
                          <a:ln w="0" cmpd="sng">
                            <a:solidFill>
                              <a:srgbClr val="000000"/>
                            </a:solidFill>
                            <a:round/>
                          </a:ln>
                        </wps:spPr>
                        <wps:bodyPr rot="0" vert="horz" wrap="square" lIns="91440" tIns="45720" rIns="91440" bIns="45720" anchor="t" anchorCtr="false" upright="true">
                          <a:noAutofit/>
                        </wps:bodyPr>
                      </wps:wsp>
                      <wps:wsp>
                        <wps:cNvPr id="481" name="直线 111"/>
                        <wps:cNvCnPr/>
                        <wps:spPr bwMode="auto">
                          <a:xfrm flipV="true">
                            <a:off x="4131" y="466"/>
                            <a:ext cx="5" cy="6"/>
                          </a:xfrm>
                          <a:prstGeom prst="line">
                            <a:avLst/>
                          </a:prstGeom>
                          <a:noFill/>
                          <a:ln w="0" cmpd="sng">
                            <a:solidFill>
                              <a:srgbClr val="000000"/>
                            </a:solidFill>
                            <a:round/>
                          </a:ln>
                        </wps:spPr>
                        <wps:bodyPr/>
                      </wps:wsp>
                      <wps:wsp>
                        <wps:cNvPr id="482" name="直线 112"/>
                        <wps:cNvCnPr/>
                        <wps:spPr bwMode="auto">
                          <a:xfrm flipV="true">
                            <a:off x="4216" y="380"/>
                            <a:ext cx="8" cy="7"/>
                          </a:xfrm>
                          <a:prstGeom prst="line">
                            <a:avLst/>
                          </a:prstGeom>
                          <a:noFill/>
                          <a:ln w="0" cmpd="sng">
                            <a:solidFill>
                              <a:srgbClr val="000000"/>
                            </a:solidFill>
                            <a:round/>
                          </a:ln>
                        </wps:spPr>
                        <wps:bodyPr/>
                      </wps:wsp>
                      <wps:wsp>
                        <wps:cNvPr id="483" name="直线 113"/>
                        <wps:cNvCnPr/>
                        <wps:spPr bwMode="auto">
                          <a:xfrm flipV="true">
                            <a:off x="4272" y="380"/>
                            <a:ext cx="110" cy="110"/>
                          </a:xfrm>
                          <a:prstGeom prst="line">
                            <a:avLst/>
                          </a:prstGeom>
                          <a:noFill/>
                          <a:ln w="0" cmpd="sng">
                            <a:solidFill>
                              <a:srgbClr val="000000"/>
                            </a:solidFill>
                            <a:round/>
                          </a:ln>
                        </wps:spPr>
                        <wps:bodyPr/>
                      </wps:wsp>
                      <wps:wsp>
                        <wps:cNvPr id="484" name="直线 114"/>
                        <wps:cNvCnPr/>
                        <wps:spPr bwMode="auto">
                          <a:xfrm flipV="true">
                            <a:off x="4432" y="466"/>
                            <a:ext cx="23" cy="23"/>
                          </a:xfrm>
                          <a:prstGeom prst="line">
                            <a:avLst/>
                          </a:prstGeom>
                          <a:noFill/>
                          <a:ln w="0" cmpd="sng">
                            <a:solidFill>
                              <a:srgbClr val="000000"/>
                            </a:solidFill>
                            <a:round/>
                          </a:ln>
                        </wps:spPr>
                        <wps:bodyPr/>
                      </wps:wsp>
                      <wps:wsp>
                        <wps:cNvPr id="485" name="直线 115"/>
                        <wps:cNvCnPr/>
                        <wps:spPr bwMode="auto">
                          <a:xfrm flipV="true">
                            <a:off x="4534" y="380"/>
                            <a:ext cx="8" cy="7"/>
                          </a:xfrm>
                          <a:prstGeom prst="line">
                            <a:avLst/>
                          </a:prstGeom>
                          <a:noFill/>
                          <a:ln w="0" cmpd="sng">
                            <a:solidFill>
                              <a:srgbClr val="000000"/>
                            </a:solidFill>
                            <a:round/>
                          </a:ln>
                        </wps:spPr>
                        <wps:bodyPr/>
                      </wps:wsp>
                      <wps:wsp>
                        <wps:cNvPr id="486" name="直线 116"/>
                        <wps:cNvCnPr/>
                        <wps:spPr bwMode="auto">
                          <a:xfrm flipV="true">
                            <a:off x="4591" y="380"/>
                            <a:ext cx="110" cy="109"/>
                          </a:xfrm>
                          <a:prstGeom prst="line">
                            <a:avLst/>
                          </a:prstGeom>
                          <a:noFill/>
                          <a:ln w="0" cmpd="sng">
                            <a:solidFill>
                              <a:srgbClr val="000000"/>
                            </a:solidFill>
                            <a:round/>
                          </a:ln>
                        </wps:spPr>
                        <wps:bodyPr/>
                      </wps:wsp>
                      <wps:wsp>
                        <wps:cNvPr id="487" name="直线 117"/>
                        <wps:cNvCnPr/>
                        <wps:spPr bwMode="auto">
                          <a:xfrm flipV="true">
                            <a:off x="4751" y="466"/>
                            <a:ext cx="22" cy="22"/>
                          </a:xfrm>
                          <a:prstGeom prst="line">
                            <a:avLst/>
                          </a:prstGeom>
                          <a:noFill/>
                          <a:ln w="0" cmpd="sng">
                            <a:solidFill>
                              <a:srgbClr val="000000"/>
                            </a:solidFill>
                            <a:round/>
                          </a:ln>
                        </wps:spPr>
                        <wps:bodyPr/>
                      </wps:wsp>
                      <wps:wsp>
                        <wps:cNvPr id="501" name="直线 118"/>
                        <wps:cNvCnPr/>
                        <wps:spPr bwMode="auto">
                          <a:xfrm flipV="true">
                            <a:off x="4852" y="380"/>
                            <a:ext cx="8" cy="7"/>
                          </a:xfrm>
                          <a:prstGeom prst="line">
                            <a:avLst/>
                          </a:prstGeom>
                          <a:noFill/>
                          <a:ln w="0" cmpd="sng">
                            <a:solidFill>
                              <a:srgbClr val="000000"/>
                            </a:solidFill>
                            <a:round/>
                          </a:ln>
                        </wps:spPr>
                        <wps:bodyPr/>
                      </wps:wsp>
                      <wps:wsp>
                        <wps:cNvPr id="502" name="直线 119"/>
                        <wps:cNvCnPr/>
                        <wps:spPr bwMode="auto">
                          <a:xfrm flipV="true">
                            <a:off x="4910" y="380"/>
                            <a:ext cx="109" cy="108"/>
                          </a:xfrm>
                          <a:prstGeom prst="line">
                            <a:avLst/>
                          </a:prstGeom>
                          <a:noFill/>
                          <a:ln w="0" cmpd="sng">
                            <a:solidFill>
                              <a:srgbClr val="000000"/>
                            </a:solidFill>
                            <a:round/>
                          </a:ln>
                        </wps:spPr>
                        <wps:bodyPr/>
                      </wps:wsp>
                      <wps:wsp>
                        <wps:cNvPr id="503" name="直线 120"/>
                        <wps:cNvCnPr/>
                        <wps:spPr bwMode="auto">
                          <a:xfrm flipV="true">
                            <a:off x="5070" y="466"/>
                            <a:ext cx="21" cy="21"/>
                          </a:xfrm>
                          <a:prstGeom prst="line">
                            <a:avLst/>
                          </a:prstGeom>
                          <a:noFill/>
                          <a:ln w="0" cmpd="sng">
                            <a:solidFill>
                              <a:srgbClr val="000000"/>
                            </a:solidFill>
                            <a:round/>
                          </a:ln>
                        </wps:spPr>
                        <wps:bodyPr/>
                      </wps:wsp>
                      <wps:wsp>
                        <wps:cNvPr id="504" name="直线 121"/>
                        <wps:cNvCnPr/>
                        <wps:spPr bwMode="auto">
                          <a:xfrm flipV="true">
                            <a:off x="5171" y="380"/>
                            <a:ext cx="7" cy="7"/>
                          </a:xfrm>
                          <a:prstGeom prst="line">
                            <a:avLst/>
                          </a:prstGeom>
                          <a:noFill/>
                          <a:ln w="0" cmpd="sng">
                            <a:solidFill>
                              <a:srgbClr val="000000"/>
                            </a:solidFill>
                            <a:round/>
                          </a:ln>
                        </wps:spPr>
                        <wps:bodyPr/>
                      </wps:wsp>
                      <wps:wsp>
                        <wps:cNvPr id="505" name="直线 122"/>
                        <wps:cNvCnPr/>
                        <wps:spPr bwMode="auto">
                          <a:xfrm flipV="true">
                            <a:off x="5230" y="380"/>
                            <a:ext cx="107" cy="107"/>
                          </a:xfrm>
                          <a:prstGeom prst="line">
                            <a:avLst/>
                          </a:prstGeom>
                          <a:noFill/>
                          <a:ln w="0" cmpd="sng">
                            <a:solidFill>
                              <a:srgbClr val="000000"/>
                            </a:solidFill>
                            <a:round/>
                          </a:ln>
                        </wps:spPr>
                        <wps:bodyPr/>
                      </wps:wsp>
                      <wps:wsp>
                        <wps:cNvPr id="508" name="直线 123"/>
                        <wps:cNvCnPr/>
                        <wps:spPr bwMode="auto">
                          <a:xfrm flipV="true">
                            <a:off x="5389" y="466"/>
                            <a:ext cx="20" cy="20"/>
                          </a:xfrm>
                          <a:prstGeom prst="line">
                            <a:avLst/>
                          </a:prstGeom>
                          <a:noFill/>
                          <a:ln w="0" cmpd="sng">
                            <a:solidFill>
                              <a:srgbClr val="000000"/>
                            </a:solidFill>
                            <a:round/>
                          </a:ln>
                        </wps:spPr>
                        <wps:bodyPr/>
                      </wps:wsp>
                      <wps:wsp>
                        <wps:cNvPr id="509" name="直线 124"/>
                        <wps:cNvCnPr/>
                        <wps:spPr bwMode="auto">
                          <a:xfrm flipH="true" flipV="true">
                            <a:off x="4131" y="461"/>
                            <a:ext cx="30" cy="29"/>
                          </a:xfrm>
                          <a:prstGeom prst="line">
                            <a:avLst/>
                          </a:prstGeom>
                          <a:noFill/>
                          <a:ln w="0" cmpd="sng">
                            <a:solidFill>
                              <a:srgbClr val="000000"/>
                            </a:solidFill>
                            <a:round/>
                          </a:ln>
                        </wps:spPr>
                        <wps:bodyPr/>
                      </wps:wsp>
                      <wps:wsp>
                        <wps:cNvPr id="510" name="直线 125"/>
                        <wps:cNvCnPr/>
                        <wps:spPr bwMode="auto">
                          <a:xfrm flipH="true" flipV="true">
                            <a:off x="4209" y="380"/>
                            <a:ext cx="87" cy="86"/>
                          </a:xfrm>
                          <a:prstGeom prst="line">
                            <a:avLst/>
                          </a:prstGeom>
                          <a:noFill/>
                          <a:ln w="0" cmpd="sng">
                            <a:solidFill>
                              <a:srgbClr val="000000"/>
                            </a:solidFill>
                            <a:round/>
                          </a:ln>
                        </wps:spPr>
                        <wps:bodyPr/>
                      </wps:wsp>
                      <wps:wsp>
                        <wps:cNvPr id="511" name="直线 126"/>
                        <wps:cNvCnPr/>
                        <wps:spPr bwMode="auto">
                          <a:xfrm flipH="true" flipV="true">
                            <a:off x="4375" y="387"/>
                            <a:ext cx="103" cy="102"/>
                          </a:xfrm>
                          <a:prstGeom prst="line">
                            <a:avLst/>
                          </a:prstGeom>
                          <a:noFill/>
                          <a:ln w="0" cmpd="sng">
                            <a:solidFill>
                              <a:srgbClr val="000000"/>
                            </a:solidFill>
                            <a:round/>
                          </a:ln>
                        </wps:spPr>
                        <wps:bodyPr/>
                      </wps:wsp>
                      <wps:wsp>
                        <wps:cNvPr id="640" name="直线 127"/>
                        <wps:cNvCnPr/>
                        <wps:spPr bwMode="auto">
                          <a:xfrm flipH="true" flipV="true">
                            <a:off x="4527" y="380"/>
                            <a:ext cx="87" cy="86"/>
                          </a:xfrm>
                          <a:prstGeom prst="line">
                            <a:avLst/>
                          </a:prstGeom>
                          <a:noFill/>
                          <a:ln w="0" cmpd="sng">
                            <a:solidFill>
                              <a:srgbClr val="000000"/>
                            </a:solidFill>
                            <a:round/>
                          </a:ln>
                        </wps:spPr>
                        <wps:bodyPr/>
                      </wps:wsp>
                      <wps:wsp>
                        <wps:cNvPr id="641" name="直线 128"/>
                        <wps:cNvCnPr/>
                        <wps:spPr bwMode="auto">
                          <a:xfrm flipH="true" flipV="true">
                            <a:off x="4693" y="387"/>
                            <a:ext cx="102" cy="101"/>
                          </a:xfrm>
                          <a:prstGeom prst="line">
                            <a:avLst/>
                          </a:prstGeom>
                          <a:noFill/>
                          <a:ln w="0" cmpd="sng">
                            <a:solidFill>
                              <a:srgbClr val="000000"/>
                            </a:solidFill>
                            <a:round/>
                          </a:ln>
                        </wps:spPr>
                        <wps:bodyPr/>
                      </wps:wsp>
                      <wps:wsp>
                        <wps:cNvPr id="642" name="直线 129"/>
                        <wps:cNvCnPr/>
                        <wps:spPr bwMode="auto">
                          <a:xfrm flipH="true" flipV="true">
                            <a:off x="4845" y="380"/>
                            <a:ext cx="87" cy="86"/>
                          </a:xfrm>
                          <a:prstGeom prst="line">
                            <a:avLst/>
                          </a:prstGeom>
                          <a:noFill/>
                          <a:ln w="0" cmpd="sng">
                            <a:solidFill>
                              <a:srgbClr val="000000"/>
                            </a:solidFill>
                            <a:round/>
                          </a:ln>
                        </wps:spPr>
                        <wps:bodyPr/>
                      </wps:wsp>
                      <wps:wsp>
                        <wps:cNvPr id="643" name="直线 130"/>
                        <wps:cNvCnPr/>
                        <wps:spPr bwMode="auto">
                          <a:xfrm flipH="true" flipV="true">
                            <a:off x="5011" y="387"/>
                            <a:ext cx="101" cy="100"/>
                          </a:xfrm>
                          <a:prstGeom prst="line">
                            <a:avLst/>
                          </a:prstGeom>
                          <a:noFill/>
                          <a:ln w="0" cmpd="sng">
                            <a:solidFill>
                              <a:srgbClr val="000000"/>
                            </a:solidFill>
                            <a:round/>
                          </a:ln>
                        </wps:spPr>
                        <wps:bodyPr/>
                      </wps:wsp>
                      <wps:wsp>
                        <wps:cNvPr id="644" name="直线 131"/>
                        <wps:cNvCnPr/>
                        <wps:spPr bwMode="auto">
                          <a:xfrm flipH="true" flipV="true">
                            <a:off x="5163" y="380"/>
                            <a:ext cx="87" cy="86"/>
                          </a:xfrm>
                          <a:prstGeom prst="line">
                            <a:avLst/>
                          </a:prstGeom>
                          <a:noFill/>
                          <a:ln w="0" cmpd="sng">
                            <a:solidFill>
                              <a:srgbClr val="000000"/>
                            </a:solidFill>
                            <a:round/>
                          </a:ln>
                        </wps:spPr>
                        <wps:bodyPr/>
                      </wps:wsp>
                      <wps:wsp>
                        <wps:cNvPr id="645" name="直线 132"/>
                        <wps:cNvCnPr/>
                        <wps:spPr bwMode="auto">
                          <a:xfrm flipH="true" flipV="true">
                            <a:off x="5330" y="387"/>
                            <a:ext cx="99" cy="99"/>
                          </a:xfrm>
                          <a:prstGeom prst="line">
                            <a:avLst/>
                          </a:prstGeom>
                          <a:noFill/>
                          <a:ln w="0" cmpd="sng">
                            <a:solidFill>
                              <a:srgbClr val="000000"/>
                            </a:solidFill>
                            <a:round/>
                          </a:ln>
                        </wps:spPr>
                        <wps:bodyPr/>
                      </wps:wsp>
                      <wps:wsp>
                        <wps:cNvPr id="646" name="直线 133"/>
                        <wps:cNvCnPr/>
                        <wps:spPr bwMode="auto">
                          <a:xfrm flipV="true">
                            <a:off x="253" y="1949"/>
                            <a:ext cx="4" cy="4"/>
                          </a:xfrm>
                          <a:prstGeom prst="line">
                            <a:avLst/>
                          </a:prstGeom>
                          <a:noFill/>
                          <a:ln w="0" cmpd="sng">
                            <a:solidFill>
                              <a:srgbClr val="000000"/>
                            </a:solidFill>
                            <a:round/>
                          </a:ln>
                        </wps:spPr>
                        <wps:bodyPr/>
                      </wps:wsp>
                      <wps:wsp>
                        <wps:cNvPr id="647" name="直线 134"/>
                        <wps:cNvCnPr/>
                        <wps:spPr bwMode="auto">
                          <a:xfrm flipV="true">
                            <a:off x="294" y="2047"/>
                            <a:ext cx="24" cy="23"/>
                          </a:xfrm>
                          <a:prstGeom prst="line">
                            <a:avLst/>
                          </a:prstGeom>
                          <a:noFill/>
                          <a:ln w="0" cmpd="sng">
                            <a:solidFill>
                              <a:srgbClr val="000000"/>
                            </a:solidFill>
                            <a:round/>
                          </a:ln>
                        </wps:spPr>
                        <wps:bodyPr/>
                      </wps:wsp>
                      <wps:wsp>
                        <wps:cNvPr id="648" name="直线 135"/>
                        <wps:cNvCnPr/>
                        <wps:spPr bwMode="auto">
                          <a:xfrm flipV="true">
                            <a:off x="398" y="1949"/>
                            <a:ext cx="18" cy="19"/>
                          </a:xfrm>
                          <a:prstGeom prst="line">
                            <a:avLst/>
                          </a:prstGeom>
                          <a:noFill/>
                          <a:ln w="0" cmpd="sng">
                            <a:solidFill>
                              <a:srgbClr val="000000"/>
                            </a:solidFill>
                            <a:round/>
                          </a:ln>
                        </wps:spPr>
                        <wps:bodyPr/>
                      </wps:wsp>
                      <wps:wsp>
                        <wps:cNvPr id="649" name="直线 136"/>
                        <wps:cNvCnPr/>
                        <wps:spPr bwMode="auto">
                          <a:xfrm flipV="true">
                            <a:off x="455" y="1949"/>
                            <a:ext cx="120" cy="120"/>
                          </a:xfrm>
                          <a:prstGeom prst="line">
                            <a:avLst/>
                          </a:prstGeom>
                          <a:noFill/>
                          <a:ln w="0" cmpd="sng">
                            <a:solidFill>
                              <a:srgbClr val="000000"/>
                            </a:solidFill>
                            <a:round/>
                          </a:ln>
                        </wps:spPr>
                        <wps:bodyPr/>
                      </wps:wsp>
                      <wps:wsp>
                        <wps:cNvPr id="650" name="直线 137"/>
                        <wps:cNvCnPr/>
                        <wps:spPr bwMode="auto">
                          <a:xfrm flipV="true">
                            <a:off x="615" y="2047"/>
                            <a:ext cx="21" cy="21"/>
                          </a:xfrm>
                          <a:prstGeom prst="line">
                            <a:avLst/>
                          </a:prstGeom>
                          <a:noFill/>
                          <a:ln w="0" cmpd="sng">
                            <a:solidFill>
                              <a:srgbClr val="000000"/>
                            </a:solidFill>
                            <a:round/>
                          </a:ln>
                        </wps:spPr>
                        <wps:bodyPr/>
                      </wps:wsp>
                      <wps:wsp>
                        <wps:cNvPr id="651" name="直线 138"/>
                        <wps:cNvCnPr/>
                        <wps:spPr bwMode="auto">
                          <a:xfrm flipV="true">
                            <a:off x="716" y="1949"/>
                            <a:ext cx="18" cy="19"/>
                          </a:xfrm>
                          <a:prstGeom prst="line">
                            <a:avLst/>
                          </a:prstGeom>
                          <a:noFill/>
                          <a:ln w="0" cmpd="sng">
                            <a:solidFill>
                              <a:srgbClr val="000000"/>
                            </a:solidFill>
                            <a:round/>
                          </a:ln>
                        </wps:spPr>
                        <wps:bodyPr/>
                      </wps:wsp>
                      <wps:wsp>
                        <wps:cNvPr id="652" name="直线 139"/>
                        <wps:cNvCnPr/>
                        <wps:spPr bwMode="auto">
                          <a:xfrm flipV="true">
                            <a:off x="776" y="1949"/>
                            <a:ext cx="117" cy="117"/>
                          </a:xfrm>
                          <a:prstGeom prst="line">
                            <a:avLst/>
                          </a:prstGeom>
                          <a:noFill/>
                          <a:ln w="0" cmpd="sng">
                            <a:solidFill>
                              <a:srgbClr val="000000"/>
                            </a:solidFill>
                            <a:round/>
                          </a:ln>
                        </wps:spPr>
                        <wps:bodyPr/>
                      </wps:wsp>
                      <wps:wsp>
                        <wps:cNvPr id="653" name="直线 140"/>
                        <wps:cNvCnPr/>
                        <wps:spPr bwMode="auto">
                          <a:xfrm flipV="true">
                            <a:off x="936" y="2047"/>
                            <a:ext cx="19" cy="18"/>
                          </a:xfrm>
                          <a:prstGeom prst="line">
                            <a:avLst/>
                          </a:prstGeom>
                          <a:noFill/>
                          <a:ln w="0" cmpd="sng">
                            <a:solidFill>
                              <a:srgbClr val="000000"/>
                            </a:solidFill>
                            <a:round/>
                          </a:ln>
                        </wps:spPr>
                        <wps:bodyPr/>
                      </wps:wsp>
                      <wps:wsp>
                        <wps:cNvPr id="654" name="直线 141"/>
                        <wps:cNvCnPr/>
                        <wps:spPr bwMode="auto">
                          <a:xfrm flipV="true">
                            <a:off x="1034" y="1949"/>
                            <a:ext cx="19" cy="19"/>
                          </a:xfrm>
                          <a:prstGeom prst="line">
                            <a:avLst/>
                          </a:prstGeom>
                          <a:noFill/>
                          <a:ln w="0" cmpd="sng">
                            <a:solidFill>
                              <a:srgbClr val="000000"/>
                            </a:solidFill>
                            <a:round/>
                          </a:ln>
                        </wps:spPr>
                        <wps:bodyPr/>
                      </wps:wsp>
                      <wps:wsp>
                        <wps:cNvPr id="655" name="直线 142"/>
                        <wps:cNvCnPr/>
                        <wps:spPr bwMode="auto">
                          <a:xfrm flipV="true">
                            <a:off x="1097" y="1949"/>
                            <a:ext cx="115" cy="114"/>
                          </a:xfrm>
                          <a:prstGeom prst="line">
                            <a:avLst/>
                          </a:prstGeom>
                          <a:noFill/>
                          <a:ln w="0" cmpd="sng">
                            <a:solidFill>
                              <a:srgbClr val="000000"/>
                            </a:solidFill>
                            <a:round/>
                          </a:ln>
                        </wps:spPr>
                        <wps:bodyPr/>
                      </wps:wsp>
                      <wps:wsp>
                        <wps:cNvPr id="656" name="直线 143"/>
                        <wps:cNvCnPr/>
                        <wps:spPr bwMode="auto">
                          <a:xfrm flipV="true">
                            <a:off x="1258" y="2047"/>
                            <a:ext cx="15" cy="15"/>
                          </a:xfrm>
                          <a:prstGeom prst="line">
                            <a:avLst/>
                          </a:prstGeom>
                          <a:noFill/>
                          <a:ln w="0" cmpd="sng">
                            <a:solidFill>
                              <a:srgbClr val="000000"/>
                            </a:solidFill>
                            <a:round/>
                          </a:ln>
                        </wps:spPr>
                        <wps:bodyPr/>
                      </wps:wsp>
                      <wps:wsp>
                        <wps:cNvPr id="657" name="直线 144"/>
                        <wps:cNvCnPr/>
                        <wps:spPr bwMode="auto">
                          <a:xfrm flipH="true" flipV="true">
                            <a:off x="253" y="1982"/>
                            <a:ext cx="88" cy="88"/>
                          </a:xfrm>
                          <a:prstGeom prst="line">
                            <a:avLst/>
                          </a:prstGeom>
                          <a:noFill/>
                          <a:ln w="0" cmpd="sng">
                            <a:solidFill>
                              <a:srgbClr val="000000"/>
                            </a:solidFill>
                            <a:round/>
                          </a:ln>
                        </wps:spPr>
                        <wps:bodyPr/>
                      </wps:wsp>
                      <wps:wsp>
                        <wps:cNvPr id="658" name="直线 145"/>
                        <wps:cNvCnPr/>
                        <wps:spPr bwMode="auto">
                          <a:xfrm flipH="true" flipV="true">
                            <a:off x="379" y="1949"/>
                            <a:ext cx="98" cy="98"/>
                          </a:xfrm>
                          <a:prstGeom prst="line">
                            <a:avLst/>
                          </a:prstGeom>
                          <a:noFill/>
                          <a:ln w="0" cmpd="sng">
                            <a:solidFill>
                              <a:srgbClr val="000000"/>
                            </a:solidFill>
                            <a:round/>
                          </a:ln>
                        </wps:spPr>
                        <wps:bodyPr/>
                      </wps:wsp>
                      <wps:wsp>
                        <wps:cNvPr id="659" name="直线 146"/>
                        <wps:cNvCnPr/>
                        <wps:spPr bwMode="auto">
                          <a:xfrm flipH="true" flipV="true">
                            <a:off x="557" y="1968"/>
                            <a:ext cx="100" cy="99"/>
                          </a:xfrm>
                          <a:prstGeom prst="line">
                            <a:avLst/>
                          </a:prstGeom>
                          <a:noFill/>
                          <a:ln w="0" cmpd="sng">
                            <a:solidFill>
                              <a:srgbClr val="000000"/>
                            </a:solidFill>
                            <a:round/>
                          </a:ln>
                        </wps:spPr>
                        <wps:bodyPr/>
                      </wps:wsp>
                      <wps:wsp>
                        <wps:cNvPr id="660" name="直线 147"/>
                        <wps:cNvCnPr/>
                        <wps:spPr bwMode="auto">
                          <a:xfrm flipH="true" flipV="true">
                            <a:off x="697" y="1949"/>
                            <a:ext cx="98" cy="98"/>
                          </a:xfrm>
                          <a:prstGeom prst="line">
                            <a:avLst/>
                          </a:prstGeom>
                          <a:noFill/>
                          <a:ln w="0" cmpd="sng">
                            <a:solidFill>
                              <a:srgbClr val="000000"/>
                            </a:solidFill>
                            <a:round/>
                          </a:ln>
                        </wps:spPr>
                        <wps:bodyPr/>
                      </wps:wsp>
                      <wps:wsp>
                        <wps:cNvPr id="661" name="直线 148"/>
                        <wps:cNvCnPr/>
                        <wps:spPr bwMode="auto">
                          <a:xfrm flipH="true" flipV="true">
                            <a:off x="875" y="1968"/>
                            <a:ext cx="97" cy="96"/>
                          </a:xfrm>
                          <a:prstGeom prst="line">
                            <a:avLst/>
                          </a:prstGeom>
                          <a:noFill/>
                          <a:ln w="0" cmpd="sng">
                            <a:solidFill>
                              <a:srgbClr val="000000"/>
                            </a:solidFill>
                            <a:round/>
                          </a:ln>
                        </wps:spPr>
                        <wps:bodyPr/>
                      </wps:wsp>
                      <wps:wsp>
                        <wps:cNvPr id="662" name="直线 149"/>
                        <wps:cNvCnPr/>
                        <wps:spPr bwMode="auto">
                          <a:xfrm flipH="true" flipV="true">
                            <a:off x="1015" y="1949"/>
                            <a:ext cx="98" cy="98"/>
                          </a:xfrm>
                          <a:prstGeom prst="line">
                            <a:avLst/>
                          </a:prstGeom>
                          <a:noFill/>
                          <a:ln w="0" cmpd="sng">
                            <a:solidFill>
                              <a:srgbClr val="000000"/>
                            </a:solidFill>
                            <a:round/>
                          </a:ln>
                        </wps:spPr>
                        <wps:bodyPr/>
                      </wps:wsp>
                      <wps:wsp>
                        <wps:cNvPr id="663" name="直线 150"/>
                        <wps:cNvCnPr/>
                        <wps:spPr bwMode="auto">
                          <a:xfrm flipH="true" flipV="true">
                            <a:off x="1193" y="1968"/>
                            <a:ext cx="94" cy="93"/>
                          </a:xfrm>
                          <a:prstGeom prst="line">
                            <a:avLst/>
                          </a:prstGeom>
                          <a:noFill/>
                          <a:ln w="0" cmpd="sng">
                            <a:solidFill>
                              <a:srgbClr val="000000"/>
                            </a:solidFill>
                            <a:round/>
                          </a:ln>
                        </wps:spPr>
                        <wps:bodyPr/>
                      </wps:wsp>
                      <wps:wsp>
                        <wps:cNvPr id="664" name="直线 151"/>
                        <wps:cNvCnPr/>
                        <wps:spPr bwMode="auto">
                          <a:xfrm>
                            <a:off x="4524" y="2320"/>
                            <a:ext cx="1163" cy="1"/>
                          </a:xfrm>
                          <a:prstGeom prst="line">
                            <a:avLst/>
                          </a:prstGeom>
                          <a:noFill/>
                          <a:ln w="0" cmpd="sng">
                            <a:solidFill>
                              <a:srgbClr val="000000"/>
                            </a:solidFill>
                            <a:round/>
                          </a:ln>
                        </wps:spPr>
                        <wps:bodyPr/>
                      </wps:wsp>
                      <wps:wsp>
                        <wps:cNvPr id="665" name="直线 152"/>
                        <wps:cNvCnPr/>
                        <wps:spPr bwMode="auto">
                          <a:xfrm>
                            <a:off x="4504" y="682"/>
                            <a:ext cx="1183" cy="1"/>
                          </a:xfrm>
                          <a:prstGeom prst="line">
                            <a:avLst/>
                          </a:prstGeom>
                          <a:noFill/>
                          <a:ln w="0" cmpd="sng">
                            <a:solidFill>
                              <a:srgbClr val="000000"/>
                            </a:solidFill>
                            <a:round/>
                          </a:ln>
                        </wps:spPr>
                        <wps:bodyPr/>
                      </wps:wsp>
                      <wps:wsp>
                        <wps:cNvPr id="666" name="直线 153"/>
                        <wps:cNvCnPr/>
                        <wps:spPr bwMode="auto">
                          <a:xfrm flipV="true">
                            <a:off x="5631" y="682"/>
                            <a:ext cx="1" cy="1638"/>
                          </a:xfrm>
                          <a:prstGeom prst="line">
                            <a:avLst/>
                          </a:prstGeom>
                          <a:noFill/>
                          <a:ln w="0" cmpd="sng">
                            <a:solidFill>
                              <a:srgbClr val="000000"/>
                            </a:solidFill>
                            <a:round/>
                          </a:ln>
                        </wps:spPr>
                        <wps:bodyPr/>
                      </wps:wsp>
                      <wps:wsp>
                        <wps:cNvPr id="667" name="未知"/>
                        <wps:cNvSpPr/>
                        <wps:spPr bwMode="auto">
                          <a:xfrm>
                            <a:off x="5599" y="2290"/>
                            <a:ext cx="63" cy="55"/>
                          </a:xfrm>
                          <a:custGeom>
                            <a:avLst/>
                            <a:gdLst>
                              <a:gd name="T0" fmla="*/ 6 w 63"/>
                              <a:gd name="T1" fmla="*/ 0 h 55"/>
                              <a:gd name="T2" fmla="*/ 0 w 63"/>
                              <a:gd name="T3" fmla="*/ 5 h 55"/>
                              <a:gd name="T4" fmla="*/ 63 w 63"/>
                              <a:gd name="T5" fmla="*/ 55 h 55"/>
                              <a:gd name="T6" fmla="*/ 6 w 63"/>
                              <a:gd name="T7" fmla="*/ 0 h 55"/>
                            </a:gdLst>
                            <a:ahLst/>
                            <a:cxnLst>
                              <a:cxn ang="0">
                                <a:pos x="T0" y="T1"/>
                              </a:cxn>
                              <a:cxn ang="0">
                                <a:pos x="T2" y="T3"/>
                              </a:cxn>
                              <a:cxn ang="0">
                                <a:pos x="T4" y="T5"/>
                              </a:cxn>
                              <a:cxn ang="0">
                                <a:pos x="T6" y="T7"/>
                              </a:cxn>
                            </a:cxnLst>
                            <a:rect l="0" t="0" r="r" b="b"/>
                            <a:pathLst>
                              <a:path w="63" h="55">
                                <a:moveTo>
                                  <a:pt x="6" y="0"/>
                                </a:moveTo>
                                <a:lnTo>
                                  <a:pt x="0" y="5"/>
                                </a:lnTo>
                                <a:lnTo>
                                  <a:pt x="63" y="55"/>
                                </a:lnTo>
                                <a:lnTo>
                                  <a:pt x="6" y="0"/>
                                </a:lnTo>
                                <a:close/>
                              </a:path>
                            </a:pathLst>
                          </a:custGeom>
                          <a:solidFill>
                            <a:srgbClr val="000000"/>
                          </a:solidFill>
                          <a:ln>
                            <a:noFill/>
                          </a:ln>
                        </wps:spPr>
                        <wps:bodyPr rot="0" vert="horz" wrap="square" lIns="91440" tIns="45720" rIns="91440" bIns="45720" anchor="t" anchorCtr="false" upright="true">
                          <a:noAutofit/>
                        </wps:bodyPr>
                      </wps:wsp>
                      <wps:wsp>
                        <wps:cNvPr id="668" name="未知"/>
                        <wps:cNvSpPr/>
                        <wps:spPr bwMode="auto">
                          <a:xfrm>
                            <a:off x="5599" y="2295"/>
                            <a:ext cx="63" cy="56"/>
                          </a:xfrm>
                          <a:custGeom>
                            <a:avLst/>
                            <a:gdLst>
                              <a:gd name="T0" fmla="*/ 0 w 63"/>
                              <a:gd name="T1" fmla="*/ 0 h 56"/>
                              <a:gd name="T2" fmla="*/ 63 w 63"/>
                              <a:gd name="T3" fmla="*/ 50 h 56"/>
                              <a:gd name="T4" fmla="*/ 57 w 63"/>
                              <a:gd name="T5" fmla="*/ 56 h 56"/>
                              <a:gd name="T6" fmla="*/ 0 w 63"/>
                              <a:gd name="T7" fmla="*/ 0 h 56"/>
                            </a:gdLst>
                            <a:ahLst/>
                            <a:cxnLst>
                              <a:cxn ang="0">
                                <a:pos x="T0" y="T1"/>
                              </a:cxn>
                              <a:cxn ang="0">
                                <a:pos x="T2" y="T3"/>
                              </a:cxn>
                              <a:cxn ang="0">
                                <a:pos x="T4" y="T5"/>
                              </a:cxn>
                              <a:cxn ang="0">
                                <a:pos x="T6" y="T7"/>
                              </a:cxn>
                            </a:cxnLst>
                            <a:rect l="0" t="0" r="r" b="b"/>
                            <a:pathLst>
                              <a:path w="63" h="56">
                                <a:moveTo>
                                  <a:pt x="0" y="0"/>
                                </a:moveTo>
                                <a:lnTo>
                                  <a:pt x="63" y="50"/>
                                </a:lnTo>
                                <a:lnTo>
                                  <a:pt x="57" y="56"/>
                                </a:lnTo>
                                <a:lnTo>
                                  <a:pt x="0" y="0"/>
                                </a:lnTo>
                                <a:close/>
                              </a:path>
                            </a:pathLst>
                          </a:custGeom>
                          <a:solidFill>
                            <a:srgbClr val="000000"/>
                          </a:solidFill>
                          <a:ln>
                            <a:noFill/>
                          </a:ln>
                        </wps:spPr>
                        <wps:bodyPr rot="0" vert="horz" wrap="square" lIns="91440" tIns="45720" rIns="91440" bIns="45720" anchor="t" anchorCtr="false" upright="true">
                          <a:noAutofit/>
                        </wps:bodyPr>
                      </wps:wsp>
                      <wps:wsp>
                        <wps:cNvPr id="669" name="未知"/>
                        <wps:cNvSpPr/>
                        <wps:spPr bwMode="auto">
                          <a:xfrm>
                            <a:off x="5599" y="2290"/>
                            <a:ext cx="63" cy="61"/>
                          </a:xfrm>
                          <a:custGeom>
                            <a:avLst/>
                            <a:gdLst>
                              <a:gd name="T0" fmla="*/ 6 w 63"/>
                              <a:gd name="T1" fmla="*/ 0 h 61"/>
                              <a:gd name="T2" fmla="*/ 0 w 63"/>
                              <a:gd name="T3" fmla="*/ 5 h 61"/>
                              <a:gd name="T4" fmla="*/ 57 w 63"/>
                              <a:gd name="T5" fmla="*/ 61 h 61"/>
                              <a:gd name="T6" fmla="*/ 63 w 63"/>
                              <a:gd name="T7" fmla="*/ 55 h 61"/>
                              <a:gd name="T8" fmla="*/ 6 w 63"/>
                              <a:gd name="T9" fmla="*/ 0 h 61"/>
                            </a:gdLst>
                            <a:ahLst/>
                            <a:cxnLst>
                              <a:cxn ang="0">
                                <a:pos x="T0" y="T1"/>
                              </a:cxn>
                              <a:cxn ang="0">
                                <a:pos x="T2" y="T3"/>
                              </a:cxn>
                              <a:cxn ang="0">
                                <a:pos x="T4" y="T5"/>
                              </a:cxn>
                              <a:cxn ang="0">
                                <a:pos x="T6" y="T7"/>
                              </a:cxn>
                              <a:cxn ang="0">
                                <a:pos x="T8" y="T9"/>
                              </a:cxn>
                            </a:cxnLst>
                            <a:rect l="0" t="0" r="r" b="b"/>
                            <a:pathLst>
                              <a:path w="63" h="61">
                                <a:moveTo>
                                  <a:pt x="6" y="0"/>
                                </a:moveTo>
                                <a:lnTo>
                                  <a:pt x="0" y="5"/>
                                </a:lnTo>
                                <a:lnTo>
                                  <a:pt x="57" y="61"/>
                                </a:lnTo>
                                <a:lnTo>
                                  <a:pt x="63" y="55"/>
                                </a:lnTo>
                                <a:lnTo>
                                  <a:pt x="6" y="0"/>
                                </a:lnTo>
                                <a:close/>
                              </a:path>
                            </a:pathLst>
                          </a:custGeom>
                          <a:noFill/>
                          <a:ln w="0" cmpd="sng">
                            <a:solidFill>
                              <a:srgbClr val="000000"/>
                            </a:solidFill>
                            <a:round/>
                          </a:ln>
                        </wps:spPr>
                        <wps:bodyPr rot="0" vert="horz" wrap="square" lIns="91440" tIns="45720" rIns="91440" bIns="45720" anchor="t" anchorCtr="false" upright="true">
                          <a:noAutofit/>
                        </wps:bodyPr>
                      </wps:wsp>
                      <wps:wsp>
                        <wps:cNvPr id="670" name="未知"/>
                        <wps:cNvSpPr/>
                        <wps:spPr bwMode="auto">
                          <a:xfrm>
                            <a:off x="5599" y="657"/>
                            <a:ext cx="63" cy="56"/>
                          </a:xfrm>
                          <a:custGeom>
                            <a:avLst/>
                            <a:gdLst>
                              <a:gd name="T0" fmla="*/ 57 w 63"/>
                              <a:gd name="T1" fmla="*/ 56 h 56"/>
                              <a:gd name="T2" fmla="*/ 63 w 63"/>
                              <a:gd name="T3" fmla="*/ 50 h 56"/>
                              <a:gd name="T4" fmla="*/ 0 w 63"/>
                              <a:gd name="T5" fmla="*/ 0 h 56"/>
                              <a:gd name="T6" fmla="*/ 57 w 63"/>
                              <a:gd name="T7" fmla="*/ 56 h 56"/>
                            </a:gdLst>
                            <a:ahLst/>
                            <a:cxnLst>
                              <a:cxn ang="0">
                                <a:pos x="T0" y="T1"/>
                              </a:cxn>
                              <a:cxn ang="0">
                                <a:pos x="T2" y="T3"/>
                              </a:cxn>
                              <a:cxn ang="0">
                                <a:pos x="T4" y="T5"/>
                              </a:cxn>
                              <a:cxn ang="0">
                                <a:pos x="T6" y="T7"/>
                              </a:cxn>
                            </a:cxnLst>
                            <a:rect l="0" t="0" r="r" b="b"/>
                            <a:pathLst>
                              <a:path w="63" h="56">
                                <a:moveTo>
                                  <a:pt x="57" y="56"/>
                                </a:moveTo>
                                <a:lnTo>
                                  <a:pt x="63" y="50"/>
                                </a:lnTo>
                                <a:lnTo>
                                  <a:pt x="0" y="0"/>
                                </a:lnTo>
                                <a:lnTo>
                                  <a:pt x="57" y="56"/>
                                </a:lnTo>
                                <a:close/>
                              </a:path>
                            </a:pathLst>
                          </a:custGeom>
                          <a:solidFill>
                            <a:srgbClr val="000000"/>
                          </a:solidFill>
                          <a:ln>
                            <a:noFill/>
                          </a:ln>
                        </wps:spPr>
                        <wps:bodyPr rot="0" vert="horz" wrap="square" lIns="91440" tIns="45720" rIns="91440" bIns="45720" anchor="t" anchorCtr="false" upright="true">
                          <a:noAutofit/>
                        </wps:bodyPr>
                      </wps:wsp>
                      <wps:wsp>
                        <wps:cNvPr id="674" name="未知"/>
                        <wps:cNvSpPr/>
                        <wps:spPr bwMode="auto">
                          <a:xfrm>
                            <a:off x="5599" y="651"/>
                            <a:ext cx="63" cy="56"/>
                          </a:xfrm>
                          <a:custGeom>
                            <a:avLst/>
                            <a:gdLst>
                              <a:gd name="T0" fmla="*/ 63 w 63"/>
                              <a:gd name="T1" fmla="*/ 56 h 56"/>
                              <a:gd name="T2" fmla="*/ 0 w 63"/>
                              <a:gd name="T3" fmla="*/ 6 h 56"/>
                              <a:gd name="T4" fmla="*/ 6 w 63"/>
                              <a:gd name="T5" fmla="*/ 0 h 56"/>
                              <a:gd name="T6" fmla="*/ 63 w 63"/>
                              <a:gd name="T7" fmla="*/ 56 h 56"/>
                            </a:gdLst>
                            <a:ahLst/>
                            <a:cxnLst>
                              <a:cxn ang="0">
                                <a:pos x="T0" y="T1"/>
                              </a:cxn>
                              <a:cxn ang="0">
                                <a:pos x="T2" y="T3"/>
                              </a:cxn>
                              <a:cxn ang="0">
                                <a:pos x="T4" y="T5"/>
                              </a:cxn>
                              <a:cxn ang="0">
                                <a:pos x="T6" y="T7"/>
                              </a:cxn>
                            </a:cxnLst>
                            <a:rect l="0" t="0" r="r" b="b"/>
                            <a:pathLst>
                              <a:path w="63" h="56">
                                <a:moveTo>
                                  <a:pt x="63" y="56"/>
                                </a:moveTo>
                                <a:lnTo>
                                  <a:pt x="0" y="6"/>
                                </a:lnTo>
                                <a:lnTo>
                                  <a:pt x="6" y="0"/>
                                </a:lnTo>
                                <a:lnTo>
                                  <a:pt x="63" y="56"/>
                                </a:lnTo>
                                <a:close/>
                              </a:path>
                            </a:pathLst>
                          </a:custGeom>
                          <a:solidFill>
                            <a:srgbClr val="000000"/>
                          </a:solidFill>
                          <a:ln>
                            <a:noFill/>
                          </a:ln>
                        </wps:spPr>
                        <wps:bodyPr rot="0" vert="horz" wrap="square" lIns="91440" tIns="45720" rIns="91440" bIns="45720" anchor="t" anchorCtr="false" upright="true">
                          <a:noAutofit/>
                        </wps:bodyPr>
                      </wps:wsp>
                      <wps:wsp>
                        <wps:cNvPr id="675" name="未知"/>
                        <wps:cNvSpPr/>
                        <wps:spPr bwMode="auto">
                          <a:xfrm>
                            <a:off x="5599" y="651"/>
                            <a:ext cx="63" cy="62"/>
                          </a:xfrm>
                          <a:custGeom>
                            <a:avLst/>
                            <a:gdLst>
                              <a:gd name="T0" fmla="*/ 57 w 63"/>
                              <a:gd name="T1" fmla="*/ 62 h 62"/>
                              <a:gd name="T2" fmla="*/ 63 w 63"/>
                              <a:gd name="T3" fmla="*/ 56 h 62"/>
                              <a:gd name="T4" fmla="*/ 6 w 63"/>
                              <a:gd name="T5" fmla="*/ 0 h 62"/>
                              <a:gd name="T6" fmla="*/ 0 w 63"/>
                              <a:gd name="T7" fmla="*/ 6 h 62"/>
                              <a:gd name="T8" fmla="*/ 57 w 63"/>
                              <a:gd name="T9" fmla="*/ 62 h 62"/>
                            </a:gdLst>
                            <a:ahLst/>
                            <a:cxnLst>
                              <a:cxn ang="0">
                                <a:pos x="T0" y="T1"/>
                              </a:cxn>
                              <a:cxn ang="0">
                                <a:pos x="T2" y="T3"/>
                              </a:cxn>
                              <a:cxn ang="0">
                                <a:pos x="T4" y="T5"/>
                              </a:cxn>
                              <a:cxn ang="0">
                                <a:pos x="T6" y="T7"/>
                              </a:cxn>
                              <a:cxn ang="0">
                                <a:pos x="T8" y="T9"/>
                              </a:cxn>
                            </a:cxnLst>
                            <a:rect l="0" t="0" r="r" b="b"/>
                            <a:pathLst>
                              <a:path w="63" h="62">
                                <a:moveTo>
                                  <a:pt x="57" y="62"/>
                                </a:moveTo>
                                <a:lnTo>
                                  <a:pt x="63" y="56"/>
                                </a:lnTo>
                                <a:lnTo>
                                  <a:pt x="6" y="0"/>
                                </a:lnTo>
                                <a:lnTo>
                                  <a:pt x="0" y="6"/>
                                </a:lnTo>
                                <a:lnTo>
                                  <a:pt x="57" y="62"/>
                                </a:lnTo>
                                <a:close/>
                              </a:path>
                            </a:pathLst>
                          </a:custGeom>
                          <a:noFill/>
                          <a:ln w="0" cmpd="sng">
                            <a:solidFill>
                              <a:srgbClr val="000000"/>
                            </a:solidFill>
                            <a:round/>
                          </a:ln>
                        </wps:spPr>
                        <wps:bodyPr rot="0" vert="horz" wrap="square" lIns="91440" tIns="45720" rIns="91440" bIns="45720" anchor="t" anchorCtr="false" upright="true">
                          <a:noAutofit/>
                        </wps:bodyPr>
                      </wps:wsp>
                      <wps:wsp>
                        <wps:cNvPr id="676" name="直线 160"/>
                        <wps:cNvCnPr/>
                        <wps:spPr bwMode="auto">
                          <a:xfrm flipH="true">
                            <a:off x="5211" y="1650"/>
                            <a:ext cx="225" cy="1"/>
                          </a:xfrm>
                          <a:prstGeom prst="line">
                            <a:avLst/>
                          </a:prstGeom>
                          <a:noFill/>
                          <a:ln w="0" cmpd="sng">
                            <a:solidFill>
                              <a:srgbClr val="000000"/>
                            </a:solidFill>
                            <a:round/>
                          </a:ln>
                        </wps:spPr>
                        <wps:bodyPr/>
                      </wps:wsp>
                      <wps:wsp>
                        <wps:cNvPr id="677" name="未知"/>
                        <wps:cNvSpPr/>
                        <wps:spPr bwMode="auto">
                          <a:xfrm>
                            <a:off x="5286" y="1534"/>
                            <a:ext cx="150" cy="116"/>
                          </a:xfrm>
                          <a:custGeom>
                            <a:avLst/>
                            <a:gdLst>
                              <a:gd name="T0" fmla="*/ 43 w 150"/>
                              <a:gd name="T1" fmla="*/ 116 h 116"/>
                              <a:gd name="T2" fmla="*/ 11 w 150"/>
                              <a:gd name="T3" fmla="*/ 85 h 116"/>
                              <a:gd name="T4" fmla="*/ 0 w 150"/>
                              <a:gd name="T5" fmla="*/ 63 h 116"/>
                              <a:gd name="T6" fmla="*/ 0 w 150"/>
                              <a:gd name="T7" fmla="*/ 31 h 116"/>
                              <a:gd name="T8" fmla="*/ 11 w 150"/>
                              <a:gd name="T9" fmla="*/ 10 h 116"/>
                              <a:gd name="T10" fmla="*/ 43 w 150"/>
                              <a:gd name="T11" fmla="*/ 0 h 116"/>
                              <a:gd name="T12" fmla="*/ 150 w 150"/>
                              <a:gd name="T13" fmla="*/ 0 h 116"/>
                            </a:gdLst>
                            <a:ahLst/>
                            <a:cxnLst>
                              <a:cxn ang="0">
                                <a:pos x="T0" y="T1"/>
                              </a:cxn>
                              <a:cxn ang="0">
                                <a:pos x="T2" y="T3"/>
                              </a:cxn>
                              <a:cxn ang="0">
                                <a:pos x="T4" y="T5"/>
                              </a:cxn>
                              <a:cxn ang="0">
                                <a:pos x="T6" y="T7"/>
                              </a:cxn>
                              <a:cxn ang="0">
                                <a:pos x="T8" y="T9"/>
                              </a:cxn>
                              <a:cxn ang="0">
                                <a:pos x="T10" y="T11"/>
                              </a:cxn>
                              <a:cxn ang="0">
                                <a:pos x="T12" y="T13"/>
                              </a:cxn>
                            </a:cxnLst>
                            <a:rect l="0" t="0" r="r" b="b"/>
                            <a:pathLst>
                              <a:path w="150" h="116">
                                <a:moveTo>
                                  <a:pt x="43" y="116"/>
                                </a:moveTo>
                                <a:lnTo>
                                  <a:pt x="11" y="85"/>
                                </a:lnTo>
                                <a:lnTo>
                                  <a:pt x="0" y="63"/>
                                </a:lnTo>
                                <a:lnTo>
                                  <a:pt x="0" y="31"/>
                                </a:lnTo>
                                <a:lnTo>
                                  <a:pt x="11" y="10"/>
                                </a:lnTo>
                                <a:lnTo>
                                  <a:pt x="43" y="0"/>
                                </a:lnTo>
                                <a:lnTo>
                                  <a:pt x="150" y="0"/>
                                </a:lnTo>
                              </a:path>
                            </a:pathLst>
                          </a:custGeom>
                          <a:noFill/>
                          <a:ln w="0" cmpd="sng">
                            <a:solidFill>
                              <a:srgbClr val="000000"/>
                            </a:solidFill>
                            <a:round/>
                          </a:ln>
                        </wps:spPr>
                        <wps:bodyPr rot="0" vert="horz" wrap="square" lIns="91440" tIns="45720" rIns="91440" bIns="45720" anchor="t" anchorCtr="false" upright="true">
                          <a:noAutofit/>
                        </wps:bodyPr>
                      </wps:wsp>
                      <wps:wsp>
                        <wps:cNvPr id="678" name="未知"/>
                        <wps:cNvSpPr/>
                        <wps:spPr bwMode="auto">
                          <a:xfrm>
                            <a:off x="5296" y="1321"/>
                            <a:ext cx="112" cy="128"/>
                          </a:xfrm>
                          <a:custGeom>
                            <a:avLst/>
                            <a:gdLst>
                              <a:gd name="T0" fmla="*/ 0 w 112"/>
                              <a:gd name="T1" fmla="*/ 128 h 128"/>
                              <a:gd name="T2" fmla="*/ 112 w 112"/>
                              <a:gd name="T3" fmla="*/ 95 h 128"/>
                              <a:gd name="T4" fmla="*/ 0 w 112"/>
                              <a:gd name="T5" fmla="*/ 64 h 128"/>
                              <a:gd name="T6" fmla="*/ 112 w 112"/>
                              <a:gd name="T7" fmla="*/ 32 h 128"/>
                              <a:gd name="T8" fmla="*/ 0 w 112"/>
                              <a:gd name="T9" fmla="*/ 0 h 128"/>
                            </a:gdLst>
                            <a:ahLst/>
                            <a:cxnLst>
                              <a:cxn ang="0">
                                <a:pos x="T0" y="T1"/>
                              </a:cxn>
                              <a:cxn ang="0">
                                <a:pos x="T2" y="T3"/>
                              </a:cxn>
                              <a:cxn ang="0">
                                <a:pos x="T4" y="T5"/>
                              </a:cxn>
                              <a:cxn ang="0">
                                <a:pos x="T6" y="T7"/>
                              </a:cxn>
                              <a:cxn ang="0">
                                <a:pos x="T8" y="T9"/>
                              </a:cxn>
                            </a:cxnLst>
                            <a:rect l="0" t="0" r="r" b="b"/>
                            <a:pathLst>
                              <a:path w="112" h="128">
                                <a:moveTo>
                                  <a:pt x="0" y="128"/>
                                </a:moveTo>
                                <a:lnTo>
                                  <a:pt x="112" y="95"/>
                                </a:lnTo>
                                <a:lnTo>
                                  <a:pt x="0" y="64"/>
                                </a:lnTo>
                                <a:lnTo>
                                  <a:pt x="112" y="32"/>
                                </a:lnTo>
                                <a:lnTo>
                                  <a:pt x="0" y="0"/>
                                </a:lnTo>
                              </a:path>
                            </a:pathLst>
                          </a:custGeom>
                          <a:noFill/>
                          <a:ln w="0" cmpd="sng">
                            <a:solidFill>
                              <a:srgbClr val="000000"/>
                            </a:solidFill>
                            <a:round/>
                          </a:ln>
                        </wps:spPr>
                        <wps:bodyPr rot="0" vert="horz" wrap="square" lIns="91440" tIns="45720" rIns="91440" bIns="45720" anchor="t" anchorCtr="false" upright="true">
                          <a:noAutofit/>
                        </wps:bodyPr>
                      </wps:wsp>
                      <wps:wsp>
                        <wps:cNvPr id="679" name="直线 163"/>
                        <wps:cNvCnPr/>
                        <wps:spPr bwMode="auto">
                          <a:xfrm>
                            <a:off x="4355" y="2320"/>
                            <a:ext cx="1335" cy="1"/>
                          </a:xfrm>
                          <a:prstGeom prst="line">
                            <a:avLst/>
                          </a:prstGeom>
                          <a:noFill/>
                          <a:ln w="0" cmpd="sng">
                            <a:solidFill>
                              <a:srgbClr val="000000"/>
                            </a:solidFill>
                            <a:round/>
                          </a:ln>
                        </wps:spPr>
                        <wps:bodyPr/>
                      </wps:wsp>
                      <wps:wsp>
                        <wps:cNvPr id="680" name="直线 164"/>
                        <wps:cNvCnPr/>
                        <wps:spPr bwMode="auto">
                          <a:xfrm>
                            <a:off x="5376" y="3518"/>
                            <a:ext cx="314" cy="1"/>
                          </a:xfrm>
                          <a:prstGeom prst="line">
                            <a:avLst/>
                          </a:prstGeom>
                          <a:noFill/>
                          <a:ln w="0" cmpd="sng">
                            <a:solidFill>
                              <a:srgbClr val="000000"/>
                            </a:solidFill>
                            <a:round/>
                          </a:ln>
                        </wps:spPr>
                        <wps:bodyPr/>
                      </wps:wsp>
                      <wps:wsp>
                        <wps:cNvPr id="681" name="直线 165"/>
                        <wps:cNvCnPr/>
                        <wps:spPr bwMode="auto">
                          <a:xfrm>
                            <a:off x="5634" y="2320"/>
                            <a:ext cx="1" cy="1198"/>
                          </a:xfrm>
                          <a:prstGeom prst="line">
                            <a:avLst/>
                          </a:prstGeom>
                          <a:noFill/>
                          <a:ln w="0" cmpd="sng">
                            <a:solidFill>
                              <a:srgbClr val="000000"/>
                            </a:solidFill>
                            <a:round/>
                          </a:ln>
                        </wps:spPr>
                        <wps:bodyPr/>
                      </wps:wsp>
                      <wps:wsp>
                        <wps:cNvPr id="682" name="未知"/>
                        <wps:cNvSpPr/>
                        <wps:spPr bwMode="auto">
                          <a:xfrm>
                            <a:off x="5603" y="2295"/>
                            <a:ext cx="62" cy="56"/>
                          </a:xfrm>
                          <a:custGeom>
                            <a:avLst/>
                            <a:gdLst>
                              <a:gd name="T0" fmla="*/ 56 w 62"/>
                              <a:gd name="T1" fmla="*/ 56 h 56"/>
                              <a:gd name="T2" fmla="*/ 62 w 62"/>
                              <a:gd name="T3" fmla="*/ 50 h 56"/>
                              <a:gd name="T4" fmla="*/ 0 w 62"/>
                              <a:gd name="T5" fmla="*/ 0 h 56"/>
                              <a:gd name="T6" fmla="*/ 56 w 62"/>
                              <a:gd name="T7" fmla="*/ 56 h 56"/>
                            </a:gdLst>
                            <a:ahLst/>
                            <a:cxnLst>
                              <a:cxn ang="0">
                                <a:pos x="T0" y="T1"/>
                              </a:cxn>
                              <a:cxn ang="0">
                                <a:pos x="T2" y="T3"/>
                              </a:cxn>
                              <a:cxn ang="0">
                                <a:pos x="T4" y="T5"/>
                              </a:cxn>
                              <a:cxn ang="0">
                                <a:pos x="T6" y="T7"/>
                              </a:cxn>
                            </a:cxnLst>
                            <a:rect l="0" t="0" r="r" b="b"/>
                            <a:pathLst>
                              <a:path w="62" h="56">
                                <a:moveTo>
                                  <a:pt x="56" y="56"/>
                                </a:moveTo>
                                <a:lnTo>
                                  <a:pt x="62" y="50"/>
                                </a:lnTo>
                                <a:lnTo>
                                  <a:pt x="0" y="0"/>
                                </a:lnTo>
                                <a:lnTo>
                                  <a:pt x="56" y="56"/>
                                </a:lnTo>
                                <a:close/>
                              </a:path>
                            </a:pathLst>
                          </a:custGeom>
                          <a:solidFill>
                            <a:srgbClr val="000000"/>
                          </a:solidFill>
                          <a:ln>
                            <a:noFill/>
                          </a:ln>
                        </wps:spPr>
                        <wps:bodyPr rot="0" vert="horz" wrap="square" lIns="91440" tIns="45720" rIns="91440" bIns="45720" anchor="t" anchorCtr="false" upright="true">
                          <a:noAutofit/>
                        </wps:bodyPr>
                      </wps:wsp>
                      <wps:wsp>
                        <wps:cNvPr id="683" name="未知"/>
                        <wps:cNvSpPr/>
                        <wps:spPr bwMode="auto">
                          <a:xfrm>
                            <a:off x="5603" y="2290"/>
                            <a:ext cx="62" cy="55"/>
                          </a:xfrm>
                          <a:custGeom>
                            <a:avLst/>
                            <a:gdLst>
                              <a:gd name="T0" fmla="*/ 62 w 62"/>
                              <a:gd name="T1" fmla="*/ 55 h 55"/>
                              <a:gd name="T2" fmla="*/ 0 w 62"/>
                              <a:gd name="T3" fmla="*/ 5 h 55"/>
                              <a:gd name="T4" fmla="*/ 6 w 62"/>
                              <a:gd name="T5" fmla="*/ 0 h 55"/>
                              <a:gd name="T6" fmla="*/ 62 w 62"/>
                              <a:gd name="T7" fmla="*/ 55 h 55"/>
                            </a:gdLst>
                            <a:ahLst/>
                            <a:cxnLst>
                              <a:cxn ang="0">
                                <a:pos x="T0" y="T1"/>
                              </a:cxn>
                              <a:cxn ang="0">
                                <a:pos x="T2" y="T3"/>
                              </a:cxn>
                              <a:cxn ang="0">
                                <a:pos x="T4" y="T5"/>
                              </a:cxn>
                              <a:cxn ang="0">
                                <a:pos x="T6" y="T7"/>
                              </a:cxn>
                            </a:cxnLst>
                            <a:rect l="0" t="0" r="r" b="b"/>
                            <a:pathLst>
                              <a:path w="62" h="55">
                                <a:moveTo>
                                  <a:pt x="62" y="55"/>
                                </a:moveTo>
                                <a:lnTo>
                                  <a:pt x="0" y="5"/>
                                </a:lnTo>
                                <a:lnTo>
                                  <a:pt x="6" y="0"/>
                                </a:lnTo>
                                <a:lnTo>
                                  <a:pt x="62" y="55"/>
                                </a:lnTo>
                                <a:close/>
                              </a:path>
                            </a:pathLst>
                          </a:custGeom>
                          <a:solidFill>
                            <a:srgbClr val="000000"/>
                          </a:solidFill>
                          <a:ln>
                            <a:noFill/>
                          </a:ln>
                        </wps:spPr>
                        <wps:bodyPr rot="0" vert="horz" wrap="square" lIns="91440" tIns="45720" rIns="91440" bIns="45720" anchor="t" anchorCtr="false" upright="true">
                          <a:noAutofit/>
                        </wps:bodyPr>
                      </wps:wsp>
                      <wps:wsp>
                        <wps:cNvPr id="684" name="未知"/>
                        <wps:cNvSpPr/>
                        <wps:spPr bwMode="auto">
                          <a:xfrm>
                            <a:off x="5603" y="2290"/>
                            <a:ext cx="62" cy="61"/>
                          </a:xfrm>
                          <a:custGeom>
                            <a:avLst/>
                            <a:gdLst>
                              <a:gd name="T0" fmla="*/ 56 w 62"/>
                              <a:gd name="T1" fmla="*/ 61 h 61"/>
                              <a:gd name="T2" fmla="*/ 62 w 62"/>
                              <a:gd name="T3" fmla="*/ 55 h 61"/>
                              <a:gd name="T4" fmla="*/ 6 w 62"/>
                              <a:gd name="T5" fmla="*/ 0 h 61"/>
                              <a:gd name="T6" fmla="*/ 0 w 62"/>
                              <a:gd name="T7" fmla="*/ 5 h 61"/>
                              <a:gd name="T8" fmla="*/ 56 w 62"/>
                              <a:gd name="T9" fmla="*/ 61 h 61"/>
                            </a:gdLst>
                            <a:ahLst/>
                            <a:cxnLst>
                              <a:cxn ang="0">
                                <a:pos x="T0" y="T1"/>
                              </a:cxn>
                              <a:cxn ang="0">
                                <a:pos x="T2" y="T3"/>
                              </a:cxn>
                              <a:cxn ang="0">
                                <a:pos x="T4" y="T5"/>
                              </a:cxn>
                              <a:cxn ang="0">
                                <a:pos x="T6" y="T7"/>
                              </a:cxn>
                              <a:cxn ang="0">
                                <a:pos x="T8" y="T9"/>
                              </a:cxn>
                            </a:cxnLst>
                            <a:rect l="0" t="0" r="r" b="b"/>
                            <a:pathLst>
                              <a:path w="62" h="61">
                                <a:moveTo>
                                  <a:pt x="56" y="61"/>
                                </a:moveTo>
                                <a:lnTo>
                                  <a:pt x="62" y="55"/>
                                </a:lnTo>
                                <a:lnTo>
                                  <a:pt x="6" y="0"/>
                                </a:lnTo>
                                <a:lnTo>
                                  <a:pt x="0" y="5"/>
                                </a:lnTo>
                                <a:lnTo>
                                  <a:pt x="56" y="61"/>
                                </a:lnTo>
                                <a:close/>
                              </a:path>
                            </a:pathLst>
                          </a:custGeom>
                          <a:noFill/>
                          <a:ln w="0" cmpd="sng">
                            <a:solidFill>
                              <a:srgbClr val="000000"/>
                            </a:solidFill>
                            <a:round/>
                          </a:ln>
                        </wps:spPr>
                        <wps:bodyPr rot="0" vert="horz" wrap="square" lIns="91440" tIns="45720" rIns="91440" bIns="45720" anchor="t" anchorCtr="false" upright="true">
                          <a:noAutofit/>
                        </wps:bodyPr>
                      </wps:wsp>
                      <wps:wsp>
                        <wps:cNvPr id="685" name="未知"/>
                        <wps:cNvSpPr/>
                        <wps:spPr bwMode="auto">
                          <a:xfrm>
                            <a:off x="5603" y="3488"/>
                            <a:ext cx="62" cy="55"/>
                          </a:xfrm>
                          <a:custGeom>
                            <a:avLst/>
                            <a:gdLst>
                              <a:gd name="T0" fmla="*/ 6 w 62"/>
                              <a:gd name="T1" fmla="*/ 0 h 55"/>
                              <a:gd name="T2" fmla="*/ 0 w 62"/>
                              <a:gd name="T3" fmla="*/ 6 h 55"/>
                              <a:gd name="T4" fmla="*/ 62 w 62"/>
                              <a:gd name="T5" fmla="*/ 55 h 55"/>
                              <a:gd name="T6" fmla="*/ 6 w 62"/>
                              <a:gd name="T7" fmla="*/ 0 h 55"/>
                            </a:gdLst>
                            <a:ahLst/>
                            <a:cxnLst>
                              <a:cxn ang="0">
                                <a:pos x="T0" y="T1"/>
                              </a:cxn>
                              <a:cxn ang="0">
                                <a:pos x="T2" y="T3"/>
                              </a:cxn>
                              <a:cxn ang="0">
                                <a:pos x="T4" y="T5"/>
                              </a:cxn>
                              <a:cxn ang="0">
                                <a:pos x="T6" y="T7"/>
                              </a:cxn>
                            </a:cxnLst>
                            <a:rect l="0" t="0" r="r" b="b"/>
                            <a:pathLst>
                              <a:path w="62" h="55">
                                <a:moveTo>
                                  <a:pt x="6" y="0"/>
                                </a:moveTo>
                                <a:lnTo>
                                  <a:pt x="0" y="6"/>
                                </a:lnTo>
                                <a:lnTo>
                                  <a:pt x="62" y="55"/>
                                </a:lnTo>
                                <a:lnTo>
                                  <a:pt x="6" y="0"/>
                                </a:lnTo>
                                <a:close/>
                              </a:path>
                            </a:pathLst>
                          </a:custGeom>
                          <a:solidFill>
                            <a:srgbClr val="000000"/>
                          </a:solidFill>
                          <a:ln>
                            <a:noFill/>
                          </a:ln>
                        </wps:spPr>
                        <wps:bodyPr rot="0" vert="horz" wrap="square" lIns="91440" tIns="45720" rIns="91440" bIns="45720" anchor="t" anchorCtr="false" upright="true">
                          <a:noAutofit/>
                        </wps:bodyPr>
                      </wps:wsp>
                      <wps:wsp>
                        <wps:cNvPr id="686" name="未知"/>
                        <wps:cNvSpPr/>
                        <wps:spPr bwMode="auto">
                          <a:xfrm>
                            <a:off x="5603" y="3494"/>
                            <a:ext cx="62" cy="55"/>
                          </a:xfrm>
                          <a:custGeom>
                            <a:avLst/>
                            <a:gdLst>
                              <a:gd name="T0" fmla="*/ 0 w 62"/>
                              <a:gd name="T1" fmla="*/ 0 h 55"/>
                              <a:gd name="T2" fmla="*/ 62 w 62"/>
                              <a:gd name="T3" fmla="*/ 49 h 55"/>
                              <a:gd name="T4" fmla="*/ 56 w 62"/>
                              <a:gd name="T5" fmla="*/ 55 h 55"/>
                              <a:gd name="T6" fmla="*/ 0 w 62"/>
                              <a:gd name="T7" fmla="*/ 0 h 55"/>
                            </a:gdLst>
                            <a:ahLst/>
                            <a:cxnLst>
                              <a:cxn ang="0">
                                <a:pos x="T0" y="T1"/>
                              </a:cxn>
                              <a:cxn ang="0">
                                <a:pos x="T2" y="T3"/>
                              </a:cxn>
                              <a:cxn ang="0">
                                <a:pos x="T4" y="T5"/>
                              </a:cxn>
                              <a:cxn ang="0">
                                <a:pos x="T6" y="T7"/>
                              </a:cxn>
                            </a:cxnLst>
                            <a:rect l="0" t="0" r="r" b="b"/>
                            <a:pathLst>
                              <a:path w="62" h="55">
                                <a:moveTo>
                                  <a:pt x="0" y="0"/>
                                </a:moveTo>
                                <a:lnTo>
                                  <a:pt x="62" y="49"/>
                                </a:lnTo>
                                <a:lnTo>
                                  <a:pt x="56" y="55"/>
                                </a:lnTo>
                                <a:lnTo>
                                  <a:pt x="0" y="0"/>
                                </a:lnTo>
                                <a:close/>
                              </a:path>
                            </a:pathLst>
                          </a:custGeom>
                          <a:solidFill>
                            <a:srgbClr val="000000"/>
                          </a:solidFill>
                          <a:ln>
                            <a:noFill/>
                          </a:ln>
                        </wps:spPr>
                        <wps:bodyPr rot="0" vert="horz" wrap="square" lIns="91440" tIns="45720" rIns="91440" bIns="45720" anchor="t" anchorCtr="false" upright="true">
                          <a:noAutofit/>
                        </wps:bodyPr>
                      </wps:wsp>
                      <wps:wsp>
                        <wps:cNvPr id="687" name="未知"/>
                        <wps:cNvSpPr/>
                        <wps:spPr bwMode="auto">
                          <a:xfrm>
                            <a:off x="5603" y="3488"/>
                            <a:ext cx="62" cy="61"/>
                          </a:xfrm>
                          <a:custGeom>
                            <a:avLst/>
                            <a:gdLst>
                              <a:gd name="T0" fmla="*/ 6 w 62"/>
                              <a:gd name="T1" fmla="*/ 0 h 61"/>
                              <a:gd name="T2" fmla="*/ 0 w 62"/>
                              <a:gd name="T3" fmla="*/ 6 h 61"/>
                              <a:gd name="T4" fmla="*/ 56 w 62"/>
                              <a:gd name="T5" fmla="*/ 61 h 61"/>
                              <a:gd name="T6" fmla="*/ 62 w 62"/>
                              <a:gd name="T7" fmla="*/ 55 h 61"/>
                              <a:gd name="T8" fmla="*/ 6 w 62"/>
                              <a:gd name="T9" fmla="*/ 0 h 61"/>
                            </a:gdLst>
                            <a:ahLst/>
                            <a:cxnLst>
                              <a:cxn ang="0">
                                <a:pos x="T0" y="T1"/>
                              </a:cxn>
                              <a:cxn ang="0">
                                <a:pos x="T2" y="T3"/>
                              </a:cxn>
                              <a:cxn ang="0">
                                <a:pos x="T4" y="T5"/>
                              </a:cxn>
                              <a:cxn ang="0">
                                <a:pos x="T6" y="T7"/>
                              </a:cxn>
                              <a:cxn ang="0">
                                <a:pos x="T8" y="T9"/>
                              </a:cxn>
                            </a:cxnLst>
                            <a:rect l="0" t="0" r="r" b="b"/>
                            <a:pathLst>
                              <a:path w="62" h="61">
                                <a:moveTo>
                                  <a:pt x="6" y="0"/>
                                </a:moveTo>
                                <a:lnTo>
                                  <a:pt x="0" y="6"/>
                                </a:lnTo>
                                <a:lnTo>
                                  <a:pt x="56" y="61"/>
                                </a:lnTo>
                                <a:lnTo>
                                  <a:pt x="62" y="55"/>
                                </a:lnTo>
                                <a:lnTo>
                                  <a:pt x="6" y="0"/>
                                </a:lnTo>
                                <a:close/>
                              </a:path>
                            </a:pathLst>
                          </a:custGeom>
                          <a:noFill/>
                          <a:ln w="0" cmpd="sng">
                            <a:solidFill>
                              <a:srgbClr val="000000"/>
                            </a:solidFill>
                            <a:round/>
                          </a:ln>
                        </wps:spPr>
                        <wps:bodyPr rot="0" vert="horz" wrap="square" lIns="91440" tIns="45720" rIns="91440" bIns="45720" anchor="t" anchorCtr="false" upright="true">
                          <a:noAutofit/>
                        </wps:bodyPr>
                      </wps:wsp>
                      <wps:wsp>
                        <wps:cNvPr id="688" name="直线 172"/>
                        <wps:cNvCnPr/>
                        <wps:spPr bwMode="auto">
                          <a:xfrm flipH="true">
                            <a:off x="5258" y="3021"/>
                            <a:ext cx="225" cy="1"/>
                          </a:xfrm>
                          <a:prstGeom prst="line">
                            <a:avLst/>
                          </a:prstGeom>
                          <a:noFill/>
                          <a:ln w="0" cmpd="sng">
                            <a:solidFill>
                              <a:srgbClr val="000000"/>
                            </a:solidFill>
                            <a:round/>
                          </a:ln>
                        </wps:spPr>
                        <wps:bodyPr/>
                      </wps:wsp>
                      <wps:wsp>
                        <wps:cNvPr id="689" name="未知"/>
                        <wps:cNvSpPr/>
                        <wps:spPr bwMode="auto">
                          <a:xfrm>
                            <a:off x="5333" y="2904"/>
                            <a:ext cx="150" cy="117"/>
                          </a:xfrm>
                          <a:custGeom>
                            <a:avLst/>
                            <a:gdLst>
                              <a:gd name="T0" fmla="*/ 43 w 150"/>
                              <a:gd name="T1" fmla="*/ 117 h 117"/>
                              <a:gd name="T2" fmla="*/ 11 w 150"/>
                              <a:gd name="T3" fmla="*/ 85 h 117"/>
                              <a:gd name="T4" fmla="*/ 0 w 150"/>
                              <a:gd name="T5" fmla="*/ 63 h 117"/>
                              <a:gd name="T6" fmla="*/ 0 w 150"/>
                              <a:gd name="T7" fmla="*/ 32 h 117"/>
                              <a:gd name="T8" fmla="*/ 11 w 150"/>
                              <a:gd name="T9" fmla="*/ 10 h 117"/>
                              <a:gd name="T10" fmla="*/ 43 w 150"/>
                              <a:gd name="T11" fmla="*/ 0 h 117"/>
                              <a:gd name="T12" fmla="*/ 150 w 150"/>
                              <a:gd name="T13" fmla="*/ 0 h 117"/>
                            </a:gdLst>
                            <a:ahLst/>
                            <a:cxnLst>
                              <a:cxn ang="0">
                                <a:pos x="T0" y="T1"/>
                              </a:cxn>
                              <a:cxn ang="0">
                                <a:pos x="T2" y="T3"/>
                              </a:cxn>
                              <a:cxn ang="0">
                                <a:pos x="T4" y="T5"/>
                              </a:cxn>
                              <a:cxn ang="0">
                                <a:pos x="T6" y="T7"/>
                              </a:cxn>
                              <a:cxn ang="0">
                                <a:pos x="T8" y="T9"/>
                              </a:cxn>
                              <a:cxn ang="0">
                                <a:pos x="T10" y="T11"/>
                              </a:cxn>
                              <a:cxn ang="0">
                                <a:pos x="T12" y="T13"/>
                              </a:cxn>
                            </a:cxnLst>
                            <a:rect l="0" t="0" r="r" b="b"/>
                            <a:pathLst>
                              <a:path w="150" h="117">
                                <a:moveTo>
                                  <a:pt x="43" y="117"/>
                                </a:moveTo>
                                <a:lnTo>
                                  <a:pt x="11" y="85"/>
                                </a:lnTo>
                                <a:lnTo>
                                  <a:pt x="0" y="63"/>
                                </a:lnTo>
                                <a:lnTo>
                                  <a:pt x="0" y="32"/>
                                </a:lnTo>
                                <a:lnTo>
                                  <a:pt x="11" y="10"/>
                                </a:lnTo>
                                <a:lnTo>
                                  <a:pt x="43" y="0"/>
                                </a:lnTo>
                                <a:lnTo>
                                  <a:pt x="150" y="0"/>
                                </a:lnTo>
                              </a:path>
                            </a:pathLst>
                          </a:custGeom>
                          <a:noFill/>
                          <a:ln w="0" cmpd="sng">
                            <a:solidFill>
                              <a:srgbClr val="000000"/>
                            </a:solidFill>
                            <a:round/>
                          </a:ln>
                        </wps:spPr>
                        <wps:bodyPr rot="0" vert="horz" wrap="square" lIns="91440" tIns="45720" rIns="91440" bIns="45720" anchor="t" anchorCtr="false" upright="true">
                          <a:noAutofit/>
                        </wps:bodyPr>
                      </wps:wsp>
                      <wps:wsp>
                        <wps:cNvPr id="690" name="直线 174"/>
                        <wps:cNvCnPr/>
                        <wps:spPr bwMode="auto">
                          <a:xfrm>
                            <a:off x="5466" y="3073"/>
                            <a:ext cx="1" cy="134"/>
                          </a:xfrm>
                          <a:prstGeom prst="line">
                            <a:avLst/>
                          </a:prstGeom>
                          <a:noFill/>
                          <a:ln w="0" cmpd="sng">
                            <a:solidFill>
                              <a:srgbClr val="000000"/>
                            </a:solidFill>
                            <a:round/>
                          </a:ln>
                        </wps:spPr>
                        <wps:bodyPr/>
                      </wps:wsp>
                      <wps:wsp>
                        <wps:cNvPr id="691" name="直线 175"/>
                        <wps:cNvCnPr/>
                        <wps:spPr bwMode="auto">
                          <a:xfrm flipH="true" flipV="true">
                            <a:off x="5326" y="3145"/>
                            <a:ext cx="140" cy="62"/>
                          </a:xfrm>
                          <a:prstGeom prst="line">
                            <a:avLst/>
                          </a:prstGeom>
                          <a:noFill/>
                          <a:ln w="0" cmpd="sng">
                            <a:solidFill>
                              <a:srgbClr val="000000"/>
                            </a:solidFill>
                            <a:round/>
                          </a:ln>
                        </wps:spPr>
                        <wps:bodyPr/>
                      </wps:wsp>
                      <wps:wsp>
                        <wps:cNvPr id="692" name="直线 176"/>
                        <wps:cNvCnPr/>
                        <wps:spPr bwMode="auto">
                          <a:xfrm flipV="true">
                            <a:off x="5326" y="3073"/>
                            <a:ext cx="140" cy="72"/>
                          </a:xfrm>
                          <a:prstGeom prst="line">
                            <a:avLst/>
                          </a:prstGeom>
                          <a:noFill/>
                          <a:ln w="0" cmpd="sng">
                            <a:solidFill>
                              <a:srgbClr val="000000"/>
                            </a:solidFill>
                            <a:round/>
                          </a:ln>
                        </wps:spPr>
                        <wps:bodyPr/>
                      </wps:wsp>
                      <wps:wsp>
                        <wps:cNvPr id="693" name="直线 177"/>
                        <wps:cNvCnPr/>
                        <wps:spPr bwMode="auto">
                          <a:xfrm>
                            <a:off x="5417" y="1633"/>
                            <a:ext cx="1" cy="134"/>
                          </a:xfrm>
                          <a:prstGeom prst="line">
                            <a:avLst/>
                          </a:prstGeom>
                          <a:noFill/>
                          <a:ln w="0" cmpd="sng">
                            <a:solidFill>
                              <a:srgbClr val="000000"/>
                            </a:solidFill>
                            <a:round/>
                          </a:ln>
                        </wps:spPr>
                        <wps:bodyPr/>
                      </wps:wsp>
                      <wps:wsp>
                        <wps:cNvPr id="694" name="直线 178"/>
                        <wps:cNvCnPr/>
                        <wps:spPr bwMode="auto">
                          <a:xfrm flipH="true" flipV="true">
                            <a:off x="5277" y="1705"/>
                            <a:ext cx="140" cy="62"/>
                          </a:xfrm>
                          <a:prstGeom prst="line">
                            <a:avLst/>
                          </a:prstGeom>
                          <a:noFill/>
                          <a:ln w="0" cmpd="sng">
                            <a:solidFill>
                              <a:srgbClr val="000000"/>
                            </a:solidFill>
                            <a:round/>
                          </a:ln>
                        </wps:spPr>
                        <wps:bodyPr/>
                      </wps:wsp>
                      <wps:wsp>
                        <wps:cNvPr id="695" name="直线 179"/>
                        <wps:cNvCnPr/>
                        <wps:spPr bwMode="auto">
                          <a:xfrm flipV="true">
                            <a:off x="5277" y="1633"/>
                            <a:ext cx="140" cy="72"/>
                          </a:xfrm>
                          <a:prstGeom prst="line">
                            <a:avLst/>
                          </a:prstGeom>
                          <a:noFill/>
                          <a:ln w="0" cmpd="sng">
                            <a:solidFill>
                              <a:srgbClr val="000000"/>
                            </a:solidFill>
                            <a:round/>
                          </a:ln>
                        </wps:spPr>
                        <wps:bodyPr/>
                      </wps:wsp>
                      <wps:wsp>
                        <wps:cNvPr id="696" name="直线 180"/>
                        <wps:cNvCnPr/>
                        <wps:spPr bwMode="auto">
                          <a:xfrm>
                            <a:off x="135" y="3526"/>
                            <a:ext cx="5040" cy="1"/>
                          </a:xfrm>
                          <a:prstGeom prst="line">
                            <a:avLst/>
                          </a:prstGeom>
                          <a:noFill/>
                          <a:ln w="9525" cmpd="sng">
                            <a:solidFill>
                              <a:srgbClr val="000000"/>
                            </a:solidFill>
                            <a:round/>
                          </a:ln>
                        </wps:spPr>
                        <wps:bodyPr/>
                      </wps:wsp>
                      <wps:wsp>
                        <wps:cNvPr id="697" name="直线 181"/>
                        <wps:cNvCnPr/>
                        <wps:spPr bwMode="auto">
                          <a:xfrm>
                            <a:off x="4320" y="3751"/>
                            <a:ext cx="1" cy="452"/>
                          </a:xfrm>
                          <a:prstGeom prst="line">
                            <a:avLst/>
                          </a:prstGeom>
                          <a:noFill/>
                          <a:ln w="9525" cmpd="sng">
                            <a:solidFill>
                              <a:srgbClr val="000000"/>
                            </a:solidFill>
                            <a:round/>
                          </a:ln>
                        </wps:spPr>
                        <wps:bodyPr/>
                      </wps:wsp>
                      <wps:wsp>
                        <wps:cNvPr id="698" name="直线 182"/>
                        <wps:cNvCnPr/>
                        <wps:spPr bwMode="auto">
                          <a:xfrm>
                            <a:off x="4305" y="4063"/>
                            <a:ext cx="15" cy="33"/>
                          </a:xfrm>
                          <a:prstGeom prst="line">
                            <a:avLst/>
                          </a:prstGeom>
                          <a:noFill/>
                          <a:ln w="9525" cmpd="sng">
                            <a:solidFill>
                              <a:srgbClr val="000000"/>
                            </a:solidFill>
                            <a:round/>
                          </a:ln>
                        </wps:spPr>
                        <wps:bodyPr/>
                      </wps:wsp>
                      <wps:wsp>
                        <wps:cNvPr id="699" name="直线 183"/>
                        <wps:cNvCnPr/>
                        <wps:spPr bwMode="auto">
                          <a:xfrm>
                            <a:off x="2685" y="4063"/>
                            <a:ext cx="1620" cy="0"/>
                          </a:xfrm>
                          <a:prstGeom prst="line">
                            <a:avLst/>
                          </a:prstGeom>
                          <a:noFill/>
                          <a:ln w="9525" cmpd="sng">
                            <a:solidFill>
                              <a:srgbClr val="000000"/>
                            </a:solidFill>
                            <a:round/>
                          </a:ln>
                        </wps:spPr>
                        <wps:bodyPr/>
                      </wps:wsp>
                      <wps:wsp>
                        <wps:cNvPr id="700" name="直线 184"/>
                        <wps:cNvCnPr/>
                        <wps:spPr bwMode="auto">
                          <a:xfrm>
                            <a:off x="2685" y="3765"/>
                            <a:ext cx="0" cy="438"/>
                          </a:xfrm>
                          <a:prstGeom prst="line">
                            <a:avLst/>
                          </a:prstGeom>
                          <a:noFill/>
                          <a:ln w="9525" cmpd="sng">
                            <a:solidFill>
                              <a:srgbClr val="000000"/>
                            </a:solidFill>
                            <a:round/>
                          </a:ln>
                        </wps:spPr>
                        <wps:bodyPr/>
                      </wps:wsp>
                      <wps:wsp>
                        <wps:cNvPr id="701" name="直线 185"/>
                        <wps:cNvCnPr/>
                        <wps:spPr bwMode="auto">
                          <a:xfrm>
                            <a:off x="2685" y="3921"/>
                            <a:ext cx="0" cy="156"/>
                          </a:xfrm>
                          <a:prstGeom prst="line">
                            <a:avLst/>
                          </a:prstGeom>
                          <a:noFill/>
                          <a:ln w="9525" cmpd="sng">
                            <a:solidFill>
                              <a:srgbClr val="000000"/>
                            </a:solidFill>
                            <a:round/>
                          </a:ln>
                        </wps:spPr>
                        <wps:bodyPr/>
                      </wps:wsp>
                      <wps:wsp>
                        <wps:cNvPr id="702" name="直线 186"/>
                        <wps:cNvCnPr/>
                        <wps:spPr bwMode="auto">
                          <a:xfrm flipH="true">
                            <a:off x="4215" y="3989"/>
                            <a:ext cx="180" cy="156"/>
                          </a:xfrm>
                          <a:prstGeom prst="line">
                            <a:avLst/>
                          </a:prstGeom>
                          <a:noFill/>
                          <a:ln w="9525" cmpd="sng">
                            <a:solidFill>
                              <a:srgbClr val="000000"/>
                            </a:solidFill>
                            <a:round/>
                          </a:ln>
                        </wps:spPr>
                        <wps:bodyPr/>
                      </wps:wsp>
                      <wps:wsp>
                        <wps:cNvPr id="703" name="直线 187"/>
                        <wps:cNvCnPr/>
                        <wps:spPr bwMode="auto">
                          <a:xfrm flipH="true">
                            <a:off x="2625" y="3972"/>
                            <a:ext cx="135" cy="175"/>
                          </a:xfrm>
                          <a:prstGeom prst="line">
                            <a:avLst/>
                          </a:prstGeom>
                          <a:noFill/>
                          <a:ln w="9525" cmpd="sng">
                            <a:solidFill>
                              <a:srgbClr val="000000"/>
                            </a:solidFill>
                            <a:round/>
                          </a:ln>
                        </wps:spPr>
                        <wps:bodyPr/>
                      </wps:wsp>
                    </wpg:wgp>
                  </a:graphicData>
                </a:graphic>
              </wp:anchor>
            </w:drawing>
          </mc:Choice>
          <mc:Fallback>
            <w:pict>
              <v:group id="_x0000_s1026" o:spid="_x0000_s1026" o:spt="203" style="position:absolute;left:0pt;margin-left:-129.35pt;margin-top:-6.1pt;height:178.25pt;width:299.8pt;mso-position-horizontal-relative:char;mso-position-vertical-relative:line;mso-wrap-distance-left:9pt;mso-wrap-distance-right:9pt;z-index:-251651072;mso-width-relative:page;mso-height-relative:page;" coordsize="5856,4571" wrapcoords="519 15541 259 15559 259 16723 519 16753 519 21164 21081 21164 21081 16729 21096 16723 21081 15656 21081 3072 21355 1600 21081 1600 21081 436 519 436 519 15541" o:gfxdata="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">
                <o:lock v:ext="edit" aspectratio="f"/>
                <v:rect id="图片 31" o:spid="_x0000_s1026" o:spt="1" style="position:absolute;left:0;top:0;height:4571;width:5856;" filled="f" stroked="f" coordsize="21600,21600" o:gfxdata="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swAy+AAAA3AAAAA8AAAAAAAAAAQAgAAAAOAAAAGRycy9kb3ducmV2&#10;LnhtbFBLAQIUABQAAAAIAIdO4kAzLwWeOwAAADkAAAAQAAAAAAAAAAEAIAAAACMBAABkcnMvc2hh&#10;cGV4bWwueG1sUEsFBgAAAAAGAAYAWwEAAM0DAAAAAA==&#10;">
                  <v:fill on="f" focussize="0,0"/>
                  <v:stroke on="f"/>
                  <v:imagedata o:title=""/>
                  <o:lock v:ext="edit" text="t" aspectratio="t"/>
                </v:rect>
                <v:shape id="未知" o:spid="_x0000_s1026" o:spt="100" style="position:absolute;left:2517;top:361;height:38;width:19;" fillcolor="#000000" filled="t" stroked="f" coordsize="19,38" o:gfxdata="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oCma+AAAA3AAAAA8AAAAAAAAAAQAgAAAAOAAAAGRycy9kb3ducmV2&#10;LnhtbFBLAQIUABQAAAAIAIdO4kAzLwWeOwAAADkAAAAQAAAAAAAAAAEAIAAAACMBAABkcnMvc2hh&#10;cGV4bWwueG1sUEsFBgAAAAAGAAYAWwEAAM0DAAAAAA==&#10;" path="m19,19l19,38,15,37,11,36,8,33,5,30,2,27,1,23,0,19,1,15,2,11,5,7,8,4,11,2,15,0,19,0,19,19xe">
                  <v:path o:connectlocs="19,19;19,38;15,37;11,36;8,33;5,30;2,27;1,23;0,19;1,15;2,11;5,7;8,4;11,2;15,0;19,0;19,19" o:connectangles="0,0,0,0,0,0,0,0,0,0,0,0,0,0,0,0,0"/>
                  <v:fill on="t" focussize="0,0"/>
                  <v:stroke on="f"/>
                  <v:imagedata o:title=""/>
                  <o:lock v:ext="edit" aspectratio="f"/>
                </v:shape>
                <v:shape id="未知" o:spid="_x0000_s1026" o:spt="100" style="position:absolute;left:2517;top:361;height:38;width:19;" filled="f" stroked="t" coordsize="19,38" o:gfxdata="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XcCZi4AAAA3AAAAA8AAAAAAAAAAQAgAAAAOAAAAGRycy9kb3ducmV2LnhtbFBL&#10;AQIUABQAAAAIAIdO4kAzLwWeOwAAADkAAAAQAAAAAAAAAAEAIAAAAB0BAABkcnMvc2hhcGV4bWwu&#10;eG1sUEsFBgAAAAAGAAYAWwEAAMcDAAAAAA==&#10;" path="m19,38l15,37,11,36,8,33,5,30,2,27,1,23,0,19,1,15,2,11,5,7,8,4,11,2,15,0,19,0e">
                  <v:path o:connectlocs="19,38;15,37;11,36;8,33;5,30;2,27;1,23;0,19;1,15;2,11;5,7;8,4;11,2;15,0;19,0" o:connectangles="0,0,0,0,0,0,0,0,0,0,0,0,0,0,0"/>
                  <v:fill on="f" focussize="0,0"/>
                  <v:stroke weight="0pt" color="#000000" joinstyle="round"/>
                  <v:imagedata o:title=""/>
                  <o:lock v:ext="edit" aspectratio="f"/>
                </v:shape>
                <v:shape id="未知" o:spid="_x0000_s1026" o:spt="100" style="position:absolute;left:2536;top:361;height:38;width:3190;" fillcolor="#000000" filled="t" stroked="f" coordsize="3190,38" o:gfxdata="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V3qXe7AAAA3AAAAA8AAAAAAAAAAQAgAAAAOAAAAGRycy9kb3ducmV2Lnht&#10;bFBLAQIUABQAAAAIAIdO4kAzLwWeOwAAADkAAAAQAAAAAAAAAAEAIAAAACABAABkcnMvc2hhcGV4&#10;bWwueG1sUEsFBgAAAAAGAAYAWwEAAMoDAAAAAA==&#10;" path="m0,0l0,19,0,38,3190,38,3190,19,3190,0,0,0xe">
                  <v:path o:connectlocs="0,0;0,19;0,38;3190,38;3190,19;3190,0;0,0" o:connectangles="0,0,0,0,0,0,0"/>
                  <v:fill on="t" focussize="0,0"/>
                  <v:stroke on="f"/>
                  <v:imagedata o:title=""/>
                  <o:lock v:ext="edit" aspectratio="f"/>
                </v:shape>
                <v:shape id="未知" o:spid="_x0000_s1026" o:spt="100" style="position:absolute;left:2536;top:361;height:38;width:3190;" filled="f" stroked="t" coordsize="3190,38" o:gfxdata="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1bjcb0AAADcAAAADwAAAAAAAAABACAAAAA4AAAAZHJzL2Rvd25yZXYu&#10;eG1sUEsBAhQAFAAAAAgAh07iQDMvBZ47AAAAOQAAABAAAAAAAAAAAQAgAAAAIgEAAGRycy9zaGFw&#10;ZXhtbC54bWxQSwUGAAAAAAYABgBbAQAAzAMAAAAA&#10;" path="m0,0l0,19,0,38,3190,38,3190,19,3190,0,0,0xe">
                  <v:path o:connectlocs="0,0;0,19;0,38;3190,38;3190,19;3190,0;0,0" o:connectangles="0,0,0,0,0,0,0"/>
                  <v:fill on="f" focussize="0,0"/>
                  <v:stroke weight="0pt" color="#000000" joinstyle="round"/>
                  <v:imagedata o:title=""/>
                  <o:lock v:ext="edit" aspectratio="f"/>
                </v:shape>
                <v:shape id="未知" o:spid="_x0000_s1026" o:spt="100" style="position:absolute;left:5726;top:361;height:38;width:19;" fillcolor="#000000" filled="t" stroked="f" coordsize="19,38" o:gfxdata="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wUoVS+AAAA3AAAAA8AAAAAAAAAAQAgAAAAOAAAAGRycy9kb3ducmV2&#10;LnhtbFBLAQIUABQAAAAIAIdO4kAzLwWeOwAAADkAAAAQAAAAAAAAAAEAIAAAACMBAABkcnMvc2hh&#10;cGV4bWwueG1sUEsFBgAAAAAGAAYAWwEAAM0DAAAAAA==&#10;" path="m0,19l0,0,4,0,8,2,12,4,15,7,17,11,19,15,19,19,19,23,17,27,15,30,12,33,8,36,4,37,0,38,0,19xe">
                  <v:path o:connectlocs="0,19;0,0;4,0;8,2;12,4;15,7;17,11;19,15;19,19;19,23;17,27;15,30;12,33;8,36;4,37;0,38;0,19" o:connectangles="0,0,0,0,0,0,0,0,0,0,0,0,0,0,0,0,0"/>
                  <v:fill on="t" focussize="0,0"/>
                  <v:stroke on="f"/>
                  <v:imagedata o:title=""/>
                  <o:lock v:ext="edit" aspectratio="f"/>
                </v:shape>
                <v:shape id="未知" o:spid="_x0000_s1026" o:spt="100" style="position:absolute;left:5726;top:361;height:38;width:19;" filled="f" stroked="t" coordsize="19,38" o:gfxdata="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0e2or7oAAADcAAAADwAAAAAAAAABACAAAAA4AAAAZHJzL2Rvd25yZXYueG1s&#10;UEsBAhQAFAAAAAgAh07iQDMvBZ47AAAAOQAAABAAAAAAAAAAAQAgAAAAHwEAAGRycy9zaGFwZXht&#10;bC54bWxQSwUGAAAAAAYABgBbAQAAyQMAAAAA&#10;" path="m0,0l4,0,8,2,12,4,15,7,17,11,19,15,19,19,19,23,17,27,15,30,12,33,8,36,4,37,0,38e">
                  <v:path o:connectlocs="0,0;4,0;8,2;12,4;15,7;17,11;19,15;19,19;19,23;17,27;15,30;12,33;8,36;4,37;0,38" o:connectangles="0,0,0,0,0,0,0,0,0,0,0,0,0,0,0"/>
                  <v:fill on="f" focussize="0,0"/>
                  <v:stroke weight="0pt" color="#000000" joinstyle="round"/>
                  <v:imagedata o:title=""/>
                  <o:lock v:ext="edit" aspectratio="f"/>
                </v:shape>
                <v:shape id="未知" o:spid="_x0000_s1026" o:spt="100" style="position:absolute;left:2517;top:361;height:19;width:39;" fillcolor="#000000" filled="t" stroked="f" coordsize="39,19" o:gfxdata="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Ka+870AAADcAAAADwAAAAAAAAABACAAAAA4AAAAZHJzL2Rvd25yZXYu&#10;eG1sUEsBAhQAFAAAAAgAh07iQDMvBZ47AAAAOQAAABAAAAAAAAAAAQAgAAAAIgEAAGRycy9zaGFw&#10;ZXhtbC54bWxQSwUGAAAAAAYABgBbAQAAzAMAAAAA&#10;" path="m19,19l0,19,1,15,2,11,5,7,8,4,11,2,15,0,19,0,23,0,28,2,31,4,34,7,36,11,38,15,39,19,19,19xe">
                  <v:path o:connectlocs="19,19;0,19;1,15;2,11;5,7;8,4;11,2;15,0;19,0;23,0;28,2;31,4;34,7;36,11;38,15;39,19;19,19" o:connectangles="0,0,0,0,0,0,0,0,0,0,0,0,0,0,0,0,0"/>
                  <v:fill on="t" focussize="0,0"/>
                  <v:stroke on="f"/>
                  <v:imagedata o:title=""/>
                  <o:lock v:ext="edit" aspectratio="f"/>
                </v:shape>
                <v:shape id="未知" o:spid="_x0000_s1026" o:spt="100" style="position:absolute;left:2517;top:361;height:19;width:39;" filled="f" stroked="t" coordsize="39,19" o:gfxdata="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kIeGb0AAADcAAAADwAAAAAAAAABACAAAAA4AAAAZHJzL2Rvd25yZXYu&#10;eG1sUEsBAhQAFAAAAAgAh07iQDMvBZ47AAAAOQAAABAAAAAAAAAAAQAgAAAAIgEAAGRycy9zaGFw&#10;ZXhtbC54bWxQSwUGAAAAAAYABgBbAQAAzAMAAAAA&#10;" path="m0,19l1,15,2,11,5,7,8,4,11,2,15,0,19,0,23,0,28,2,31,4,34,7,36,11,38,15,39,19e">
                  <v:path o:connectlocs="0,19;1,15;2,11;5,7;8,4;11,2;15,0;19,0;23,0;28,2;31,4;34,7;36,11;38,15;39,19" o:connectangles="0,0,0,0,0,0,0,0,0,0,0,0,0,0,0"/>
                  <v:fill on="f" focussize="0,0"/>
                  <v:stroke weight="0pt" color="#000000" joinstyle="round"/>
                  <v:imagedata o:title=""/>
                  <o:lock v:ext="edit" aspectratio="f"/>
                </v:shape>
                <v:shape id="未知" o:spid="_x0000_s1026" o:spt="100" style="position:absolute;left:2517;top:380;height:3138;width:39;" fillcolor="#000000" filled="t" stroked="f" coordsize="39,3138" o:gfxdata="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WNUrvwAAANwAAAAPAAAAAAAAAAEAIAAAADgAAABkcnMvZG93bnJl&#10;di54bWxQSwECFAAUAAAACACHTuJAMy8FnjsAAAA5AAAAEAAAAAAAAAABACAAAAAkAQAAZHJzL3No&#10;YXBleG1sLnhtbFBLBQYAAAAABgAGAFsBAADOAwAAAAA=&#10;" path="m39,0l19,0,0,0,0,3138,19,3138,39,3138,39,0xe">
                  <v:path o:connectlocs="39,0;19,0;0,0;0,3138;19,3138;39,3138;39,0" o:connectangles="0,0,0,0,0,0,0"/>
                  <v:fill on="t" focussize="0,0"/>
                  <v:stroke on="f"/>
                  <v:imagedata o:title=""/>
                  <o:lock v:ext="edit" aspectratio="f"/>
                </v:shape>
                <v:shape id="未知" o:spid="_x0000_s1026" o:spt="100" style="position:absolute;left:2517;top:380;height:3138;width:39;" filled="f" stroked="t" coordsize="39,3138" o:gfxdata="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NE9nvAAAANwAAAAPAAAAAAAAAAEAIAAAADgAAABkcnMvZG93bnJldi54&#10;bWxQSwECFAAUAAAACACHTuJAMy8FnjsAAAA5AAAAEAAAAAAAAAABACAAAAAhAQAAZHJzL3NoYXBl&#10;eG1sLnhtbFBLBQYAAAAABgAGAFsBAADLAwAAAAA=&#10;" path="m39,0l19,0,0,0,0,3138,19,3138,39,3138,39,0xe">
                  <v:path o:connectlocs="39,0;19,0;0,0;0,3138;19,3138;39,3138;39,0" o:connectangles="0,0,0,0,0,0,0"/>
                  <v:fill on="f" focussize="0,0"/>
                  <v:stroke weight="0pt" color="#000000" joinstyle="round"/>
                  <v:imagedata o:title=""/>
                  <o:lock v:ext="edit" aspectratio="f"/>
                </v:shape>
                <v:shape id="未知" o:spid="_x0000_s1026" o:spt="100" style="position:absolute;left:2517;top:3518;height:19;width:39;" fillcolor="#000000" filled="t" stroked="f" coordsize="39,19" o:gfxdata="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5248L0AAADcAAAADwAAAAAAAAABACAAAAA4AAAAZHJzL2Rvd25yZXYu&#10;eG1sUEsBAhQAFAAAAAgAh07iQDMvBZ47AAAAOQAAABAAAAAAAAAAAQAgAAAAIgEAAGRycy9zaGFw&#10;ZXhtbC54bWxQSwUGAAAAAAYABgBbAQAAzAMAAAAA&#10;" path="m19,0l39,0,38,4,36,9,34,12,31,15,28,17,23,19,19,19,15,19,11,17,8,15,5,12,2,9,1,4,0,0,19,0xe">
                  <v:path o:connectlocs="19,0;39,0;38,4;36,9;34,12;31,15;28,17;23,19;19,19;15,19;11,17;8,15;5,12;2,9;1,4;0,0;19,0" o:connectangles="0,0,0,0,0,0,0,0,0,0,0,0,0,0,0,0,0"/>
                  <v:fill on="t" focussize="0,0"/>
                  <v:stroke on="f"/>
                  <v:imagedata o:title=""/>
                  <o:lock v:ext="edit" aspectratio="f"/>
                </v:shape>
                <v:shape id="未知" o:spid="_x0000_s1026" o:spt="100" style="position:absolute;left:2517;top:3518;height:19;width:39;" filled="f" stroked="t" coordsize="39,19" o:gfxdata="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w8UHLoAAADcAAAADwAAAAAAAAABACAAAAA4AAAAZHJzL2Rvd25yZXYueG1s&#10;UEsBAhQAFAAAAAgAh07iQDMvBZ47AAAAOQAAABAAAAAAAAAAAQAgAAAAHwEAAGRycy9zaGFwZXht&#10;bC54bWxQSwUGAAAAAAYABgBbAQAAyQMAAAAA&#10;" path="m39,0l38,4,36,9,34,12,31,15,28,17,23,19,19,19,15,19,11,17,8,15,5,12,2,9,1,4,0,0e">
                  <v:path o:connectlocs="39,0;38,4;36,9;34,12;31,15;28,17;23,19;19,19;15,19;11,17;8,15;5,12;2,9;1,4;0,0" o:connectangles="0,0,0,0,0,0,0,0,0,0,0,0,0,0,0"/>
                  <v:fill on="f" focussize="0,0"/>
                  <v:stroke weight="0pt" color="#000000" joinstyle="round"/>
                  <v:imagedata o:title=""/>
                  <o:lock v:ext="edit" aspectratio="f"/>
                </v:shape>
                <v:shape id="未知" o:spid="_x0000_s1026" o:spt="100" style="position:absolute;left:2517;top:3499;height:38;width:19;" fillcolor="#000000" filled="t" stroked="f" coordsize="19,38" o:gfxdata="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JirVK+AAAA3AAAAA8AAAAAAAAAAQAgAAAAOAAAAGRycy9kb3ducmV2&#10;LnhtbFBLAQIUABQAAAAIAIdO4kAzLwWeOwAAADkAAAAQAAAAAAAAAAEAIAAAACMBAABkcnMvc2hh&#10;cGV4bWwueG1sUEsFBgAAAAAGAAYAWwEAAM0DAAAAAA==&#10;" path="m19,19l19,38,15,38,11,36,8,34,5,31,2,28,1,23,0,19,1,15,2,11,5,8,8,5,11,2,15,1,19,0,19,19xe">
                  <v:path o:connectlocs="19,19;19,38;15,38;11,36;8,34;5,31;2,28;1,23;0,19;1,15;2,11;5,8;8,5;11,2;15,1;19,0;19,19" o:connectangles="0,0,0,0,0,0,0,0,0,0,0,0,0,0,0,0,0"/>
                  <v:fill on="t" focussize="0,0"/>
                  <v:stroke on="f"/>
                  <v:imagedata o:title=""/>
                  <o:lock v:ext="edit" aspectratio="f"/>
                </v:shape>
                <v:shape id="未知" o:spid="_x0000_s1026" o:spt="100" style="position:absolute;left:2517;top:3499;height:38;width:19;" filled="f" stroked="t" coordsize="19,38" o:gfxdata="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IAfWf64AAAA3AAAAA8AAAAAAAAAAQAgAAAAOAAAAGRycy9kb3ducmV2LnhtbFBL&#10;AQIUABQAAAAIAIdO4kAzLwWeOwAAADkAAAAQAAAAAAAAAAEAIAAAAB0BAABkcnMvc2hhcGV4bWwu&#10;eG1sUEsFBgAAAAAGAAYAWwEAAMcDAAAAAA==&#10;" path="m19,38l15,38,11,36,8,34,5,31,2,28,1,23,0,19,1,15,2,11,5,8,8,5,11,2,15,1,19,0e">
                  <v:path o:connectlocs="19,38;15,38;11,36;8,34;5,31;2,28;1,23;0,19;1,15;2,11;5,8;8,5;11,2;15,1;19,0" o:connectangles="0,0,0,0,0,0,0,0,0,0,0,0,0,0,0"/>
                  <v:fill on="f" focussize="0,0"/>
                  <v:stroke weight="0pt" color="#000000" joinstyle="round"/>
                  <v:imagedata o:title=""/>
                  <o:lock v:ext="edit" aspectratio="f"/>
                </v:shape>
                <v:shape id="未知" o:spid="_x0000_s1026" o:spt="100" style="position:absolute;left:2536;top:3499;height:38;width:242;" fillcolor="#000000" filled="t" stroked="f" coordsize="242,38" o:gfxdata="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e/5JvAAAANwAAAAPAAAAAAAAAAEAIAAAADgAAABkcnMvZG93bnJldi54&#10;bWxQSwECFAAUAAAACACHTuJAMy8FnjsAAAA5AAAAEAAAAAAAAAABACAAAAAhAQAAZHJzL3NoYXBl&#10;eG1sLnhtbFBLBQYAAAAABgAGAFsBAADLAwAAAAA=&#10;" path="m0,0l0,19,0,38,242,38,242,19,242,0,0,0xe">
                  <v:path o:connectlocs="0,0;0,19;0,38;242,38;242,19;242,0;0,0" o:connectangles="0,0,0,0,0,0,0"/>
                  <v:fill on="t" focussize="0,0"/>
                  <v:stroke on="f"/>
                  <v:imagedata o:title=""/>
                  <o:lock v:ext="edit" aspectratio="f"/>
                </v:shape>
                <v:shape id="未知" o:spid="_x0000_s1026" o:spt="100" style="position:absolute;left:2536;top:3499;height:38;width:242;" filled="f" stroked="t" coordsize="242,38" o:gfxdata="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yJZiL0AAADcAAAADwAAAAAAAAABACAAAAA4AAAAZHJzL2Rvd25yZXYu&#10;eG1sUEsBAhQAFAAAAAgAh07iQDMvBZ47AAAAOQAAABAAAAAAAAAAAQAgAAAAIgEAAGRycy9zaGFw&#10;ZXhtbC54bWxQSwUGAAAAAAYABgBbAQAAzAMAAAAA&#10;" path="m0,0l0,19,0,38,242,38,242,19,242,0,0,0xe">
                  <v:path o:connectlocs="0,0;0,19;0,38;242,38;242,19;242,0;0,0" o:connectangles="0,0,0,0,0,0,0"/>
                  <v:fill on="f" focussize="0,0"/>
                  <v:stroke weight="0pt" color="#000000" joinstyle="round"/>
                  <v:imagedata o:title=""/>
                  <o:lock v:ext="edit" aspectratio="f"/>
                </v:shape>
                <v:shape id="未知" o:spid="_x0000_s1026" o:spt="100" style="position:absolute;left:2778;top:3499;height:38;width:19;" fillcolor="#000000" filled="t" stroked="f" coordsize="19,38" o:gfxdata="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3mUAW+AAAA3AAAAA8AAAAAAAAAAQAgAAAAOAAAAGRycy9kb3ducmV2&#10;LnhtbFBLAQIUABQAAAAIAIdO4kAzLwWeOwAAADkAAAAQAAAAAAAAAAEAIAAAACMBAABkcnMvc2hh&#10;cGV4bWwueG1sUEsFBgAAAAAGAAYAWwEAAM0DAAAAAA==&#10;" path="m0,19l0,0,4,1,8,2,12,5,15,8,17,11,19,15,19,19,19,23,17,28,15,31,12,34,8,36,4,38,0,38,0,19xe">
                  <v:path o:connectlocs="0,19;0,0;4,1;8,2;12,5;15,8;17,11;19,15;19,19;19,23;17,28;15,31;12,34;8,36;4,38;0,38;0,19" o:connectangles="0,0,0,0,0,0,0,0,0,0,0,0,0,0,0,0,0"/>
                  <v:fill on="t" focussize="0,0"/>
                  <v:stroke on="f"/>
                  <v:imagedata o:title=""/>
                  <o:lock v:ext="edit" aspectratio="f"/>
                </v:shape>
                <v:shape id="未知" o:spid="_x0000_s1026" o:spt="100" style="position:absolute;left:2778;top:3499;height:38;width:19;" filled="f" stroked="t" coordsize="19,38" o:gfxdata="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DvqsG7AAAA3AAAAA8AAAAAAAAAAQAgAAAAOAAAAGRycy9kb3ducmV2Lnht&#10;bFBLAQIUABQAAAAIAIdO4kAzLwWeOwAAADkAAAAQAAAAAAAAAAEAIAAAACABAABkcnMvc2hhcGV4&#10;bWwueG1sUEsFBgAAAAAGAAYAWwEAAMoDAAAAAA==&#10;" path="m0,0l4,1,8,2,12,5,15,8,17,11,19,15,19,19,19,23,17,28,15,31,12,34,8,36,4,38,0,38e">
                  <v:path o:connectlocs="0,0;4,1;8,2;12,5;15,8;17,11;19,15;19,19;19,23;17,28;15,31;12,34;8,36;4,38;0,38" o:connectangles="0,0,0,0,0,0,0,0,0,0,0,0,0,0,0"/>
                  <v:fill on="f" focussize="0,0"/>
                  <v:stroke weight="0pt" color="#000000" joinstyle="round"/>
                  <v:imagedata o:title=""/>
                  <o:lock v:ext="edit" aspectratio="f"/>
                </v:shape>
                <v:shape id="未知" o:spid="_x0000_s1026" o:spt="100" style="position:absolute;left:2759;top:3518;height:19;width:38;" fillcolor="#000000" filled="t" stroked="f" coordsize="38,19" o:gfxdata="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uXnxDBAAAA3AAAAA8AAAAAAAAAAQAgAAAAOAAAAGRycy9kb3du&#10;cmV2LnhtbFBLAQIUABQAAAAIAIdO4kAzLwWeOwAAADkAAAAQAAAAAAAAAAEAIAAAACYBAABkcnMv&#10;c2hhcGV4bWwueG1sUEsFBgAAAAAGAAYAWwEAANADAAAAAA==&#10;" path="m19,0l38,0,38,4,36,9,34,12,31,15,27,17,23,19,19,19,15,19,11,17,7,15,4,12,2,9,1,4,0,0,19,0xe">
                  <v:path o:connectlocs="19,0;38,0;38,4;36,9;34,12;31,15;27,17;23,19;19,19;15,19;11,17;7,15;4,12;2,9;1,4;0,0;19,0" o:connectangles="0,0,0,0,0,0,0,0,0,0,0,0,0,0,0,0,0"/>
                  <v:fill on="t" focussize="0,0"/>
                  <v:stroke on="f"/>
                  <v:imagedata o:title=""/>
                  <o:lock v:ext="edit" aspectratio="f"/>
                </v:shape>
                <v:shape id="未知" o:spid="_x0000_s1026" o:spt="100" style="position:absolute;left:2759;top:3518;height:19;width:38;" filled="f" stroked="t" coordsize="38,19" o:gfxdata="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oWBe70AAADcAAAADwAAAAAAAAABACAAAAA4AAAAZHJzL2Rvd25yZXYu&#10;eG1sUEsBAhQAFAAAAAgAh07iQDMvBZ47AAAAOQAAABAAAAAAAAAAAQAgAAAAIgEAAGRycy9zaGFw&#10;ZXhtbC54bWxQSwUGAAAAAAYABgBbAQAAzAMAAAAA&#10;" path="m38,0l38,4,36,9,34,12,31,15,27,17,23,19,19,19,15,19,11,17,7,15,4,12,2,9,1,4,0,0e">
                  <v:path o:connectlocs="38,0;38,4;36,9;34,12;31,15;27,17;23,19;19,19;15,19;11,17;7,15;4,12;2,9;1,4;0,0" o:connectangles="0,0,0,0,0,0,0,0,0,0,0,0,0,0,0"/>
                  <v:fill on="f" focussize="0,0"/>
                  <v:stroke weight="0pt" color="#000000" joinstyle="round"/>
                  <v:imagedata o:title=""/>
                  <o:lock v:ext="edit" aspectratio="f"/>
                </v:shape>
                <v:shape id="未知" o:spid="_x0000_s1026" o:spt="100" style="position:absolute;left:2759;top:380;height:3138;width:38;" fillcolor="#000000" filled="t" stroked="f" coordsize="38,3138" o:gfxdata="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KI+K7AAAA3AAAAA8AAAAAAAAAAQAgAAAAOAAAAGRycy9kb3ducmV2Lnht&#10;bFBLAQIUABQAAAAIAIdO4kAzLwWeOwAAADkAAAAQAAAAAAAAAAEAIAAAACABAABkcnMvc2hhcGV4&#10;bWwueG1sUEsFBgAAAAAGAAYAWwEAAMoDAAAAAA==&#10;" path="m0,3138l19,3138,38,3138,38,0,19,0,0,0,0,3138xe">
                  <v:path o:connectlocs="0,3138;19,3138;38,3138;38,0;19,0;0,0;0,3138" o:connectangles="0,0,0,0,0,0,0"/>
                  <v:fill on="t" focussize="0,0"/>
                  <v:stroke on="f"/>
                  <v:imagedata o:title=""/>
                  <o:lock v:ext="edit" aspectratio="f"/>
                </v:shape>
                <v:shape id="未知" o:spid="_x0000_s1026" o:spt="100" style="position:absolute;left:2759;top:380;height:3138;width:38;" filled="f" stroked="t" coordsize="38,3138" o:gfxdata="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isBCvwAAANwAAAAPAAAAAAAAAAEAIAAAADgAAABkcnMvZG93bnJl&#10;di54bWxQSwECFAAUAAAACACHTuJAMy8FnjsAAAA5AAAAEAAAAAAAAAABACAAAAAkAQAAZHJzL3No&#10;YXBleG1sLnhtbFBLBQYAAAAABgAGAFsBAADOAwAAAAA=&#10;" path="m0,3138l19,3138,38,3138,38,0,19,0,0,0,0,3138xe">
                  <v:path o:connectlocs="0,3138;19,3138;38,3138;38,0;19,0;0,0;0,3138" o:connectangles="0,0,0,0,0,0,0"/>
                  <v:fill on="f" focussize="0,0"/>
                  <v:stroke weight="0pt" color="#000000" joinstyle="round"/>
                  <v:imagedata o:title=""/>
                  <o:lock v:ext="edit" aspectratio="f"/>
                </v:shape>
                <v:shape id="未知" o:spid="_x0000_s1026" o:spt="100" style="position:absolute;left:2759;top:361;height:19;width:38;" fillcolor="#000000" filled="t" stroked="f" coordsize="38,19" o:gfxdata="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aeRucAAAADcAAAADwAAAAAAAAABACAAAAA4AAAAZHJzL2Rvd25y&#10;ZXYueG1sUEsBAhQAFAAAAAgAh07iQDMvBZ47AAAAOQAAABAAAAAAAAAAAQAgAAAAJQEAAGRycy9z&#10;aGFwZXhtbC54bWxQSwUGAAAAAAYABgBbAQAAzwMAAAAA&#10;" path="m19,19l0,19,1,15,2,11,4,7,7,4,11,2,15,0,19,0,23,0,27,2,31,4,34,7,36,11,38,15,38,19,19,19xe">
                  <v:path o:connectlocs="19,19;0,19;1,15;2,11;4,7;7,4;11,2;15,0;19,0;23,0;27,2;31,4;34,7;36,11;38,15;38,19;19,19" o:connectangles="0,0,0,0,0,0,0,0,0,0,0,0,0,0,0,0,0"/>
                  <v:fill on="t" focussize="0,0"/>
                  <v:stroke on="f"/>
                  <v:imagedata o:title=""/>
                  <o:lock v:ext="edit" aspectratio="f"/>
                </v:shape>
                <v:shape id="未知" o:spid="_x0000_s1026" o:spt="100" style="position:absolute;left:2759;top:361;height:19;width:38;" filled="f" stroked="t" coordsize="38,19" o:gfxdata="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GcRpb0AAADcAAAADwAAAAAAAAABACAAAAA4AAAAZHJzL2Rvd25yZXYu&#10;eG1sUEsBAhQAFAAAAAgAh07iQDMvBZ47AAAAOQAAABAAAAAAAAAAAQAgAAAAIgEAAGRycy9zaGFw&#10;ZXhtbC54bWxQSwUGAAAAAAYABgBbAQAAzAMAAAAA&#10;" path="m0,19l1,15,2,11,4,7,7,4,11,2,15,0,19,0,23,0,27,2,31,4,34,7,36,11,38,15,38,19e">
                  <v:path o:connectlocs="0,19;1,15;2,11;4,7;7,4;11,2;15,0;19,0;23,0;27,2;31,4;34,7;36,11;38,15;38,19" o:connectangles="0,0,0,0,0,0,0,0,0,0,0,0,0,0,0"/>
                  <v:fill on="f" focussize="0,0"/>
                  <v:stroke weight="0pt" color="#000000" joinstyle="round"/>
                  <v:imagedata o:title=""/>
                  <o:lock v:ext="edit" aspectratio="f"/>
                </v:shape>
                <v:shape id="未知" o:spid="_x0000_s1026" o:spt="100" style="position:absolute;left:111;top:3499;height:38;width:19;" fillcolor="#000000" filled="t" stroked="f" coordsize="19,38" o:gfxdata="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dRDgu+AAAA3AAAAA8AAAAAAAAAAQAgAAAAOAAAAGRycy9kb3ducmV2&#10;LnhtbFBLAQIUABQAAAAIAIdO4kAzLwWeOwAAADkAAAAQAAAAAAAAAAEAIAAAACMBAABkcnMvc2hh&#10;cGV4bWwueG1sUEsFBgAAAAAGAAYAWwEAAM0DAAAAAA==&#10;" path="m19,19l19,38,15,38,10,36,7,34,4,31,2,28,0,23,0,19,0,15,2,11,4,8,7,5,10,2,15,1,19,0,19,19xe">
                  <v:path o:connectlocs="19,19;19,38;15,38;10,36;7,34;4,31;2,28;0,23;0,19;0,15;2,11;4,8;7,5;10,2;15,1;19,0;19,19" o:connectangles="0,0,0,0,0,0,0,0,0,0,0,0,0,0,0,0,0"/>
                  <v:fill on="t" focussize="0,0"/>
                  <v:stroke on="f"/>
                  <v:imagedata o:title=""/>
                  <o:lock v:ext="edit" aspectratio="f"/>
                </v:shape>
                <v:shape id="未知" o:spid="_x0000_s1026" o:spt="100" style="position:absolute;left:111;top:3499;height:38;width:19;" filled="f" stroked="t" coordsize="19,38" o:gfxdata="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U2PBy7AAAA3AAAAA8AAAAAAAAAAQAgAAAAOAAAAGRycy9kb3ducmV2Lnht&#10;bFBLAQIUABQAAAAIAIdO4kAzLwWeOwAAADkAAAAQAAAAAAAAAAEAIAAAACABAABkcnMvc2hhcGV4&#10;bWwueG1sUEsFBgAAAAAGAAYAWwEAAMoDAAAAAA==&#10;" path="m19,38l15,38,10,36,7,34,4,31,2,28,0,23,0,19,0,15,2,11,4,8,7,5,10,2,15,1,19,0e">
                  <v:path o:connectlocs="19,38;15,38;10,36;7,34;4,31;2,28;0,23;0,19;0,15;2,11;4,8;7,5;10,2;15,1;19,0" o:connectangles="0,0,0,0,0,0,0,0,0,0,0,0,0,0,0"/>
                  <v:fill on="f" focussize="0,0"/>
                  <v:stroke weight="0pt" color="#000000" joinstyle="round"/>
                  <v:imagedata o:title=""/>
                  <o:lock v:ext="edit" aspectratio="f"/>
                </v:shape>
                <v:shape id="未知" o:spid="_x0000_s1026" o:spt="100" style="position:absolute;left:5207;top:3499;height:38;width:19;" fillcolor="#000000" filled="t" stroked="f" coordsize="19,38" o:gfxdata="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jPNee+AAAA3AAAAA8AAAAAAAAAAQAgAAAAOAAAAGRycy9kb3ducmV2&#10;LnhtbFBLAQIUABQAAAAIAIdO4kAzLwWeOwAAADkAAAAQAAAAAAAAAAEAIAAAACMBAABkcnMvc2hh&#10;cGV4bWwueG1sUEsFBgAAAAAGAAYAWwEAAM0DAAAAAA==&#10;" path="m0,19l0,0,4,1,8,2,12,5,15,8,17,11,18,15,19,19,18,23,17,28,15,31,12,34,8,36,4,38,0,38,0,19xe">
                  <v:path o:connectlocs="0,19;0,0;4,1;8,2;12,5;15,8;17,11;18,15;19,19;18,23;17,28;15,31;12,34;8,36;4,38;0,38;0,19" o:connectangles="0,0,0,0,0,0,0,0,0,0,0,0,0,0,0,0,0"/>
                  <v:fill on="t" focussize="0,0"/>
                  <v:stroke on="f"/>
                  <v:imagedata o:title=""/>
                  <o:lock v:ext="edit" aspectratio="f"/>
                </v:shape>
                <v:shape id="未知" o:spid="_x0000_s1026" o:spt="100" style="position:absolute;left:5207;top:3499;height:38;width:19;" filled="f" stroked="t" coordsize="19,38" o:gfxdata="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qoB/C7AAAA3AAAAA8AAAAAAAAAAQAgAAAAOAAAAGRycy9kb3ducmV2Lnht&#10;bFBLAQIUABQAAAAIAIdO4kAzLwWeOwAAADkAAAAQAAAAAAAAAAEAIAAAACABAABkcnMvc2hhcGV4&#10;bWwueG1sUEsFBgAAAAAGAAYAWwEAAMoDAAAAAA==&#10;" path="m0,0l4,1,8,2,12,5,15,8,17,11,18,15,19,19,18,23,17,28,15,31,12,34,8,36,4,38,0,38e">
                  <v:path o:connectlocs="0,0;4,1;8,2;12,5;15,8;17,11;18,15;19,19;18,23;17,28;15,31;12,34;8,36;4,38;0,38" o:connectangles="0,0,0,0,0,0,0,0,0,0,0,0,0,0,0"/>
                  <v:fill on="f" focussize="0,0"/>
                  <v:stroke weight="0pt" color="#000000" joinstyle="round"/>
                  <v:imagedata o:title=""/>
                  <o:lock v:ext="edit" aspectratio="f"/>
                </v:shape>
                <v:line id="直线 60" o:spid="_x0000_s1026" o:spt="20" style="position:absolute;left:2778;top:667;height:1653;width:1409;" filled="f" stroked="t" coordsize="21600,21600" o:gfxdata="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ty+L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61" o:spid="_x0000_s1026" o:spt="20" style="position:absolute;left:2778;top:2320;flip:x;height:1198;width:1409;" filled="f" stroked="t" coordsize="21600,21600" o:gfxdata="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zQpzsAAAADcAAAADwAAAAAAAAABACAAAAA4AAAAZHJzL2Rvd25y&#10;ZXYueG1sUEsBAhQAFAAAAAgAh07iQDMvBZ47AAAAOQAAABAAAAAAAAAAAQAgAAAAJQEAAGRycy9z&#10;aGFwZXhtbC54bWxQSwUGAAAAAAYABgBbAQAAzwMAAAAA&#10;">
                  <v:fill on="f" focussize="0,0"/>
                  <v:stroke weight="0pt" color="#000000" joinstyle="round"/>
                  <v:imagedata o:title=""/>
                  <o:lock v:ext="edit" aspectratio="f"/>
                </v:line>
                <v:line id="直线 62" o:spid="_x0000_s1026" o:spt="20" style="position:absolute;left:4187;top:2320;height:139;width:117;" filled="f" stroked="t" coordsize="21600,21600" o:gfxdata="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Qt3vS+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63" o:spid="_x0000_s1026" o:spt="20" style="position:absolute;left:4435;top:2612;height:103;width:87;" filled="f" stroked="t" coordsize="21600,21600" o:gfxdata="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s+UY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64" o:spid="_x0000_s1026" o:spt="20" style="position:absolute;left:4653;top:2868;height:102;width:88;" filled="f" stroked="t" coordsize="21600,21600" o:gfxdata="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Wn1s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65" o:spid="_x0000_s1026" o:spt="20" style="position:absolute;left:4871;top:3124;height:103;width:87;" filled="f" stroked="t" coordsize="21600,21600" o:gfxdata="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sW2Pe+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66" o:spid="_x0000_s1026" o:spt="20" style="position:absolute;left:5089;top:3380;height:138;width:118;" filled="f" stroked="t" coordsize="21600,21600" o:gfxdata="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SI4xu+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67" o:spid="_x0000_s1026" o:spt="20" style="position:absolute;left:2778;top:798;height:1;width:113;" filled="f" stroked="t" coordsize="21600,21600" o:gfxdata="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Rd3aboAAADcAAAADwAAAAAAAAABACAAAAA4AAAAZHJzL2Rvd25yZXYueG1s&#10;UEsBAhQAFAAAAAgAh07iQDMvBZ47AAAAOQAAABAAAAAAAAAAAQAgAAAAHwEAAGRycy9zaGFwZXht&#10;bC54bWxQSwUGAAAAAAYABgBbAQAAyQMAAAAA&#10;">
                  <v:fill on="f" focussize="0,0"/>
                  <v:stroke weight="0pt" color="#000000" joinstyle="round"/>
                  <v:imagedata o:title=""/>
                  <o:lock v:ext="edit" aspectratio="f"/>
                </v:line>
                <v:line id="直线 68" o:spid="_x0000_s1026" o:spt="20" style="position:absolute;left:2778;top:1043;height:1;width:321;" filled="f" stroked="t" coordsize="21600,21600" o:gfxdata="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pb0vK+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69" o:spid="_x0000_s1026" o:spt="20" style="position:absolute;left:2778;top:1288;height:1;width:529;" filled="f" stroked="t" coordsize="21600,21600" o:gfxdata="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uO2y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70" o:spid="_x0000_s1026" o:spt="20" style="position:absolute;left:2778;top:1532;height:1;width:737;" filled="f" stroked="t" coordsize="21600,21600" o:gfxdata="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zuG0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71" o:spid="_x0000_s1026" o:spt="20" style="position:absolute;left:2778;top:1776;height:1;width:945;" filled="f" stroked="t" coordsize="21600,21600" o:gfxdata="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7e73U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72" o:spid="_x0000_s1026" o:spt="20" style="position:absolute;left:2778;top:2021;height:1;width:1154;" filled="f" stroked="t" coordsize="21600,21600" o:gfxdata="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Q3GE++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73" o:spid="_x0000_s1026" o:spt="20" style="position:absolute;left:2778;top:2265;height:1;width:1362;" filled="f" stroked="t" coordsize="21600,21600" o:gfxdata="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&#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QvCr7oAAADcAAAADwAAAAAAAAABACAAAAA4AAAAZHJzL2Rvd25yZXYueG1s&#10;UEsBAhQAFAAAAAgAh07iQDMvBZ47AAAAOQAAABAAAAAAAAAAAQAgAAAAHwEAAGRycy9zaGFwZXht&#10;bC54bWxQSwUGAAAAAAYABgBbAQAAyQMAAAAA&#10;">
                  <v:fill on="f" focussize="0,0"/>
                  <v:stroke weight="0pt" color="#000000" joinstyle="round"/>
                  <v:imagedata o:title=""/>
                  <o:lock v:ext="edit" aspectratio="f"/>
                </v:line>
                <v:line id="直线 74" o:spid="_x0000_s1026" o:spt="20" style="position:absolute;left:2785;top:2500;height:1;width:1186;" filled="f" stroked="t" coordsize="21600,21600" o:gfxdata="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KV+UO+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75" o:spid="_x0000_s1026" o:spt="20" style="position:absolute;left:2778;top:2754;height:1;width:899;" filled="f" stroked="t" coordsize="21600,21600" o:gfxdata="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3ZXNi+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76" o:spid="_x0000_s1026" o:spt="20" style="position:absolute;left:2778;top:2998;height:1;width:611;" filled="f" stroked="t" coordsize="21600,21600" o:gfxdata="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18YTe+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77" o:spid="_x0000_s1026" o:spt="20" style="position:absolute;left:2778;top:3243;height:1;width:324;" filled="f" stroked="t" coordsize="21600,21600" o:gfxdata="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2u/0C+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78" o:spid="_x0000_s1026" o:spt="20" style="position:absolute;left:2778;top:3488;height:1;width:36;" filled="f" stroked="t" coordsize="21600,21600" o:gfxdata="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LiWtu+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79" o:spid="_x0000_s1026" o:spt="20" style="position:absolute;left:232;top:2300;flip:x;height:1;width:2304;" filled="f" stroked="t" coordsize="21600,21600" o:gfxdata="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sjs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shape id="未知" o:spid="_x0000_s1026" o:spt="100" style="position:absolute;left:2536;top:1930;height:38;width:20;" fillcolor="#000000" filled="t" stroked="f" coordsize="20,38" o:gfxdata="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5otdsAAAADcAAAADwAAAAAAAAABACAAAAA4AAAAZHJzL2Rvd25y&#10;ZXYueG1sUEsBAhQAFAAAAAgAh07iQDMvBZ47AAAAOQAAABAAAAAAAAAAAQAgAAAAJQEAAGRycy9z&#10;aGFwZXhtbC54bWxQSwUGAAAAAAYABgBbAQAAzwMAAAAA&#10;" path="m0,19l0,0,4,1,9,2,12,4,15,7,17,11,19,15,20,19,19,23,17,27,15,30,12,33,9,36,4,37,0,38,0,19xe">
                  <v:path o:connectlocs="0,19;0,0;4,1;9,2;12,4;15,7;17,11;19,15;20,19;19,23;17,27;15,30;12,33;9,36;4,37;0,38;0,19" o:connectangles="0,0,0,0,0,0,0,0,0,0,0,0,0,0,0,0,0"/>
                  <v:fill on="t" focussize="0,0"/>
                  <v:stroke on="f"/>
                  <v:imagedata o:title=""/>
                  <o:lock v:ext="edit" aspectratio="f"/>
                </v:shape>
                <v:shape id="未知" o:spid="_x0000_s1026" o:spt="100" style="position:absolute;left:2536;top:1930;height:38;width:20;" filled="f" stroked="t" coordsize="20,38" o:gfxdata="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1NWIvAAAANwAAAAPAAAAAAAAAAEAIAAAADgAAABkcnMvZG93bnJldi54&#10;bWxQSwECFAAUAAAACACHTuJAMy8FnjsAAAA5AAAAEAAAAAAAAAABACAAAAAhAQAAZHJzL3NoYXBl&#10;eG1sLnhtbFBLBQYAAAAABgAGAFsBAADLAwAAAAA=&#10;" path="m0,0l4,1,9,2,12,4,15,7,17,11,19,15,20,19,19,23,17,27,15,30,12,33,9,36,4,37,0,38e">
                  <v:path o:connectlocs="0,0;4,1;9,2;12,4;15,7;17,11;19,15;20,19;19,23;17,27;15,30;12,33;9,36;4,37;0,38" o:connectangles="0,0,0,0,0,0,0,0,0,0,0,0,0,0,0"/>
                  <v:fill on="f" focussize="0,0"/>
                  <v:stroke weight="0pt" color="#000000" joinstyle="round"/>
                  <v:imagedata o:title=""/>
                  <o:lock v:ext="edit" aspectratio="f"/>
                </v:shape>
                <v:shape id="未知" o:spid="_x0000_s1026" o:spt="100" style="position:absolute;left:254;top:1930;height:38;width:2282;" fillcolor="#000000" filled="t" stroked="f" coordsize="2282,38" o:gfxdata="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7UD9+7AAAA3AAAAA8AAAAAAAAAAQAgAAAAOAAAAGRycy9kb3ducmV2Lnht&#10;bFBLAQIUABQAAAAIAIdO4kAzLwWeOwAAADkAAAAQAAAAAAAAAAEAIAAAACABAABkcnMvc2hhcGV4&#10;bWwueG1sUEsFBgAAAAAGAAYAWwEAAMoDAAAAAA==&#10;" path="m2282,38l2282,19,2282,0,0,0,0,19,0,38,2282,38xe">
                  <v:path o:connectlocs="2282,38;2282,19;2282,0;0,0;0,19;0,38;2282,38" o:connectangles="0,0,0,0,0,0,0"/>
                  <v:fill on="t" focussize="0,0"/>
                  <v:stroke on="f"/>
                  <v:imagedata o:title=""/>
                  <o:lock v:ext="edit" aspectratio="f"/>
                </v:shape>
                <v:shape id="未知" o:spid="_x0000_s1026" o:spt="100" style="position:absolute;left:254;top:1930;height:38;width:2282;" filled="f" stroked="t" coordsize="2282,38" o:gfxdata="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0Jm0vAAAANwAAAAPAAAAAAAAAAEAIAAAADgAAABkcnMvZG93bnJldi54&#10;bWxQSwECFAAUAAAACACHTuJAMy8FnjsAAAA5AAAAEAAAAAAAAAABACAAAAAhAQAAZHJzL3NoYXBl&#10;eG1sLnhtbFBLBQYAAAAABgAGAFsBAADLAwAAAAA=&#10;" path="m2282,38l2282,19,2282,0,0,0,0,19,0,38,2282,38xe">
                  <v:path o:connectlocs="2282,38;2282,19;2282,0;0,0;0,19;0,38;2282,38" o:connectangles="0,0,0,0,0,0,0"/>
                  <v:fill on="f" focussize="0,0"/>
                  <v:stroke weight="0pt" color="#000000" joinstyle="round"/>
                  <v:imagedata o:title=""/>
                  <o:lock v:ext="edit" aspectratio="f"/>
                </v:shape>
                <v:shape id="未知" o:spid="_x0000_s1026" o:spt="100" style="position:absolute;left:235;top:1930;height:38;width:19;" fillcolor="#000000" filled="t" stroked="f" coordsize="19,38" o:gfxdata="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xCefS+AAAA3AAAAA8AAAAAAAAAAQAgAAAAOAAAAGRycy9kb3ducmV2&#10;LnhtbFBLAQIUABQAAAAIAIdO4kAzLwWeOwAAADkAAAAQAAAAAAAAAAEAIAAAACMBAABkcnMvc2hh&#10;cGV4bWwueG1sUEsFBgAAAAAGAAYAWwEAAM0DAAAAAA==&#10;" path="m19,19l19,38,14,37,10,36,7,33,4,30,2,27,0,23,0,19,0,15,2,11,4,7,7,4,10,2,14,1,19,0,19,19xe">
                  <v:path o:connectlocs="19,19;19,38;14,37;10,36;7,33;4,30;2,27;0,23;0,19;0,15;2,11;4,7;7,4;10,2;14,1;19,0;19,19" o:connectangles="0,0,0,0,0,0,0,0,0,0,0,0,0,0,0,0,0"/>
                  <v:fill on="t" focussize="0,0"/>
                  <v:stroke on="f"/>
                  <v:imagedata o:title=""/>
                  <o:lock v:ext="edit" aspectratio="f"/>
                </v:shape>
                <v:shape id="未知" o:spid="_x0000_s1026" o:spt="100" style="position:absolute;left:235;top:1930;height:38;width:19;" filled="f" stroked="t" coordsize="19,38" o:gfxdata="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UvjvAAAANwAAAAPAAAAAAAAAAEAIAAAADgAAABkcnMvZG93bnJldi54&#10;bWxQSwECFAAUAAAACACHTuJAMy8FnjsAAAA5AAAAEAAAAAAAAAABACAAAAAhAQAAZHJzL3NoYXBl&#10;eG1sLnhtbFBLBQYAAAAABgAGAFsBAADLAwAAAAA=&#10;" path="m19,38l14,37,10,36,7,33,4,30,2,27,0,23,0,19,0,15,2,11,4,7,7,4,10,2,14,1,19,0e">
                  <v:path o:connectlocs="19,38;14,37;10,36;7,33;4,30;2,27;0,23;0,19;0,15;2,11;4,7;7,4;10,2;14,1;19,0" o:connectangles="0,0,0,0,0,0,0,0,0,0,0,0,0,0,0"/>
                  <v:fill on="f" focussize="0,0"/>
                  <v:stroke weight="0pt" color="#000000" joinstyle="round"/>
                  <v:imagedata o:title=""/>
                  <o:lock v:ext="edit" aspectratio="f"/>
                </v:shape>
                <v:line id="直线 86" o:spid="_x0000_s1026" o:spt="20" style="position:absolute;left:2476;top:2300;flip:x;height:31;width:60;" filled="f" stroked="t" coordsize="21600,21600" o:gfxdata="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5uMpD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87" o:spid="_x0000_s1026" o:spt="20" style="position:absolute;left:2175;top:2422;flip:x;height:61;width:120;" filled="f" stroked="t" coordsize="21600,21600" o:gfxdata="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9G/Y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88" o:spid="_x0000_s1026" o:spt="20" style="position:absolute;left:1874;top:2574;flip:x;height:61;width:120;" filled="f" stroked="t" coordsize="21600,21600" o:gfxdata="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a/uq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89" o:spid="_x0000_s1026" o:spt="20" style="position:absolute;left:1574;top:2727;flip:x;height:60;width:120;" filled="f" stroked="t" coordsize="21600,21600" o:gfxdata="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J14x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90" o:spid="_x0000_s1026" o:spt="20" style="position:absolute;left:1273;top:2879;flip:x;height:61;width:120;" filled="f" stroked="t" coordsize="21600,21600" o:gfxdata="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cT0R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91" o:spid="_x0000_s1026" o:spt="20" style="position:absolute;left:972;top:3031;flip:x;height:61;width:121;" filled="f" stroked="t" coordsize="21600,21600" o:gfxdata="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PZiK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92" o:spid="_x0000_s1026" o:spt="20" style="position:absolute;left:672;top:3183;flip:x;height:61;width:120;" filled="f" stroked="t" coordsize="21600,21600" o:gfxdata="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7wb9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93" o:spid="_x0000_s1026" o:spt="20" style="position:absolute;left:371;top:3336;flip:x;height:61;width:120;" filled="f" stroked="t" coordsize="21600,21600" o:gfxdata="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6OjZsAAAADcAAAADwAAAAAAAAABACAAAAA4AAAAZHJzL2Rvd25y&#10;ZXYueG1sUEsBAhQAFAAAAAgAh07iQDMvBZ47AAAAOQAAABAAAAAAAAAAAQAgAAAAJQEAAGRycy9z&#10;aGFwZXhtbC54bWxQSwUGAAAAAAYABgBbAQAAzwMAAAAA&#10;">
                  <v:fill on="f" focussize="0,0"/>
                  <v:stroke weight="0pt" color="#000000" joinstyle="round"/>
                  <v:imagedata o:title=""/>
                  <o:lock v:ext="edit" aspectratio="f"/>
                </v:line>
                <v:line id="直线 94" o:spid="_x0000_s1026" o:spt="20" style="position:absolute;left:130;top:3488;flip:x;height:30;width:61;" filled="f" stroked="t" coordsize="21600,21600" o:gfxdata="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SjsS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95" o:spid="_x0000_s1026" o:spt="20" style="position:absolute;left:4247;top:570;height:1;width:174;" filled="f" stroked="t" coordsize="21600,21600" o:gfxdata="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yT1X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96" o:spid="_x0000_s1026" o:spt="20" style="position:absolute;left:4336;top:570;flip:x;height:112;width:85;" filled="f" stroked="t" coordsize="21600,21600" o:gfxdata="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31AD+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97" o:spid="_x0000_s1026" o:spt="20" style="position:absolute;left:4247;top:570;flip:x y;height:112;width:89;" filled="f" stroked="t" coordsize="21600,21600" o:gfxdata="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HgoL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98" o:spid="_x0000_s1026" o:spt="20" style="position:absolute;left:4203;top:682;height:1;width:266;" filled="f" stroked="t" coordsize="21600,21600" o:gfxdata="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yJLJ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99" o:spid="_x0000_s1026" o:spt="20" style="position:absolute;left:4237;top:707;height:1;width:196;" filled="f" stroked="t" coordsize="21600,21600" o:gfxdata="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hDdS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00" o:spid="_x0000_s1026" o:spt="20" style="position:absolute;left:4285;top:735;height:1;width:96;" filled="f" stroked="t" coordsize="21600,21600" o:gfxdata="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ZwgS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01" o:spid="_x0000_s1026" o:spt="20" style="position:absolute;left:1756;top:2188;height:1;width:175;" filled="f" stroked="t" coordsize="21600,21600" o:gfxdata="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8K62J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02" o:spid="_x0000_s1026" o:spt="20" style="position:absolute;left:1845;top:2188;flip:x;height:112;width:86;" filled="f" stroked="t" coordsize="21600,21600" o:gfxdata="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NpAg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03" o:spid="_x0000_s1026" o:spt="20" style="position:absolute;left:1756;top:2188;flip:x y;height:112;width:89;" filled="f" stroked="t" coordsize="21600,21600" o:gfxdata="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Nwfr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04" o:spid="_x0000_s1026" o:spt="20" style="position:absolute;left:1713;top:2300;height:1;width:265;" filled="f" stroked="t" coordsize="21600,21600" o:gfxdata="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cDhG+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105" o:spid="_x0000_s1026" o:spt="20" style="position:absolute;left:1747;top:2325;height:1;width:196;" filled="f" stroked="t" coordsize="21600,21600" o:gfxdata="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EKuK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06" o:spid="_x0000_s1026" o:spt="20" style="position:absolute;left:1795;top:2353;height:1;width:95;" filled="f" stroked="t" coordsize="21600,21600" o:gfxdata="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wjX9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shape id="未知" o:spid="_x0000_s1026" o:spt="100" style="position:absolute;left:2753;top:4093;height:62;width:56;" fillcolor="#000000" filled="t" stroked="f" coordsize="56,62" o:gfxdata="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YW0ccAAAADcAAAADwAAAAAAAAABACAAAAA4AAAAZHJzL2Rvd25y&#10;ZXYueG1sUEsBAhQAFAAAAAgAh07iQDMvBZ47AAAAOQAAABAAAAAAAAAAAQAgAAAAJQEAAGRycy9z&#10;aGFwZXhtbC54bWxQSwUGAAAAAAYABgBbAQAAzwMAAAAA&#10;" path="m56,6l50,0,0,62,56,6xe">
                  <v:path o:connectlocs="56,6;50,0;0,62;56,6" o:connectangles="0,0,0,0"/>
                  <v:fill on="t" focussize="0,0"/>
                  <v:stroke on="f"/>
                  <v:imagedata o:title=""/>
                  <o:lock v:ext="edit" aspectratio="f"/>
                </v:shape>
                <v:shape id="未知" o:spid="_x0000_s1026" o:spt="100" style="position:absolute;left:4114;top:4141;height:62;width:56;" fillcolor="#000000" filled="t" stroked="f" coordsize="56,62" o:gfxdata="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GiADvAAAANwAAAAPAAAAAAAAAAEAIAAAADgAAABkcnMvZG93bnJldi54&#10;bWxQSwECFAAUAAAACACHTuJAMy8FnjsAAAA5AAAAEAAAAAAAAAABACAAAAAhAQAAZHJzL3NoYXBl&#10;eG1sLnhtbFBLBQYAAAAABgAGAFsBAADLAwAAAAA=&#10;" path="m0,62l50,0,56,6,0,62xe">
                  <v:path o:connectlocs="0,62;50,0;56,6;0,62" o:connectangles="0,0,0,0"/>
                  <v:fill on="t" focussize="0,0"/>
                  <v:stroke on="f"/>
                  <v:imagedata o:title=""/>
                  <o:lock v:ext="edit" aspectratio="f"/>
                </v:shape>
                <v:shape id="未知" o:spid="_x0000_s1026" o:spt="100" style="position:absolute;left:3218;top:3794;height:168;width:112;" filled="f" stroked="t" coordsize="112,168" o:gfxdata="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PmvR++AAAA3AAAAA8AAAAAAAAAAQAgAAAAOAAAAGRycy9kb3ducmV2&#10;LnhtbFBLAQIUABQAAAAIAIdO4kAzLwWeOwAAADkAAAAQAAAAAAAAAAEAIAAAACMBAABkcnMvc2hh&#10;cGV4bWwueG1sUEsFBgAAAAAGAAYAWwEAAM0DAAAAAA==&#10;" path="m0,168l0,0,72,0,96,8,104,16,112,32,112,56,104,72,96,80,72,88,0,88e">
                  <v:path o:connectlocs="0,168;0,0;72,0;96,8;104,16;112,32;112,56;104,72;96,80;72,88;0,88" o:connectangles="0,0,0,0,0,0,0,0,0,0,0"/>
                  <v:fill on="f" focussize="0,0"/>
                  <v:stroke weight="0pt" color="#000000" joinstyle="round"/>
                  <v:imagedata o:title=""/>
                  <o:lock v:ext="edit" aspectratio="f"/>
                </v:shape>
                <v:shape id="未知" o:spid="_x0000_s1026" o:spt="100" style="position:absolute;left:3386;top:3850;height:112;width:129;" filled="f" stroked="t" coordsize="129,112" o:gfxdata="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mfKpG7AAAA3AAAAA8AAAAAAAAAAQAgAAAAOAAAAGRycy9kb3ducmV2Lnht&#10;bFBLAQIUABQAAAAIAIdO4kAzLwWeOwAAADkAAAAQAAAAAAAAAAEAIAAAACABAABkcnMvc2hhcGV4&#10;bWwueG1sUEsFBgAAAAAGAAYAWwEAAMoDAAAAAA==&#10;" path="m0,0l32,112,65,0,97,112,129,0e">
                  <v:path o:connectlocs="0,0;32,112;65,0;97,112;129,0" o:connectangles="0,0,0,0,0"/>
                  <v:fill on="f" focussize="0,0"/>
                  <v:stroke weight="0pt" color="#000000" joinstyle="round"/>
                  <v:imagedata o:title=""/>
                  <o:lock v:ext="edit" aspectratio="f"/>
                </v:shape>
                <v:line id="直线 111" o:spid="_x0000_s1026" o:spt="20" style="position:absolute;left:4131;top:466;flip:y;height:6;width:5;" filled="f" stroked="t" coordsize="21600,21600" o:gfxdata="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MX5w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12" o:spid="_x0000_s1026" o:spt="20" style="position:absolute;left:4216;top:380;flip:y;height:7;width:8;" filled="f" stroked="t" coordsize="21600,21600" o:gfxdata="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4+AH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13" o:spid="_x0000_s1026" o:spt="20" style="position:absolute;left:4272;top:380;flip:y;height:110;width:110;" filled="f" stroked="t" coordsize="21600,21600" o:gfxdata="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r0Wc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14" o:spid="_x0000_s1026" o:spt="20" style="position:absolute;left:4432;top:466;flip:y;height:23;width:23;" filled="f" stroked="t" coordsize="21600,21600" o:gfxdata="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Rt3o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15" o:spid="_x0000_s1026" o:spt="20" style="position:absolute;left:4534;top:380;flip:y;height:7;width:8;" filled="f" stroked="t" coordsize="21600,21600" o:gfxdata="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Cnhz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16" o:spid="_x0000_s1026" o:spt="20" style="position:absolute;left:4591;top:380;flip:y;height:109;width:110;" filled="f" stroked="t" coordsize="21600,21600" o:gfxdata="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2OYE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17" o:spid="_x0000_s1026" o:spt="20" style="position:absolute;left:4751;top:466;flip:y;height:22;width:22;" filled="f" stroked="t" coordsize="21600,21600" o:gfxdata="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JRDn8AAAADcAAAADwAAAAAAAAABACAAAAA4AAAAZHJzL2Rvd25y&#10;ZXYueG1sUEsBAhQAFAAAAAgAh07iQDMvBZ47AAAAOQAAABAAAAAAAAAAAQAgAAAAJQEAAGRycy9z&#10;aGFwZXhtbC54bWxQSwUGAAAAAAYABgBbAQAAzwMAAAAA&#10;">
                  <v:fill on="f" focussize="0,0"/>
                  <v:stroke weight="0pt" color="#000000" joinstyle="round"/>
                  <v:imagedata o:title=""/>
                  <o:lock v:ext="edit" aspectratio="f"/>
                </v:line>
                <v:line id="直线 118" o:spid="_x0000_s1026" o:spt="20" style="position:absolute;left:4852;top:380;flip:y;height:7;width:8;" filled="f" stroked="t" coordsize="21600,21600" o:gfxdata="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Dcre+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119" o:spid="_x0000_s1026" o:spt="20" style="position:absolute;left:4910;top:380;flip:y;height:108;width:109;" filled="f" stroked="t" coordsize="21600,21600" o:gfxdata="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R7MC+AAAA3AAAAA8AAAAAAAAAAQAgAAAAOAAAAGRycy9kb3ducmV2&#10;LnhtbFBLAQIUABQAAAAIAIdO4kAzLwWeOwAAADkAAAAQAAAAAAAAAAEAIAAAACMBAABkcnMvc2hh&#10;cGV4bWwueG1sUEsFBgAAAAAGAAYAWwEAAM0DAAAAAA==&#10;">
                  <v:fill on="f" focussize="0,0"/>
                  <v:stroke weight="0pt" color="#000000" joinstyle="round"/>
                  <v:imagedata o:title=""/>
                  <o:lock v:ext="edit" aspectratio="f"/>
                </v:line>
                <v:line id="直线 120" o:spid="_x0000_s1026" o:spt="20" style="position:absolute;left:5070;top:466;flip:y;height:21;width:21;" filled="f" stroked="t" coordsize="21600,21600" o:gfxdata="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nUlb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21" o:spid="_x0000_s1026" o:spt="20" style="position:absolute;left:5171;top:380;flip:y;height:7;width:7;" filled="f" stroked="t" coordsize="21600,21600" o:gfxdata="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dNEv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22" o:spid="_x0000_s1026" o:spt="20" style="position:absolute;left:5230;top:380;flip:y;height:107;width:107;" filled="f" stroked="t" coordsize="21600,21600" o:gfxdata="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OHS0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23" o:spid="_x0000_s1026" o:spt="20" style="position:absolute;left:5389;top:466;flip:y;height:20;width:20;" filled="f" stroked="t" coordsize="21600,21600" o:gfxdata="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I52yq7AAAA3AAAAA8AAAAAAAAAAQAgAAAAOAAAAGRycy9kb3ducmV2Lnht&#10;bFBLAQIUABQAAAAIAIdO4kAzLwWeOwAAADkAAAAQAAAAAAAAAAEAIAAAACABAABkcnMvc2hhcGV4&#10;bWwueG1sUEsFBgAAAAAGAAYAWwEAAMoDAAAAAA==&#10;">
                  <v:fill on="f" focussize="0,0"/>
                  <v:stroke weight="0pt" color="#000000" joinstyle="round"/>
                  <v:imagedata o:title=""/>
                  <o:lock v:ext="edit" aspectratio="f"/>
                </v:line>
                <v:line id="直线 124" o:spid="_x0000_s1026" o:spt="20" style="position:absolute;left:4131;top:461;flip:x y;height:29;width:30;" filled="f" stroked="t" coordsize="21600,21600" o:gfxdata="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vw7dL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25" o:spid="_x0000_s1026" o:spt="20" style="position:absolute;left:4209;top:380;flip:x y;height:86;width:87;" filled="f" stroked="t" coordsize="21600,21600" o:gfxdata="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&#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iHwQ0uQAAANwAAAAPAAAAAAAAAAEAIAAAADgAAABkcnMvZG93bnJldi54bWxQ&#10;SwECFAAUAAAACACHTuJAMy8FnjsAAAA5AAAAEAAAAAAAAAABACAAAAAeAQAAZHJzL3NoYXBleG1s&#10;LnhtbFBLBQYAAAAABgAGAFsBAADIAwAAAAA=&#10;">
                  <v:fill on="f" focussize="0,0"/>
                  <v:stroke weight="0pt" color="#000000" joinstyle="round"/>
                  <v:imagedata o:title=""/>
                  <o:lock v:ext="edit" aspectratio="f"/>
                </v:line>
                <v:line id="直线 126" o:spid="_x0000_s1026" o:spt="20" style="position:absolute;left:4375;top:387;flip:x y;height:102;width:103;" filled="f" stroked="t" coordsize="21600,21600" o:gfxdata="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U6Gv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27" o:spid="_x0000_s1026" o:spt="20" style="position:absolute;left:4527;top:380;flip:x y;height:86;width:87;" filled="f" stroked="t" coordsize="21600,21600" o:gfxdata="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&#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qiUpVuQAAANwAAAAPAAAAAAAAAAEAIAAAADgAAABkcnMvZG93bnJldi54bWxQ&#10;SwECFAAUAAAACACHTuJAMy8FnjsAAAA5AAAAEAAAAAAAAAABACAAAAAeAQAAZHJzL3NoYXBleG1s&#10;LnhtbFBLBQYAAAAABgAGAFsBAADIAwAAAAA=&#10;">
                  <v:fill on="f" focussize="0,0"/>
                  <v:stroke weight="0pt" color="#000000" joinstyle="round"/>
                  <v:imagedata o:title=""/>
                  <o:lock v:ext="edit" aspectratio="f"/>
                </v:line>
                <v:line id="直线 128" o:spid="_x0000_s1026" o:spt="20" style="position:absolute;left:4693;top:387;flip:x y;height:101;width:102;" filled="f" stroked="t" coordsize="21600,21600" o:gfxdata="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Fxe/O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29" o:spid="_x0000_s1026" o:spt="20" style="position:absolute;left:4845;top:380;flip:x y;height:86;width:87;" filled="f" stroked="t" coordsize="21600,21600" o:gfxdata="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F3G5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30" o:spid="_x0000_s1026" o:spt="20" style="position:absolute;left:5011;top:387;flip:x y;height:100;width:101;" filled="f" stroked="t" coordsize="21600,21600" o:gfxdata="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vUIr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31" o:spid="_x0000_s1026" o:spt="20" style="position:absolute;left:5163;top:380;flip:x y;height:86;width:87;" filled="f" stroked="t" coordsize="21600,21600" o:gfxdata="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skxW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32" o:spid="_x0000_s1026" o:spt="20" style="position:absolute;left:5330;top:387;flip:x y;height:99;width:99;" filled="f" stroked="t" coordsize="21600,21600" o:gfxdata="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7pzb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33" o:spid="_x0000_s1026" o:spt="20" style="position:absolute;left:253;top:1949;flip:y;height:4;width:4;" filled="f" stroked="t" coordsize="21600,21600" o:gfxdata="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pTJ/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34" o:spid="_x0000_s1026" o:spt="20" style="position:absolute;left:294;top:2047;flip:y;height:23;width:24;" filled="f" stroked="t" coordsize="21600,21600" o:gfxdata="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umX5MAAAADcAAAADwAAAAAAAAABACAAAAA4AAAAZHJzL2Rvd25y&#10;ZXYueG1sUEsBAhQAFAAAAAgAh07iQDMvBZ47AAAAOQAAABAAAAAAAAAAAQAgAAAAJQEAAGRycy9z&#10;aGFwZXhtbC54bWxQSwUGAAAAAAYABgBbAQAAzwMAAAAA&#10;">
                  <v:fill on="f" focussize="0,0"/>
                  <v:stroke weight="0pt" color="#000000" joinstyle="round"/>
                  <v:imagedata o:title=""/>
                  <o:lock v:ext="edit" aspectratio="f"/>
                </v:line>
                <v:line id="直线 135" o:spid="_x0000_s1026" o:spt="20" style="position:absolute;left:398;top:1949;flip:y;height:19;width:18;" filled="f" stroked="t" coordsize="21600,21600" o:gfxdata="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dgOW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36" o:spid="_x0000_s1026" o:spt="20" style="position:absolute;left:455;top:1949;flip:y;height:120;width:120;" filled="f" stroked="t" coordsize="21600,21600" o:gfxdata="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DqmDcAAAADcAAAADwAAAAAAAAABACAAAAA4AAAAZHJzL2Rvd25y&#10;ZXYueG1sUEsBAhQAFAAAAAgAh07iQDMvBZ47AAAAOQAAABAAAAAAAAAAAQAgAAAAJQEAAGRycy9z&#10;aGFwZXhtbC54bWxQSwUGAAAAAAYABgBbAQAAzwMAAAAA&#10;">
                  <v:fill on="f" focussize="0,0"/>
                  <v:stroke weight="0pt" color="#000000" joinstyle="round"/>
                  <v:imagedata o:title=""/>
                  <o:lock v:ext="edit" aspectratio="f"/>
                </v:line>
                <v:line id="直线 137" o:spid="_x0000_s1026" o:spt="20" style="position:absolute;left:615;top:2047;flip:y;height:21;width:21;" filled="f" stroked="t" coordsize="21600,21600" o:gfxdata="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TZmU27AAAA3AAAAA8AAAAAAAAAAQAgAAAAOAAAAGRycy9kb3ducmV2Lnht&#10;bFBLAQIUABQAAAAIAIdO4kAzLwWeOwAAADkAAAAQAAAAAAAAAAEAIAAAACABAABkcnMvc2hhcGV4&#10;bWwueG1sUEsFBgAAAAAGAAYAWwEAAMoDAAAAAA==&#10;">
                  <v:fill on="f" focussize="0,0"/>
                  <v:stroke weight="0pt" color="#000000" joinstyle="round"/>
                  <v:imagedata o:title=""/>
                  <o:lock v:ext="edit" aspectratio="f"/>
                </v:line>
                <v:line id="直线 138" o:spid="_x0000_s1026" o:spt="20" style="position:absolute;left:716;top:1949;flip:y;height:19;width:18;" filled="f" stroked="t" coordsize="21600,21600" o:gfxdata="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lTzW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39" o:spid="_x0000_s1026" o:spt="20" style="position:absolute;left:776;top:1949;flip:y;height:117;width:117;" filled="f" stroked="t" coordsize="21600,21600" o:gfxdata="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R6Kh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40" o:spid="_x0000_s1026" o:spt="20" style="position:absolute;left:936;top:2047;flip:y;height:18;width:19;" filled="f" stroked="t" coordsize="21600,21600" o:gfxdata="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Cwc6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41" o:spid="_x0000_s1026" o:spt="20" style="position:absolute;left:1034;top:1949;flip:y;height:19;width:19;" filled="f" stroked="t" coordsize="21600,21600" o:gfxdata="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4p9O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42" o:spid="_x0000_s1026" o:spt="20" style="position:absolute;left:1097;top:1949;flip:y;height:114;width:115;" filled="f" stroked="t" coordsize="21600,21600" o:gfxdata="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rjrV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43" o:spid="_x0000_s1026" o:spt="20" style="position:absolute;left:1258;top:2047;flip:y;height:15;width:15;" filled="f" stroked="t" coordsize="21600,21600" o:gfxdata="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fKSi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44" o:spid="_x0000_s1026" o:spt="20" style="position:absolute;left:253;top:1982;flip:x y;height:88;width:88;" filled="f" stroked="t" coordsize="21600,21600" o:gfxdata="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LlE/L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45" o:spid="_x0000_s1026" o:spt="20" style="position:absolute;left:379;top:1949;flip:x y;height:98;width:98;" filled="f" stroked="t" coordsize="21600,21600" o:gfxdata="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&#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RJtCOuQAAANwAAAAPAAAAAAAAAAEAIAAAADgAAABkcnMvZG93bnJldi54bWxQ&#10;SwECFAAUAAAACACHTuJAMy8FnjsAAAA5AAAAEAAAAAAAAAABACAAAAAeAQAAZHJzL3NoYXBleG1s&#10;LnhtbFBLBQYAAAAABgAGAFsBAADIAwAAAAA=&#10;">
                  <v:fill on="f" focussize="0,0"/>
                  <v:stroke weight="0pt" color="#000000" joinstyle="round"/>
                  <v:imagedata o:title=""/>
                  <o:lock v:ext="edit" aspectratio="f"/>
                </v:line>
                <v:line id="直线 146" o:spid="_x0000_s1026" o:spt="20" style="position:absolute;left:557;top:1968;flip:x y;height:99;width:100;" filled="f" stroked="t" coordsize="21600,21600" o:gfxdata="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mp1Fb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47" o:spid="_x0000_s1026" o:spt="20" style="position:absolute;left:697;top:1949;flip:x y;height:98;width:98;" filled="f" stroked="t" coordsize="21600,21600" o:gfxdata="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&#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hPBY1uQAAANwAAAAPAAAAAAAAAAEAIAAAADgAAABkcnMvZG93bnJldi54bWxQ&#10;SwECFAAUAAAACACHTuJAMy8FnjsAAAA5AAAAEAAAAAAAAAABACAAAAAeAQAAZHJzL3NoYXBleG1s&#10;LnhtbFBLBQYAAAAABgAGAFsBAADIAwAAAAA=&#10;">
                  <v:fill on="f" focussize="0,0"/>
                  <v:stroke weight="0pt" color="#000000" joinstyle="round"/>
                  <v:imagedata o:title=""/>
                  <o:lock v:ext="edit" aspectratio="f"/>
                </v:line>
                <v:line id="直线 148" o:spid="_x0000_s1026" o:spt="20" style="position:absolute;left:875;top:1968;flip:x y;height:96;width:97;" filled="f" stroked="t" coordsize="21600,21600" o:gfxdata="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cLOu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49" o:spid="_x0000_s1026" o:spt="20" style="position:absolute;left:1015;top:1949;flip:x y;height:98;width:98;" filled="f" stroked="t" coordsize="21600,21600" o:gfxdata="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i3Z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50" o:spid="_x0000_s1026" o:spt="20" style="position:absolute;left:1193;top:1968;flip:x y;height:93;width:94;" filled="f" stroked="t" coordsize="21600,21600" o:gfxdata="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e6IQr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51" o:spid="_x0000_s1026" o:spt="20" style="position:absolute;left:4524;top:2320;height:1;width:1163;" filled="f" stroked="t" coordsize="21600,21600" o:gfxdata="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QfYt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52" o:spid="_x0000_s1026" o:spt="20" style="position:absolute;left:4504;top:682;height:1;width:1183;" filled="f" stroked="t" coordsize="21600,21600" o:gfxdata="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DVO2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53" o:spid="_x0000_s1026" o:spt="20" style="position:absolute;left:5631;top:682;flip:y;height:1638;width:1;" filled="f" stroked="t" coordsize="21600,21600" o:gfxdata="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EG4f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shape id="未知" o:spid="_x0000_s1026" o:spt="100" style="position:absolute;left:5599;top:2290;height:55;width:63;" fillcolor="#000000" filled="t" stroked="f" coordsize="63,55" o:gfxdata="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2fSCG+AAAA3AAAAA8AAAAAAAAAAQAgAAAAOAAAAGRycy9kb3ducmV2&#10;LnhtbFBLAQIUABQAAAAIAIdO4kAzLwWeOwAAADkAAAAQAAAAAAAAAAEAIAAAACMBAABkcnMvc2hh&#10;cGV4bWwueG1sUEsFBgAAAAAGAAYAWwEAAM0DAAAAAA==&#10;" path="m6,0l0,5,63,55,6,0xe">
                  <v:path o:connectlocs="6,0;0,5;63,55;6,0" o:connectangles="0,0,0,0"/>
                  <v:fill on="t" focussize="0,0"/>
                  <v:stroke on="f"/>
                  <v:imagedata o:title=""/>
                  <o:lock v:ext="edit" aspectratio="f"/>
                </v:shape>
                <v:shape id="未知" o:spid="_x0000_s1026" o:spt="100" style="position:absolute;left:5599;top:2295;height:56;width:63;" fillcolor="#000000" filled="t" stroked="f" coordsize="63,56" o:gfxdata="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Uu216uQAAANwAAAAPAAAAAAAAAAEAIAAAADgAAABkcnMvZG93bnJldi54bWxQ&#10;SwECFAAUAAAACACHTuJAMy8FnjsAAAA5AAAAEAAAAAAAAAABACAAAAAeAQAAZHJzL3NoYXBleG1s&#10;LnhtbFBLBQYAAAAABgAGAFsBAADIAwAAAAA=&#10;" path="m0,0l63,50,57,56,0,0xe">
                  <v:path o:connectlocs="0,0;63,50;57,56;0,0" o:connectangles="0,0,0,0"/>
                  <v:fill on="t" focussize="0,0"/>
                  <v:stroke on="f"/>
                  <v:imagedata o:title=""/>
                  <o:lock v:ext="edit" aspectratio="f"/>
                </v:shape>
                <v:shape id="未知" o:spid="_x0000_s1026" o:spt="100" style="position:absolute;left:5599;top:2290;height:61;width:63;" filled="f" stroked="t" coordsize="63,61" o:gfxdata="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oSmOq+AAAA3AAAAA8AAAAAAAAAAQAgAAAAOAAAAGRycy9kb3ducmV2&#10;LnhtbFBLAQIUABQAAAAIAIdO4kAzLwWeOwAAADkAAAAQAAAAAAAAAAEAIAAAACMBAABkcnMvc2hh&#10;cGV4bWwueG1sUEsFBgAAAAAGAAYAWwEAAM0DAAAAAA==&#10;" path="m6,0l0,5,57,61,63,55,6,0xe">
                  <v:path o:connectlocs="6,0;0,5;57,61;63,55;6,0" o:connectangles="0,0,0,0,0"/>
                  <v:fill on="f" focussize="0,0"/>
                  <v:stroke weight="0pt" color="#000000" joinstyle="round"/>
                  <v:imagedata o:title=""/>
                  <o:lock v:ext="edit" aspectratio="f"/>
                </v:shape>
                <v:shape id="未知" o:spid="_x0000_s1026" o:spt="100" style="position:absolute;left:5599;top:657;height:56;width:63;" fillcolor="#000000" filled="t" stroked="f" coordsize="63,56" o:gfxdata="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&#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vFPehuQAAANwAAAAPAAAAAAAAAAEAIAAAADgAAABkcnMvZG93bnJldi54bWxQ&#10;SwECFAAUAAAACACHTuJAMy8FnjsAAAA5AAAAEAAAAAAAAAABACAAAAAeAQAAZHJzL3NoYXBleG1s&#10;LnhtbFBLBQYAAAAABgAGAFsBAADIAwAAAAA=&#10;" path="m57,56l63,50,0,0,57,56xe">
                  <v:path o:connectlocs="57,56;63,50;0,0;57,56" o:connectangles="0,0,0,0"/>
                  <v:fill on="t" focussize="0,0"/>
                  <v:stroke on="f"/>
                  <v:imagedata o:title=""/>
                  <o:lock v:ext="edit" aspectratio="f"/>
                </v:shape>
                <v:shape id="未知" o:spid="_x0000_s1026" o:spt="100" style="position:absolute;left:5599;top:651;height:56;width:63;" fillcolor="#000000" filled="t" stroked="f" coordsize="63,56" o:gfxdata="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Av8aK+AAAA3AAAAA8AAAAAAAAAAQAgAAAAOAAAAGRycy9kb3ducmV2&#10;LnhtbFBLAQIUABQAAAAIAIdO4kAzLwWeOwAAADkAAAAQAAAAAAAAAAEAIAAAACMBAABkcnMvc2hh&#10;cGV4bWwueG1sUEsFBgAAAAAGAAYAWwEAAM0DAAAAAA==&#10;" path="m63,56l0,6,6,0,63,56xe">
                  <v:path o:connectlocs="63,56;0,6;6,0;63,56" o:connectangles="0,0,0,0"/>
                  <v:fill on="t" focussize="0,0"/>
                  <v:stroke on="f"/>
                  <v:imagedata o:title=""/>
                  <o:lock v:ext="edit" aspectratio="f"/>
                </v:shape>
                <v:shape id="未知" o:spid="_x0000_s1026" o:spt="100" style="position:absolute;left:5599;top:651;height:62;width:63;" filled="f" stroked="t" coordsize="63,62" o:gfxdata="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09dgS7AAAA3AAAAA8AAAAAAAAAAQAgAAAAOAAAAGRycy9kb3ducmV2Lnht&#10;bFBLAQIUABQAAAAIAIdO4kAzLwWeOwAAADkAAAAQAAAAAAAAAAEAIAAAACABAABkcnMvc2hhcGV4&#10;bWwueG1sUEsFBgAAAAAGAAYAWwEAAMoDAAAAAA==&#10;" path="m57,62l63,56,6,0,0,6,57,62xe">
                  <v:path o:connectlocs="57,62;63,56;6,0;0,6;57,62" o:connectangles="0,0,0,0,0"/>
                  <v:fill on="f" focussize="0,0"/>
                  <v:stroke weight="0pt" color="#000000" joinstyle="round"/>
                  <v:imagedata o:title=""/>
                  <o:lock v:ext="edit" aspectratio="f"/>
                </v:shape>
                <v:line id="直线 160" o:spid="_x0000_s1026" o:spt="20" style="position:absolute;left:5211;top:1650;flip:x;height:1;width:225;" filled="f" stroked="t" coordsize="21600,21600" o:gfxdata="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yfjC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shape id="未知" o:spid="_x0000_s1026" o:spt="100" style="position:absolute;left:5286;top:1534;height:116;width:150;" filled="f" stroked="t" coordsize="150,116" o:gfxdata="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col+e+AAAA3AAAAA8AAAAAAAAAAQAgAAAAOAAAAGRycy9kb3ducmV2&#10;LnhtbFBLAQIUABQAAAAIAIdO4kAzLwWeOwAAADkAAAAQAAAAAAAAAAEAIAAAACMBAABkcnMvc2hh&#10;cGV4bWwueG1sUEsFBgAAAAAGAAYAWwEAAM0DAAAAAA==&#10;" path="m43,116l11,85,0,63,0,31,11,10,43,0,150,0e">
                  <v:path o:connectlocs="43,116;11,85;0,63;0,31;11,10;43,0;150,0" o:connectangles="0,0,0,0,0,0,0"/>
                  <v:fill on="f" focussize="0,0"/>
                  <v:stroke weight="0pt" color="#000000" joinstyle="round"/>
                  <v:imagedata o:title=""/>
                  <o:lock v:ext="edit" aspectratio="f"/>
                </v:shape>
                <v:shape id="未知" o:spid="_x0000_s1026" o:spt="100" style="position:absolute;left:5296;top:1321;height:128;width:112;" filled="f" stroked="t" coordsize="112,128" o:gfxdata="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an69roAAADcAAAADwAAAAAAAAABACAAAAA4AAAAZHJzL2Rvd25yZXYueG1s&#10;UEsBAhQAFAAAAAgAh07iQDMvBZ47AAAAOQAAABAAAAAAAAAAAQAgAAAAHwEAAGRycy9zaGFwZXht&#10;bC54bWxQSwUGAAAAAAYABgBbAQAAyQMAAAAA&#10;" path="m0,128l112,95,0,64,112,32,0,0e">
                  <v:path o:connectlocs="0,128;112,95;0,64;112,32;0,0" o:connectangles="0,0,0,0,0"/>
                  <v:fill on="f" focussize="0,0"/>
                  <v:stroke weight="0pt" color="#000000" joinstyle="round"/>
                  <v:imagedata o:title=""/>
                  <o:lock v:ext="edit" aspectratio="f"/>
                </v:shape>
                <v:line id="直线 163" o:spid="_x0000_s1026" o:spt="20" style="position:absolute;left:4355;top:2320;height:1;width:1335;" filled="f" stroked="t" coordsize="21600,21600" o:gfxdata="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mc9u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64" o:spid="_x0000_s1026" o:spt="20" style="position:absolute;left:5376;top:3518;height:1;width:314;" filled="f" stroked="t" coordsize="21600,21600" o:gfxdata="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3YW1LoAAADcAAAADwAAAAAAAAABACAAAAA4AAAAZHJzL2Rvd25yZXYueG1s&#10;UEsBAhQAFAAAAAgAh07iQDMvBZ47AAAAOQAAABAAAAAAAAAAAQAgAAAAHwEAAGRycy9zaGFwZXht&#10;bC54bWxQSwUGAAAAAAYABgBbAQAAyQMAAAAA&#10;">
                  <v:fill on="f" focussize="0,0"/>
                  <v:stroke weight="0pt" color="#000000" joinstyle="round"/>
                  <v:imagedata o:title=""/>
                  <o:lock v:ext="edit" aspectratio="f"/>
                </v:line>
                <v:line id="直线 165" o:spid="_x0000_s1026" o:spt="20" style="position:absolute;left:5634;top:2320;height:1198;width:1;" filled="f" stroked="t" coordsize="21600,21600" o:gfxdata="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DqzT7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shape id="未知" o:spid="_x0000_s1026" o:spt="100" style="position:absolute;left:5603;top:2295;height:56;width:62;" fillcolor="#000000" filled="t" stroked="f" coordsize="62,56" o:gfxdata="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T+zvwAAANwAAAAPAAAAAAAAAAEAIAAAADgAAABkcnMvZG93bnJl&#10;di54bWxQSwECFAAUAAAACACHTuJAMy8FnjsAAAA5AAAAEAAAAAAAAAABACAAAAAkAQAAZHJzL3No&#10;YXBleG1sLnhtbFBLBQYAAAAABgAGAFsBAADOAwAAAAA=&#10;" path="m56,56l62,50,0,0,56,56xe">
                  <v:path o:connectlocs="56,56;62,50;0,0;56,56" o:connectangles="0,0,0,0"/>
                  <v:fill on="t" focussize="0,0"/>
                  <v:stroke on="f"/>
                  <v:imagedata o:title=""/>
                  <o:lock v:ext="edit" aspectratio="f"/>
                </v:shape>
                <v:shape id="未知" o:spid="_x0000_s1026" o:spt="100" style="position:absolute;left:5603;top:2290;height:55;width:62;" fillcolor="#000000" filled="t" stroked="f" coordsize="62,55" o:gfxdata="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uVFML0AAADcAAAADwAAAAAAAAABACAAAAA4AAAAZHJzL2Rvd25yZXYu&#10;eG1sUEsBAhQAFAAAAAgAh07iQDMvBZ47AAAAOQAAABAAAAAAAAAAAQAgAAAAIgEAAGRycy9zaGFw&#10;ZXhtbC54bWxQSwUGAAAAAAYABgBbAQAAzAMAAAAA&#10;" path="m62,55l0,5,6,0,62,55xe">
                  <v:path o:connectlocs="62,55;0,5;6,0;62,55" o:connectangles="0,0,0,0"/>
                  <v:fill on="t" focussize="0,0"/>
                  <v:stroke on="f"/>
                  <v:imagedata o:title=""/>
                  <o:lock v:ext="edit" aspectratio="f"/>
                </v:shape>
                <v:shape id="未知" o:spid="_x0000_s1026" o:spt="100" style="position:absolute;left:5603;top:2290;height:61;width:62;" filled="f" stroked="t" coordsize="62,61" o:gfxdata="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JtSjsAAAADcAAAADwAAAAAAAAABACAAAAA4AAAAZHJzL2Rvd25y&#10;ZXYueG1sUEsBAhQAFAAAAAgAh07iQDMvBZ47AAAAOQAAABAAAAAAAAAAAQAgAAAAJQEAAGRycy9z&#10;aGFwZXhtbC54bWxQSwUGAAAAAAYABgBbAQAAzwMAAAAA&#10;" path="m56,61l62,55,6,0,0,5,56,61xe">
                  <v:path o:connectlocs="56,61;62,55;6,0;0,5;56,61" o:connectangles="0,0,0,0,0"/>
                  <v:fill on="f" focussize="0,0"/>
                  <v:stroke weight="0pt" color="#000000" joinstyle="round"/>
                  <v:imagedata o:title=""/>
                  <o:lock v:ext="edit" aspectratio="f"/>
                </v:shape>
                <v:shape id="未知" o:spid="_x0000_s1026" o:spt="100" style="position:absolute;left:5603;top:3488;height:55;width:62;" fillcolor="#000000" filled="t" stroked="f" coordsize="62,55" o:gfxdata="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pAeN+7AAAA3AAAAA8AAAAAAAAAAQAgAAAAOAAAAGRycy9kb3ducmV2Lnht&#10;bFBLAQIUABQAAAAIAIdO4kAzLwWeOwAAADkAAAAQAAAAAAAAAAEAIAAAACABAABkcnMvc2hhcGV4&#10;bWwueG1sUEsFBgAAAAAGAAYAWwEAAMoDAAAAAA==&#10;" path="m6,0l0,6,62,55,6,0xe">
                  <v:path o:connectlocs="6,0;0,6;62,55;6,0" o:connectangles="0,0,0,0"/>
                  <v:fill on="t" focussize="0,0"/>
                  <v:stroke on="f"/>
                  <v:imagedata o:title=""/>
                  <o:lock v:ext="edit" aspectratio="f"/>
                </v:shape>
                <v:shape id="未知" o:spid="_x0000_s1026" o:spt="100" style="position:absolute;left:5603;top:3494;height:55;width:62;" fillcolor="#000000" filled="t" stroked="f" coordsize="62,55" o:gfxdata="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kuaovAAAANwAAAAPAAAAAAAAAAEAIAAAADgAAABkcnMvZG93bnJldi54&#10;bWxQSwECFAAUAAAACACHTuJAMy8FnjsAAAA5AAAAEAAAAAAAAAABACAAAAAhAQAAZHJzL3NoYXBl&#10;eG1sLnhtbFBLBQYAAAAABgAGAFsBAADLAwAAAAA=&#10;" path="m0,0l62,49,56,55,0,0xe">
                  <v:path o:connectlocs="0,0;62,49;56,55;0,0" o:connectangles="0,0,0,0"/>
                  <v:fill on="t" focussize="0,0"/>
                  <v:stroke on="f"/>
                  <v:imagedata o:title=""/>
                  <o:lock v:ext="edit" aspectratio="f"/>
                </v:shape>
                <v:shape id="未知" o:spid="_x0000_s1026" o:spt="100" style="position:absolute;left:5603;top:3488;height:61;width:62;" filled="f" stroked="t" coordsize="62,61" o:gfxdata="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EnM+cAAAADcAAAADwAAAAAAAAABACAAAAA4AAAAZHJzL2Rvd25y&#10;ZXYueG1sUEsBAhQAFAAAAAgAh07iQDMvBZ47AAAAOQAAABAAAAAAAAAAAQAgAAAAJQEAAGRycy9z&#10;aGFwZXhtbC54bWxQSwUGAAAAAAYABgBbAQAAzwMAAAAA&#10;" path="m6,0l0,6,56,61,62,55,6,0xe">
                  <v:path o:connectlocs="6,0;0,6;56,61;62,55;6,0" o:connectangles="0,0,0,0,0"/>
                  <v:fill on="f" focussize="0,0"/>
                  <v:stroke weight="0pt" color="#000000" joinstyle="round"/>
                  <v:imagedata o:title=""/>
                  <o:lock v:ext="edit" aspectratio="f"/>
                </v:shape>
                <v:line id="直线 172" o:spid="_x0000_s1026" o:spt="20" style="position:absolute;left:5258;top:3021;flip:x;height:1;width:225;" filled="f" stroked="t" coordsize="21600,21600" o:gfxdata="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TPuQy7AAAA3AAAAA8AAAAAAAAAAQAgAAAAOAAAAGRycy9kb3ducmV2Lnht&#10;bFBLAQIUABQAAAAIAIdO4kAzLwWeOwAAADkAAAAQAAAAAAAAAAEAIAAAACABAABkcnMvc2hhcGV4&#10;bWwueG1sUEsFBgAAAAAGAAYAWwEAAMoDAAAAAA==&#10;">
                  <v:fill on="f" focussize="0,0"/>
                  <v:stroke weight="0pt" color="#000000" joinstyle="round"/>
                  <v:imagedata o:title=""/>
                  <o:lock v:ext="edit" aspectratio="f"/>
                </v:line>
                <v:shape id="未知" o:spid="_x0000_s1026" o:spt="100" style="position:absolute;left:5333;top:2904;height:117;width:150;" filled="f" stroked="t" coordsize="150,117" o:gfxdata="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Ln5S+AAAA3AAAAA8AAAAAAAAAAQAgAAAAOAAAAGRycy9kb3ducmV2&#10;LnhtbFBLAQIUABQAAAAIAIdO4kAzLwWeOwAAADkAAAAQAAAAAAAAAAEAIAAAACMBAABkcnMvc2hh&#10;cGV4bWwueG1sUEsFBgAAAAAGAAYAWwEAAM0DAAAAAA==&#10;" path="m43,117l11,85,0,63,0,32,11,10,43,0,150,0e">
                  <v:path o:connectlocs="43,117;11,85;0,63;0,32;11,10;43,0;150,0" o:connectangles="0,0,0,0,0,0,0"/>
                  <v:fill on="f" focussize="0,0"/>
                  <v:stroke weight="0pt" color="#000000" joinstyle="round"/>
                  <v:imagedata o:title=""/>
                  <o:lock v:ext="edit" aspectratio="f"/>
                </v:shape>
                <v:line id="直线 174" o:spid="_x0000_s1026" o:spt="20" style="position:absolute;left:5466;top:3073;height:134;width:1;" filled="f" stroked="t" coordsize="21600,21600" o:gfxdata="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r4AJ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75" o:spid="_x0000_s1026" o:spt="20" style="position:absolute;left:5326;top:3145;flip:x y;height:62;width:140;" filled="f" stroked="t" coordsize="21600,21600" o:gfxdata="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pcOJvAAAANwAAAAPAAAAAAAAAAEAIAAAADgAAABkcnMvZG93bnJldi54&#10;bWxQSwECFAAUAAAACACHTuJAMy8FnjsAAAA5AAAAEAAAAAAAAAABACAAAAAhAQAAZHJzL3NoYXBl&#10;eG1sLnhtbFBLBQYAAAAABgAGAFsBAADLAwAAAAA=&#10;">
                  <v:fill on="f" focussize="0,0"/>
                  <v:stroke weight="0pt" color="#000000" joinstyle="round"/>
                  <v:imagedata o:title=""/>
                  <o:lock v:ext="edit" aspectratio="f"/>
                </v:line>
                <v:line id="直线 176" o:spid="_x0000_s1026" o:spt="20" style="position:absolute;left:5326;top:3073;flip:y;height:72;width:140;" filled="f" stroked="t" coordsize="21600,21600" o:gfxdata="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hg7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77" o:spid="_x0000_s1026" o:spt="20" style="position:absolute;left:5417;top:1633;height:134;width:1;" filled="f" stroked="t" coordsize="21600,21600" o:gfxdata="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R5+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78" o:spid="_x0000_s1026" o:spt="20" style="position:absolute;left:5277;top:1705;flip:x y;height:62;width:140;" filled="f" stroked="t" coordsize="21600,21600" o:gfxdata="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9JgEb0AAADcAAAADwAAAAAAAAABACAAAAA4AAAAZHJzL2Rvd25yZXYu&#10;eG1sUEsBAhQAFAAAAAgAh07iQDMvBZ47AAAAOQAAABAAAAAAAAAAAQAgAAAAIgEAAGRycy9zaGFw&#10;ZXhtbC54bWxQSwUGAAAAAAYABgBbAQAAzAMAAAAA&#10;">
                  <v:fill on="f" focussize="0,0"/>
                  <v:stroke weight="0pt" color="#000000" joinstyle="round"/>
                  <v:imagedata o:title=""/>
                  <o:lock v:ext="edit" aspectratio="f"/>
                </v:line>
                <v:line id="直线 179" o:spid="_x0000_s1026" o:spt="20" style="position:absolute;left:5277;top:1633;flip:y;height:72;width:140;" filled="f" stroked="t" coordsize="21600,21600" o:gfxdata="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F4BPvwAAANwAAAAPAAAAAAAAAAEAIAAAADgAAABkcnMvZG93bnJl&#10;di54bWxQSwECFAAUAAAACACHTuJAMy8FnjsAAAA5AAAAEAAAAAAAAAABACAAAAAkAQAAZHJzL3No&#10;YXBleG1sLnhtbFBLBQYAAAAABgAGAFsBAADOAwAAAAA=&#10;">
                  <v:fill on="f" focussize="0,0"/>
                  <v:stroke weight="0pt" color="#000000" joinstyle="round"/>
                  <v:imagedata o:title=""/>
                  <o:lock v:ext="edit" aspectratio="f"/>
                </v:line>
                <v:line id="直线 180" o:spid="_x0000_s1026" o:spt="20" style="position:absolute;left:135;top:3526;height:1;width:5040;" filled="f" stroked="t" coordsize="21600,21600" o:gfxdata="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Pwq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81" o:spid="_x0000_s1026" o:spt="20" style="position:absolute;left:4320;top:3751;height:452;width:1;" filled="f" stroked="t" coordsize="21600,21600" o:gfxdata="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&#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tFmx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82" o:spid="_x0000_s1026" o:spt="20" style="position:absolute;left:4305;top:4063;height:33;width:15;" filled="f" stroked="t" coordsize="21600,21600" o:gfxdata="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&#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IrzcO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83" o:spid="_x0000_s1026" o:spt="20" style="position:absolute;left:2685;top:4063;height:0;width:1620;" filled="f" stroked="t" coordsize="21600,21600" o:gfxdata="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WdoW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84" o:spid="_x0000_s1026" o:spt="20" style="position:absolute;left:2685;top:3765;height:438;width:0;" filled="f" stroked="t" coordsize="21600,21600" o:gfxdata="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rZb37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185" o:spid="_x0000_s1026" o:spt="20" style="position:absolute;left:2685;top:3921;height:156;width:0;" filled="f" stroked="t" coordsize="21600,21600" o:gfxdata="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fr+R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86" o:spid="_x0000_s1026" o:spt="20" style="position:absolute;left:4215;top:3989;flip:x;height:156;width:180;" filled="f" stroked="t" coordsize="21600,21600" o:gfxdata="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kWlGK+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87" o:spid="_x0000_s1026" o:spt="20" style="position:absolute;left:2625;top:3972;flip:x;height:175;width:135;" filled="f" stroked="t" coordsize="21600,21600" o:gfxdata="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ox+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w10:wrap type="tight"/>
              </v:group>
            </w:pict>
          </mc:Fallback>
        </mc:AlternateContent>
      </w: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sz w:val="21"/>
          <w:szCs w:val="21"/>
        </w:rPr>
      </w:pPr>
    </w:p>
    <w:p>
      <w:pPr>
        <w:widowControl w:val="0"/>
        <w:jc w:val="center"/>
        <w:rPr>
          <w:b/>
          <w:bCs/>
          <w:color w:val="FF0000"/>
          <w:sz w:val="21"/>
          <w:szCs w:val="21"/>
          <w:bdr w:val="single" w:color="auto" w:sz="4" w:space="0"/>
        </w:rPr>
      </w:pPr>
      <w:r>
        <w:rPr>
          <w:rFonts w:hint="eastAsia"/>
          <w:b/>
          <w:bCs/>
          <w:sz w:val="21"/>
          <w:szCs w:val="21"/>
        </w:rPr>
        <w:t>地下水稳定渗流时水压力</w:t>
      </w:r>
    </w:p>
    <w:p>
      <w:pPr>
        <w:widowControl w:val="0"/>
        <w:jc w:val="center"/>
        <w:rPr>
          <w:color w:val="FF0000"/>
          <w:sz w:val="21"/>
          <w:szCs w:val="21"/>
          <w:bdr w:val="single" w:color="auto" w:sz="4" w:space="0"/>
        </w:rPr>
      </w:pPr>
    </w:p>
    <w:p>
      <w:pPr>
        <w:jc w:val="left"/>
        <w:rPr>
          <w:rFonts w:ascii="Times New Roman" w:hAnsi="Times New Roman"/>
          <w:szCs w:val="24"/>
        </w:rPr>
      </w:pPr>
      <w:r>
        <w:rPr>
          <w:rFonts w:ascii="Times New Roman" w:hAnsi="Times New Roman"/>
          <w:szCs w:val="24"/>
        </w:rPr>
        <w:br w:type="page"/>
      </w:r>
    </w:p>
    <w:p>
      <w:pPr>
        <w:pStyle w:val="2"/>
        <w:bidi w:val="0"/>
      </w:pPr>
      <w:bookmarkStart w:id="1178" w:name="_Toc21139"/>
      <w:bookmarkStart w:id="1179" w:name="_Toc27953"/>
      <w:bookmarkStart w:id="1180" w:name="_Toc5358"/>
      <w:bookmarkStart w:id="1181" w:name="_Toc385518894"/>
      <w:bookmarkStart w:id="1182" w:name="_Toc20729"/>
      <w:bookmarkStart w:id="1183" w:name="_Toc384310129"/>
      <w:bookmarkStart w:id="1184" w:name="_Toc381951070"/>
      <w:bookmarkStart w:id="1185" w:name="_Toc384304416"/>
      <w:bookmarkStart w:id="1186" w:name="_Toc384300188"/>
      <w:bookmarkStart w:id="1187" w:name="_Toc385579376"/>
      <w:bookmarkStart w:id="1188" w:name="_Toc382559956"/>
      <w:bookmarkStart w:id="1189" w:name="_Toc13284"/>
      <w:bookmarkStart w:id="1190" w:name="_Toc13227"/>
      <w:bookmarkStart w:id="1191" w:name="_Toc1928"/>
      <w:bookmarkStart w:id="1192" w:name="_Toc382559794"/>
      <w:bookmarkStart w:id="1193" w:name="_Toc381951454"/>
      <w:bookmarkStart w:id="1194" w:name="_Toc385576991"/>
      <w:bookmarkStart w:id="1195" w:name="_Toc388643498"/>
      <w:bookmarkStart w:id="1196" w:name="_Toc381950808"/>
      <w:bookmarkStart w:id="1197" w:name="_Toc381951649"/>
      <w:bookmarkStart w:id="1198" w:name="_Toc384300336"/>
      <w:bookmarkStart w:id="1199" w:name="_Toc388643615"/>
      <w:bookmarkStart w:id="1200" w:name="_Toc384309908"/>
      <w:r>
        <w:rPr>
          <w:rFonts w:ascii="Times New Roman" w:hAnsi="Times New Roman"/>
        </w:rPr>
        <w:t>6</w:t>
      </w:r>
      <w:r>
        <w:rPr>
          <w:rFonts w:hint="eastAsia"/>
        </w:rPr>
        <w:t xml:space="preserve">  基坑稳定性</w:t>
      </w:r>
      <w:bookmarkEnd w:id="1178"/>
      <w:bookmarkEnd w:id="1179"/>
      <w:bookmarkEnd w:id="1180"/>
    </w:p>
    <w:p>
      <w:pPr>
        <w:pStyle w:val="3"/>
        <w:bidi w:val="0"/>
      </w:pPr>
      <w:bookmarkStart w:id="1201" w:name="_Toc27009"/>
      <w:bookmarkStart w:id="1202" w:name="_Toc385576986"/>
      <w:bookmarkStart w:id="1203" w:name="_Toc388643610"/>
      <w:bookmarkStart w:id="1204" w:name="_Toc388643493"/>
      <w:bookmarkStart w:id="1205" w:name="_Toc385579371"/>
      <w:bookmarkStart w:id="1206" w:name="_Toc30205"/>
      <w:bookmarkStart w:id="1207" w:name="_Toc24355"/>
      <w:bookmarkStart w:id="1208" w:name="_Toc385518889"/>
      <w:r>
        <w:rPr>
          <w:rFonts w:ascii="Times New Roman" w:hAnsi="Times New Roman"/>
        </w:rPr>
        <w:t>6.1</w:t>
      </w:r>
      <w:r>
        <w:rPr>
          <w:rFonts w:hint="eastAsia"/>
        </w:rPr>
        <w:t xml:space="preserve">  一般规定</w:t>
      </w:r>
      <w:bookmarkEnd w:id="1201"/>
      <w:bookmarkEnd w:id="1202"/>
      <w:bookmarkEnd w:id="1203"/>
      <w:bookmarkEnd w:id="1204"/>
      <w:bookmarkEnd w:id="1205"/>
      <w:bookmarkEnd w:id="1206"/>
      <w:bookmarkEnd w:id="1207"/>
      <w:bookmarkEnd w:id="1208"/>
    </w:p>
    <w:p>
      <w:pPr>
        <w:widowControl w:val="0"/>
        <w:spacing w:line="480" w:lineRule="exact"/>
        <w:rPr>
          <w:rFonts w:ascii="宋体" w:hAnsi="宋体"/>
          <w:szCs w:val="24"/>
        </w:rPr>
      </w:pPr>
      <w:r>
        <w:rPr>
          <w:rFonts w:ascii="Times New Roman" w:hAnsi="Times New Roman"/>
          <w:b/>
        </w:rPr>
        <w:t>6.1.1</w:t>
      </w:r>
      <w:r>
        <w:rPr>
          <w:rFonts w:ascii="宋体" w:hAnsi="宋体"/>
          <w:szCs w:val="24"/>
        </w:rPr>
        <w:t xml:space="preserve"> </w:t>
      </w:r>
      <w:r>
        <w:rPr>
          <w:rFonts w:hint="eastAsia" w:ascii="宋体" w:hAnsi="宋体"/>
          <w:szCs w:val="24"/>
        </w:rPr>
        <w:t>基坑工程的整体稳定性验算是基坑工程设计的重要内容，应依据不同支护结构类型采用相应的验算方式。</w:t>
      </w:r>
    </w:p>
    <w:p>
      <w:pPr>
        <w:widowControl w:val="0"/>
        <w:spacing w:line="480" w:lineRule="exact"/>
        <w:rPr>
          <w:rFonts w:ascii="宋体" w:hAnsi="宋体"/>
          <w:szCs w:val="24"/>
        </w:rPr>
      </w:pPr>
      <w:r>
        <w:rPr>
          <w:rFonts w:ascii="Times New Roman" w:hAnsi="Times New Roman"/>
          <w:b/>
        </w:rPr>
        <w:t>6.1.</w:t>
      </w:r>
      <w:r>
        <w:rPr>
          <w:rFonts w:hint="eastAsia" w:ascii="Times New Roman" w:hAnsi="Times New Roman"/>
          <w:b/>
        </w:rPr>
        <w:t>2</w:t>
      </w:r>
      <w:r>
        <w:rPr>
          <w:rFonts w:ascii="宋体" w:hAnsi="宋体"/>
          <w:szCs w:val="24"/>
        </w:rPr>
        <w:t xml:space="preserve"> </w:t>
      </w:r>
      <w:r>
        <w:rPr>
          <w:rFonts w:hint="eastAsia" w:ascii="宋体" w:hAnsi="宋体"/>
          <w:szCs w:val="24"/>
        </w:rPr>
        <w:t>在基坑稳定性分析时，应特别注意基坑开挖过程中场地条件变化对土体抗剪强度的影响，并预估由此带来的基坑稳定性问题，提前采取相关措施。</w:t>
      </w:r>
    </w:p>
    <w:p>
      <w:pPr>
        <w:pStyle w:val="3"/>
        <w:bidi w:val="0"/>
      </w:pPr>
      <w:bookmarkStart w:id="1209" w:name="_Toc385579372"/>
      <w:bookmarkStart w:id="1210" w:name="_Toc2622"/>
      <w:bookmarkStart w:id="1211" w:name="_Toc28439"/>
      <w:bookmarkStart w:id="1212" w:name="_Toc385518890"/>
      <w:bookmarkStart w:id="1213" w:name="_Toc388643611"/>
      <w:bookmarkStart w:id="1214" w:name="_Toc388643494"/>
      <w:bookmarkStart w:id="1215" w:name="_Toc385576987"/>
      <w:bookmarkStart w:id="1216" w:name="_Toc5925"/>
      <w:r>
        <w:rPr>
          <w:rFonts w:hint="eastAsia" w:ascii="Times New Roman" w:hAnsi="Times New Roman"/>
        </w:rPr>
        <w:t>6.2</w:t>
      </w:r>
      <w:r>
        <w:rPr>
          <w:rFonts w:hint="eastAsia"/>
        </w:rPr>
        <w:t xml:space="preserve">  基坑整体稳定性验算</w:t>
      </w:r>
      <w:bookmarkEnd w:id="1209"/>
      <w:bookmarkEnd w:id="1210"/>
      <w:bookmarkEnd w:id="1211"/>
      <w:bookmarkEnd w:id="1212"/>
      <w:bookmarkEnd w:id="1213"/>
      <w:bookmarkEnd w:id="1214"/>
      <w:bookmarkEnd w:id="1215"/>
      <w:bookmarkEnd w:id="1216"/>
    </w:p>
    <w:p>
      <w:pPr>
        <w:widowControl w:val="0"/>
        <w:spacing w:line="480" w:lineRule="exact"/>
        <w:rPr>
          <w:rFonts w:ascii="宋体" w:hAnsi="宋体"/>
          <w:szCs w:val="24"/>
        </w:rPr>
      </w:pPr>
      <w:r>
        <w:rPr>
          <w:rFonts w:ascii="Times New Roman" w:hAnsi="Times New Roman"/>
          <w:b/>
        </w:rPr>
        <w:t>6.</w:t>
      </w:r>
      <w:r>
        <w:rPr>
          <w:rFonts w:hint="eastAsia" w:ascii="Times New Roman" w:hAnsi="Times New Roman"/>
          <w:b/>
        </w:rPr>
        <w:t>2</w:t>
      </w:r>
      <w:r>
        <w:rPr>
          <w:rFonts w:ascii="Times New Roman" w:hAnsi="Times New Roman"/>
          <w:b/>
        </w:rPr>
        <w:t>.1</w:t>
      </w:r>
      <w:r>
        <w:rPr>
          <w:rFonts w:ascii="宋体" w:hAnsi="宋体"/>
          <w:szCs w:val="24"/>
        </w:rPr>
        <w:t xml:space="preserve"> 支挡结构的整体滑动稳定性验算公式（</w:t>
      </w:r>
      <w:r>
        <w:rPr>
          <w:rFonts w:ascii="Times New Roman" w:hAnsi="Times New Roman"/>
          <w:szCs w:val="24"/>
        </w:rPr>
        <w:t>6</w:t>
      </w:r>
      <w:r>
        <w:rPr>
          <w:rFonts w:ascii="宋体" w:hAnsi="宋体"/>
          <w:szCs w:val="24"/>
        </w:rPr>
        <w:t>.</w:t>
      </w:r>
      <w:r>
        <w:rPr>
          <w:rFonts w:hint="eastAsia" w:ascii="Times New Roman" w:hAnsi="Times New Roman"/>
          <w:szCs w:val="24"/>
        </w:rPr>
        <w:t>2</w:t>
      </w:r>
      <w:r>
        <w:rPr>
          <w:rFonts w:ascii="宋体" w:hAnsi="宋体"/>
          <w:szCs w:val="24"/>
        </w:rPr>
        <w:t>.</w:t>
      </w:r>
      <w:r>
        <w:rPr>
          <w:rFonts w:hint="eastAsia" w:ascii="Times New Roman" w:hAnsi="Times New Roman"/>
          <w:szCs w:val="24"/>
        </w:rPr>
        <w:t>1</w:t>
      </w:r>
      <w:r>
        <w:rPr>
          <w:rFonts w:ascii="宋体" w:hAnsi="宋体"/>
          <w:szCs w:val="24"/>
        </w:rPr>
        <w:t>-</w:t>
      </w:r>
      <w:r>
        <w:rPr>
          <w:rFonts w:ascii="Times New Roman" w:hAnsi="Times New Roman"/>
          <w:szCs w:val="24"/>
        </w:rPr>
        <w:t>2</w:t>
      </w:r>
      <w:r>
        <w:rPr>
          <w:rFonts w:ascii="宋体" w:hAnsi="宋体"/>
          <w:szCs w:val="24"/>
        </w:rPr>
        <w:t>）以瑞典条分法边坡稳定性计算公式为基础，在力的极限平衡关系上，增加了锚杆或土钉拉力对圆弧滑动体圆心的抗滑力矩项。</w:t>
      </w:r>
      <w:r>
        <w:rPr>
          <w:rFonts w:hint="eastAsia" w:ascii="宋体" w:hAnsi="宋体"/>
          <w:szCs w:val="24"/>
        </w:rPr>
        <w:t>由于极限状态下的平衡关系与锚杆预加力无关，因而，验算公式中不含锚杆预应力项。</w:t>
      </w:r>
    </w:p>
    <w:p>
      <w:pPr>
        <w:widowControl w:val="0"/>
        <w:spacing w:line="480" w:lineRule="exact"/>
        <w:ind w:firstLine="480" w:firstLineChars="200"/>
        <w:rPr>
          <w:rFonts w:ascii="宋体" w:hAnsi="宋体"/>
          <w:szCs w:val="24"/>
        </w:rPr>
      </w:pPr>
      <w:r>
        <w:rPr>
          <w:rFonts w:hint="eastAsia" w:ascii="宋体" w:hAnsi="宋体"/>
          <w:szCs w:val="24"/>
        </w:rPr>
        <w:t>滑弧稳定性验算应采用搜索的方法寻找最危险滑弧。最危险滑弧的搜索范围限于通过挡土构件底端和在挡土构件下方的各个滑弧。因支护结构的平衡性和结构强度已通过结构分析解决，在截面抗剪强度满足剪应力作用下的抗剪要求后，挡土构件不会被剪断。因此，穿过挡土构件的各滑弧不需验算。</w:t>
      </w:r>
    </w:p>
    <w:p>
      <w:pPr>
        <w:widowControl w:val="0"/>
        <w:spacing w:line="480" w:lineRule="exact"/>
        <w:ind w:firstLine="480" w:firstLineChars="200"/>
        <w:rPr>
          <w:rFonts w:ascii="宋体" w:hAnsi="宋体"/>
          <w:szCs w:val="24"/>
        </w:rPr>
      </w:pPr>
      <w:r>
        <w:rPr>
          <w:rFonts w:hint="eastAsia" w:ascii="宋体" w:hAnsi="宋体"/>
          <w:szCs w:val="24"/>
        </w:rPr>
        <w:t>当圆弧滑动体位于地下水位以下，并同时穿过砂土、</w:t>
      </w:r>
      <w:r>
        <w:rPr>
          <w:rFonts w:hint="eastAsia"/>
        </w:rPr>
        <w:t>黏</w:t>
      </w:r>
      <w:r>
        <w:rPr>
          <w:rFonts w:hint="eastAsia" w:ascii="宋体" w:hAnsi="宋体"/>
          <w:szCs w:val="24"/>
        </w:rPr>
        <w:t>性土时，在滑弧面上，</w:t>
      </w:r>
      <w:r>
        <w:rPr>
          <w:rFonts w:hint="eastAsia"/>
        </w:rPr>
        <w:t>黏</w:t>
      </w:r>
      <w:r>
        <w:rPr>
          <w:rFonts w:hint="eastAsia" w:ascii="宋体" w:hAnsi="宋体"/>
          <w:szCs w:val="24"/>
        </w:rPr>
        <w:t>性土的抗剪强度指标需要采用总应力强度指标，砂土的抗剪强度指标需要采用有效应力强度指标，并应考虑水压力的作用。</w:t>
      </w:r>
    </w:p>
    <w:p>
      <w:pPr>
        <w:widowControl w:val="0"/>
        <w:spacing w:line="480" w:lineRule="exact"/>
        <w:ind w:firstLine="480" w:firstLineChars="200"/>
        <w:rPr>
          <w:rFonts w:ascii="宋体" w:hAnsi="宋体"/>
          <w:color w:val="00B050"/>
          <w:szCs w:val="24"/>
        </w:rPr>
      </w:pPr>
      <w:r>
        <w:rPr>
          <w:rFonts w:hint="eastAsia" w:ascii="宋体" w:hAnsi="宋体"/>
          <w:szCs w:val="24"/>
        </w:rPr>
        <w:t>在复合土钉墙中，微型桩、搅拌桩或旋喷桩对总抗滑力矩是有贡献的，但难以定量。当无经验时，最好不考虑其抗滑作用，当作安全储备来处理。需要考虑其作用时，只能根据经验和水泥土桩、微型桩的设计参数适当考虑其抗滑作用。</w:t>
      </w:r>
    </w:p>
    <w:p>
      <w:pPr>
        <w:pStyle w:val="3"/>
        <w:bidi w:val="0"/>
      </w:pPr>
      <w:bookmarkStart w:id="1217" w:name="_Toc385576988"/>
      <w:bookmarkStart w:id="1218" w:name="_Toc385579373"/>
      <w:bookmarkStart w:id="1219" w:name="_Toc388643612"/>
      <w:bookmarkStart w:id="1220" w:name="_Toc28977"/>
      <w:bookmarkStart w:id="1221" w:name="_Toc8941"/>
      <w:bookmarkStart w:id="1222" w:name="_Toc388643495"/>
      <w:bookmarkStart w:id="1223" w:name="_Toc16566"/>
      <w:bookmarkStart w:id="1224" w:name="_Toc385518891"/>
      <w:r>
        <w:rPr>
          <w:rFonts w:ascii="Times New Roman" w:hAnsi="Times New Roman"/>
        </w:rPr>
        <w:t xml:space="preserve">6.3 </w:t>
      </w:r>
      <w:r>
        <w:rPr>
          <w:rFonts w:hint="eastAsia" w:ascii="Times New Roman" w:hAnsi="Times New Roman"/>
        </w:rPr>
        <w:t xml:space="preserve"> </w:t>
      </w:r>
      <w:r>
        <w:rPr>
          <w:rFonts w:hint="eastAsia"/>
        </w:rPr>
        <w:t>支护结构的稳定入土深度的验算</w:t>
      </w:r>
      <w:bookmarkEnd w:id="1217"/>
      <w:bookmarkEnd w:id="1218"/>
      <w:bookmarkEnd w:id="1219"/>
      <w:bookmarkEnd w:id="1220"/>
      <w:bookmarkEnd w:id="1221"/>
      <w:bookmarkEnd w:id="1222"/>
      <w:bookmarkEnd w:id="1223"/>
      <w:bookmarkEnd w:id="1224"/>
    </w:p>
    <w:p>
      <w:pPr>
        <w:widowControl w:val="0"/>
        <w:spacing w:line="480" w:lineRule="exact"/>
        <w:rPr>
          <w:rFonts w:ascii="宋体" w:hAnsi="宋体"/>
          <w:szCs w:val="24"/>
        </w:rPr>
      </w:pPr>
      <w:r>
        <w:rPr>
          <w:rFonts w:ascii="Times New Roman" w:hAnsi="Times New Roman"/>
          <w:b/>
        </w:rPr>
        <w:t>6.</w:t>
      </w:r>
      <w:r>
        <w:rPr>
          <w:rFonts w:hint="eastAsia" w:ascii="Times New Roman" w:hAnsi="Times New Roman"/>
          <w:b/>
        </w:rPr>
        <w:t>3</w:t>
      </w:r>
      <w:r>
        <w:rPr>
          <w:rFonts w:ascii="Times New Roman" w:hAnsi="Times New Roman"/>
          <w:b/>
        </w:rPr>
        <w:t>.</w:t>
      </w:r>
      <w:r>
        <w:rPr>
          <w:rFonts w:hint="eastAsia" w:ascii="Times New Roman" w:hAnsi="Times New Roman"/>
          <w:b/>
        </w:rPr>
        <w:t>1</w:t>
      </w:r>
      <w:r>
        <w:rPr>
          <w:rFonts w:hint="eastAsia" w:ascii="宋体" w:hAnsi="宋体"/>
          <w:szCs w:val="24"/>
        </w:rPr>
        <w:t xml:space="preserve"> 悬臂式支挡结构的稳定入土深度与支挡结构绕底部转动的整体稳定有关。</w:t>
      </w:r>
    </w:p>
    <w:p>
      <w:pPr>
        <w:widowControl w:val="0"/>
        <w:spacing w:line="480" w:lineRule="exact"/>
        <w:rPr>
          <w:rFonts w:ascii="宋体" w:hAnsi="宋体"/>
          <w:szCs w:val="24"/>
        </w:rPr>
      </w:pPr>
      <w:r>
        <w:rPr>
          <w:rFonts w:ascii="Times New Roman" w:hAnsi="Times New Roman"/>
          <w:b/>
        </w:rPr>
        <w:t>6.</w:t>
      </w:r>
      <w:r>
        <w:rPr>
          <w:rFonts w:hint="eastAsia" w:ascii="Times New Roman" w:hAnsi="Times New Roman"/>
          <w:b/>
        </w:rPr>
        <w:t>3</w:t>
      </w:r>
      <w:r>
        <w:rPr>
          <w:rFonts w:ascii="Times New Roman" w:hAnsi="Times New Roman"/>
          <w:b/>
        </w:rPr>
        <w:t>.</w:t>
      </w:r>
      <w:r>
        <w:rPr>
          <w:rFonts w:hint="eastAsia" w:ascii="Times New Roman" w:hAnsi="Times New Roman"/>
          <w:b/>
        </w:rPr>
        <w:t xml:space="preserve">2 </w:t>
      </w:r>
      <w:r>
        <w:rPr>
          <w:rFonts w:hint="eastAsia" w:ascii="宋体" w:hAnsi="宋体"/>
          <w:szCs w:val="24"/>
        </w:rPr>
        <w:t>单层锚杆和单层支撑的支挡结构的稳定入土深度与绕支点转动的整体稳定有关</w:t>
      </w:r>
      <w:r>
        <w:rPr>
          <w:rFonts w:ascii="宋体" w:hAnsi="宋体"/>
          <w:szCs w:val="24"/>
        </w:rPr>
        <w:t>。</w:t>
      </w:r>
    </w:p>
    <w:p>
      <w:pPr>
        <w:widowControl w:val="0"/>
        <w:spacing w:line="480" w:lineRule="exact"/>
        <w:rPr>
          <w:rFonts w:ascii="宋体" w:hAnsi="宋体"/>
          <w:color w:val="0000FF"/>
          <w:szCs w:val="24"/>
        </w:rPr>
      </w:pPr>
      <w:bookmarkStart w:id="1225" w:name="_Toc385576989"/>
      <w:bookmarkStart w:id="1226" w:name="_Toc385518892"/>
      <w:bookmarkStart w:id="1227" w:name="_Toc388643613"/>
      <w:bookmarkStart w:id="1228" w:name="_Toc388643496"/>
      <w:bookmarkStart w:id="1229" w:name="_Toc385579374"/>
      <w:r>
        <w:rPr>
          <w:rFonts w:ascii="Times New Roman" w:hAnsi="Times New Roman"/>
          <w:b/>
          <w:color w:val="0000FF"/>
        </w:rPr>
        <w:t>6.</w:t>
      </w:r>
      <w:r>
        <w:rPr>
          <w:rFonts w:hint="eastAsia" w:ascii="Times New Roman" w:hAnsi="Times New Roman"/>
          <w:b/>
          <w:color w:val="0000FF"/>
        </w:rPr>
        <w:t>3</w:t>
      </w:r>
      <w:r>
        <w:rPr>
          <w:rFonts w:ascii="Times New Roman" w:hAnsi="Times New Roman"/>
          <w:b/>
          <w:color w:val="0000FF"/>
        </w:rPr>
        <w:t>.</w:t>
      </w:r>
      <w:r>
        <w:rPr>
          <w:rFonts w:hint="eastAsia" w:ascii="Times New Roman" w:hAnsi="Times New Roman"/>
          <w:b/>
          <w:color w:val="0000FF"/>
        </w:rPr>
        <w:t xml:space="preserve">3 </w:t>
      </w:r>
      <w:r>
        <w:rPr>
          <w:rFonts w:hint="eastAsia" w:ascii="宋体" w:hAnsi="宋体"/>
          <w:color w:val="0000FF"/>
          <w:szCs w:val="24"/>
        </w:rPr>
        <w:t>排桩结构入土深度应先满足基坑支护变形与稳定性要求，其最小入深度尚应满足本条规定。</w:t>
      </w:r>
    </w:p>
    <w:p>
      <w:pPr>
        <w:widowControl w:val="0"/>
        <w:spacing w:line="480" w:lineRule="exact"/>
        <w:ind w:firstLine="480"/>
        <w:rPr>
          <w:rFonts w:ascii="宋体" w:hAnsi="宋体"/>
          <w:color w:val="0000FF"/>
          <w:szCs w:val="24"/>
        </w:rPr>
      </w:pPr>
      <w:r>
        <w:rPr>
          <w:rFonts w:hint="eastAsia" w:ascii="宋体" w:hAnsi="宋体"/>
          <w:color w:val="0000FF"/>
          <w:szCs w:val="24"/>
        </w:rPr>
        <w:t>本条对排桩结构入土深度的规定系结合根据区域性岩土工程特性，根据本</w:t>
      </w:r>
      <w:r>
        <w:rPr>
          <w:rFonts w:hint="eastAsia" w:ascii="宋体" w:hAnsi="宋体"/>
          <w:color w:val="0000FF"/>
          <w:szCs w:val="24"/>
          <w:u w:val="single"/>
        </w:rPr>
        <w:t>规范</w:t>
      </w:r>
      <w:r>
        <w:rPr>
          <w:rFonts w:hint="eastAsia" w:ascii="宋体" w:hAnsi="宋体"/>
          <w:color w:val="0000FF"/>
          <w:szCs w:val="24"/>
        </w:rPr>
        <w:t>编制和修订期间对多个建筑与市政工程的基坑设计与施工实例总结分析而得。数值较JGJ120-2012更严格。</w:t>
      </w:r>
    </w:p>
    <w:p>
      <w:pPr>
        <w:widowControl w:val="0"/>
        <w:spacing w:line="480" w:lineRule="exact"/>
        <w:ind w:firstLine="480"/>
        <w:rPr>
          <w:rFonts w:ascii="宋体" w:hAnsi="宋体"/>
          <w:color w:val="0000FF"/>
          <w:szCs w:val="24"/>
        </w:rPr>
      </w:pPr>
      <w:r>
        <w:rPr>
          <w:rFonts w:hint="eastAsia" w:ascii="宋体" w:hAnsi="宋体"/>
          <w:color w:val="0000FF"/>
          <w:szCs w:val="24"/>
        </w:rPr>
        <w:t>太原轨道交通2#线建设初始，相关设计、施工单位函询规范组，针对本条的工程应用，规范组相关专家给予条文解释。随后规范组针对太原轨道交通2#线所有明挖区段进行分组调研，专项课题对涉及本规范若干条文进行专项分析汇总，所提构造入土深度符合当地区域性岩土特性。在太原轨道交通1#线初设时，规范组针对沿线岩土特性针对性的对支挡结构入土深度进行了合理分段，对于软土地段和复杂岩土、水文地段仍然沿用本条规定。</w:t>
      </w:r>
    </w:p>
    <w:p>
      <w:pPr>
        <w:pStyle w:val="3"/>
        <w:bidi w:val="0"/>
      </w:pPr>
      <w:bookmarkStart w:id="1230" w:name="_Toc6677"/>
      <w:bookmarkStart w:id="1231" w:name="_Toc9658"/>
      <w:bookmarkStart w:id="1232" w:name="_Toc8150"/>
      <w:r>
        <w:rPr>
          <w:rFonts w:ascii="Times New Roman" w:hAnsi="Times New Roman"/>
        </w:rPr>
        <w:t>6.4</w:t>
      </w:r>
      <w:r>
        <w:rPr>
          <w:rFonts w:hint="eastAsia"/>
        </w:rPr>
        <w:t xml:space="preserve">  基坑抗隆起稳定性验算</w:t>
      </w:r>
      <w:bookmarkEnd w:id="1225"/>
      <w:bookmarkEnd w:id="1226"/>
      <w:bookmarkEnd w:id="1227"/>
      <w:bookmarkEnd w:id="1228"/>
      <w:bookmarkEnd w:id="1229"/>
      <w:bookmarkEnd w:id="1230"/>
      <w:bookmarkEnd w:id="1231"/>
      <w:bookmarkEnd w:id="1232"/>
    </w:p>
    <w:p>
      <w:pPr>
        <w:widowControl w:val="0"/>
        <w:spacing w:line="480" w:lineRule="exact"/>
        <w:rPr>
          <w:rFonts w:ascii="宋体" w:hAnsi="宋体"/>
          <w:szCs w:val="24"/>
        </w:rPr>
      </w:pPr>
      <w:r>
        <w:rPr>
          <w:rFonts w:ascii="Times New Roman" w:hAnsi="Times New Roman"/>
          <w:b/>
          <w:szCs w:val="24"/>
        </w:rPr>
        <w:t>6.</w:t>
      </w:r>
      <w:r>
        <w:rPr>
          <w:rFonts w:hint="eastAsia" w:ascii="Times New Roman" w:hAnsi="Times New Roman"/>
          <w:b/>
          <w:szCs w:val="24"/>
        </w:rPr>
        <w:t>4.</w:t>
      </w:r>
      <w:r>
        <w:rPr>
          <w:rFonts w:hint="eastAsia" w:ascii="Times New Roman" w:hAnsi="Times New Roman"/>
          <w:b/>
        </w:rPr>
        <w:t xml:space="preserve">1 </w:t>
      </w:r>
      <w:r>
        <w:rPr>
          <w:rFonts w:hint="eastAsia" w:ascii="宋体" w:hAnsi="宋体"/>
          <w:szCs w:val="24"/>
        </w:rPr>
        <w:t>对于锚拉式支挡结构和支撑式支挡结构，由于锚杆和支撑只能对支护结构提供水平向平衡力，对隆起破坏不起作用，因此对深度较大的基坑，当土的强度较低时，只能通过增加挡土构件入土深度来提高抗隆起稳定性</w:t>
      </w:r>
      <w:r>
        <w:rPr>
          <w:rFonts w:ascii="宋体" w:hAnsi="宋体"/>
          <w:szCs w:val="24"/>
        </w:rPr>
        <w:t>。</w:t>
      </w:r>
    </w:p>
    <w:p>
      <w:pPr>
        <w:widowControl w:val="0"/>
        <w:spacing w:line="480" w:lineRule="exact"/>
        <w:rPr>
          <w:rFonts w:ascii="宋体" w:hAnsi="宋体"/>
          <w:szCs w:val="24"/>
        </w:rPr>
      </w:pPr>
      <w:r>
        <w:rPr>
          <w:rFonts w:hint="eastAsia" w:ascii="宋体" w:hAnsi="宋体"/>
          <w:szCs w:val="24"/>
        </w:rPr>
        <w:t xml:space="preserve">    抗隆起稳定性计算是一个复杂的问题。本规范式</w:t>
      </w:r>
      <w:r>
        <w:rPr>
          <w:rFonts w:hint="eastAsia" w:ascii="Times New Roman" w:hAnsi="Times New Roman"/>
          <w:szCs w:val="24"/>
        </w:rPr>
        <w:t>6</w:t>
      </w:r>
      <w:r>
        <w:rPr>
          <w:rFonts w:hint="eastAsia" w:ascii="宋体" w:hAnsi="宋体"/>
          <w:szCs w:val="24"/>
        </w:rPr>
        <w:t>.</w:t>
      </w:r>
      <w:r>
        <w:rPr>
          <w:rFonts w:hint="eastAsia" w:ascii="Times New Roman" w:hAnsi="Times New Roman"/>
          <w:szCs w:val="24"/>
        </w:rPr>
        <w:t>4</w:t>
      </w:r>
      <w:r>
        <w:rPr>
          <w:rFonts w:hint="eastAsia" w:ascii="宋体" w:hAnsi="宋体"/>
          <w:szCs w:val="24"/>
        </w:rPr>
        <w:t>.</w:t>
      </w:r>
      <w:r>
        <w:rPr>
          <w:rFonts w:hint="eastAsia" w:ascii="Times New Roman" w:hAnsi="Times New Roman"/>
          <w:szCs w:val="24"/>
        </w:rPr>
        <w:t>1</w:t>
      </w:r>
      <w:r>
        <w:rPr>
          <w:rFonts w:hint="eastAsia" w:ascii="宋体" w:hAnsi="宋体"/>
          <w:szCs w:val="24"/>
        </w:rPr>
        <w:t>所提供的公式是基于地基极限承载力的Prandtl（普朗德尔）极限平衡理论公式。由于理论假定与实际情况的差异，式</w:t>
      </w:r>
      <w:r>
        <w:rPr>
          <w:rFonts w:hint="eastAsia" w:ascii="Times New Roman" w:hAnsi="Times New Roman"/>
          <w:szCs w:val="24"/>
        </w:rPr>
        <w:t>6</w:t>
      </w:r>
      <w:r>
        <w:rPr>
          <w:rFonts w:hint="eastAsia" w:ascii="宋体" w:hAnsi="宋体"/>
          <w:szCs w:val="24"/>
        </w:rPr>
        <w:t>.</w:t>
      </w:r>
      <w:r>
        <w:rPr>
          <w:rFonts w:hint="eastAsia" w:ascii="Times New Roman" w:hAnsi="Times New Roman"/>
          <w:szCs w:val="24"/>
        </w:rPr>
        <w:t>4</w:t>
      </w:r>
      <w:r>
        <w:rPr>
          <w:rFonts w:hint="eastAsia" w:ascii="宋体" w:hAnsi="宋体"/>
          <w:szCs w:val="24"/>
        </w:rPr>
        <w:t>.</w:t>
      </w:r>
      <w:r>
        <w:rPr>
          <w:rFonts w:hint="eastAsia" w:ascii="Times New Roman" w:hAnsi="Times New Roman"/>
          <w:szCs w:val="24"/>
        </w:rPr>
        <w:t>1</w:t>
      </w:r>
      <w:r>
        <w:rPr>
          <w:rFonts w:hint="eastAsia" w:ascii="宋体" w:hAnsi="宋体"/>
          <w:szCs w:val="24"/>
        </w:rPr>
        <w:t>不适用于挡土构件嵌固尝试很小的情况。需要说明的是，当按本规范抗隆起性验算公式计算的安全系数不满足要求时，虽然不一定发生隆起破坏，但可能会带来其他不利后果。</w:t>
      </w:r>
    </w:p>
    <w:p>
      <w:pPr>
        <w:pStyle w:val="3"/>
        <w:bidi w:val="0"/>
      </w:pPr>
      <w:bookmarkStart w:id="1233" w:name="_Toc385576990"/>
      <w:bookmarkStart w:id="1234" w:name="_Toc388643614"/>
      <w:bookmarkStart w:id="1235" w:name="_Toc385518893"/>
      <w:bookmarkStart w:id="1236" w:name="_Toc388643497"/>
      <w:bookmarkStart w:id="1237" w:name="_Toc3889"/>
      <w:bookmarkStart w:id="1238" w:name="_Toc385579375"/>
      <w:bookmarkStart w:id="1239" w:name="_Toc6779"/>
      <w:bookmarkStart w:id="1240" w:name="_Toc15659"/>
      <w:r>
        <w:rPr>
          <w:rFonts w:hint="eastAsia" w:ascii="Times New Roman" w:hAnsi="Times New Roman"/>
        </w:rPr>
        <w:t xml:space="preserve">6.5  </w:t>
      </w:r>
      <w:r>
        <w:rPr>
          <w:rFonts w:hint="eastAsia"/>
        </w:rPr>
        <w:t>基坑底抗渗流稳定性验算</w:t>
      </w:r>
      <w:bookmarkEnd w:id="1233"/>
      <w:bookmarkEnd w:id="1234"/>
      <w:bookmarkEnd w:id="1235"/>
      <w:bookmarkEnd w:id="1236"/>
      <w:bookmarkEnd w:id="1237"/>
      <w:bookmarkEnd w:id="1238"/>
      <w:bookmarkEnd w:id="1239"/>
      <w:bookmarkEnd w:id="1240"/>
    </w:p>
    <w:p>
      <w:pPr>
        <w:widowControl w:val="0"/>
        <w:spacing w:line="360" w:lineRule="auto"/>
        <w:rPr>
          <w:rFonts w:ascii="宋体" w:hAnsi="宋体"/>
          <w:szCs w:val="24"/>
        </w:rPr>
      </w:pPr>
      <w:r>
        <w:rPr>
          <w:rFonts w:ascii="Times New Roman" w:hAnsi="Times New Roman"/>
          <w:b/>
          <w:szCs w:val="24"/>
        </w:rPr>
        <w:t>6.5.1</w:t>
      </w:r>
      <w:r>
        <w:rPr>
          <w:rFonts w:hint="eastAsia"/>
        </w:rPr>
        <w:t>为防止由于深处承压水的水压力而引起的基坑隆起和突涌，需验算基坑底不透水层厚度与承压水水头压力的关系，基坑开挖后不透水层的安全厚度也由此式决定。</w:t>
      </w:r>
    </w:p>
    <w:p>
      <w:pPr>
        <w:keepNext/>
        <w:keepLines/>
        <w:widowControl/>
        <w:spacing w:before="340" w:after="330" w:line="578" w:lineRule="auto"/>
        <w:jc w:val="center"/>
        <w:outlineLvl w:val="0"/>
        <w:rPr>
          <w:rFonts w:ascii="Times New Roman" w:hAnsi="Times New Roman" w:eastAsia="黑体" w:cs="Times New Roman"/>
          <w:b/>
          <w:bCs/>
          <w:kern w:val="44"/>
          <w:sz w:val="44"/>
          <w:szCs w:val="44"/>
        </w:rPr>
      </w:pPr>
      <w:r>
        <w:rPr>
          <w:rFonts w:ascii="Times New Roman" w:hAnsi="Times New Roman" w:eastAsia="黑体" w:cs="Times New Roman"/>
          <w:b/>
          <w:bCs/>
          <w:kern w:val="44"/>
          <w:sz w:val="44"/>
          <w:szCs w:val="44"/>
        </w:rPr>
        <w:t>7  支护结构选型</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pPr>
        <w:keepNext/>
        <w:keepLines/>
        <w:widowControl/>
        <w:spacing w:line="416" w:lineRule="auto"/>
        <w:jc w:val="center"/>
        <w:outlineLvl w:val="1"/>
        <w:rPr>
          <w:rFonts w:ascii="Times New Roman" w:hAnsi="Times New Roman" w:eastAsia="宋体" w:cs="Times New Roman"/>
          <w:b/>
          <w:bCs/>
          <w:sz w:val="32"/>
          <w:szCs w:val="32"/>
        </w:rPr>
      </w:pPr>
      <w:bookmarkStart w:id="1241" w:name="_Toc385576992"/>
      <w:bookmarkStart w:id="1242" w:name="_Toc388643616"/>
      <w:bookmarkStart w:id="1243" w:name="_Toc5978"/>
      <w:bookmarkStart w:id="1244" w:name="_Toc384304417"/>
      <w:bookmarkStart w:id="1245" w:name="_Toc15993"/>
      <w:bookmarkStart w:id="1246" w:name="_Toc381951650"/>
      <w:bookmarkStart w:id="1247" w:name="_Toc384300189"/>
      <w:bookmarkStart w:id="1248" w:name="_Toc382559795"/>
      <w:bookmarkStart w:id="1249" w:name="_Toc381951455"/>
      <w:bookmarkStart w:id="1250" w:name="_Toc15960"/>
      <w:bookmarkStart w:id="1251" w:name="_Toc381951071"/>
      <w:bookmarkStart w:id="1252" w:name="_Toc385579377"/>
      <w:bookmarkStart w:id="1253" w:name="_Toc384309909"/>
      <w:bookmarkStart w:id="1254" w:name="_Toc27997"/>
      <w:bookmarkStart w:id="1255" w:name="_Toc381950809"/>
      <w:bookmarkStart w:id="1256" w:name="_Toc384310130"/>
      <w:bookmarkStart w:id="1257" w:name="_Toc382559957"/>
      <w:bookmarkStart w:id="1258" w:name="_Toc388643499"/>
      <w:bookmarkStart w:id="1259" w:name="_Toc385518895"/>
      <w:bookmarkStart w:id="1260" w:name="_Toc384300337"/>
      <w:bookmarkStart w:id="1261" w:name="_Toc384304418"/>
      <w:bookmarkStart w:id="1262" w:name="_Toc384300190"/>
      <w:bookmarkStart w:id="1263" w:name="_Toc8418"/>
      <w:bookmarkStart w:id="1264" w:name="_Toc385576993"/>
      <w:bookmarkStart w:id="1265" w:name="_Toc15844"/>
      <w:bookmarkStart w:id="1266" w:name="_Toc381950810"/>
      <w:bookmarkStart w:id="1267" w:name="_Toc384309910"/>
      <w:bookmarkStart w:id="1268" w:name="_Toc381951072"/>
      <w:bookmarkStart w:id="1269" w:name="_Toc385518896"/>
      <w:bookmarkStart w:id="1270" w:name="_Toc382559796"/>
      <w:bookmarkStart w:id="1271" w:name="_Toc381951456"/>
      <w:bookmarkStart w:id="1272" w:name="_Toc388643500"/>
      <w:bookmarkStart w:id="1273" w:name="_Toc388643617"/>
      <w:bookmarkStart w:id="1274" w:name="_Toc384300338"/>
      <w:bookmarkStart w:id="1275" w:name="_Toc384310131"/>
      <w:bookmarkStart w:id="1276" w:name="_Toc381951651"/>
      <w:bookmarkStart w:id="1277" w:name="_Toc30549"/>
      <w:bookmarkStart w:id="1278" w:name="_Toc382559958"/>
      <w:bookmarkStart w:id="1279" w:name="_Toc385579378"/>
      <w:r>
        <w:rPr>
          <w:rFonts w:ascii="Times New Roman" w:hAnsi="Times New Roman" w:eastAsia="宋体" w:cs="Times New Roman"/>
          <w:b/>
          <w:bCs/>
          <w:sz w:val="32"/>
          <w:szCs w:val="32"/>
        </w:rPr>
        <w:t>7.1  一般规定</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szCs w:val="24"/>
        </w:rPr>
        <w:t>7.1.1</w:t>
      </w:r>
      <w:r>
        <w:rPr>
          <w:rFonts w:ascii="Times New Roman" w:hAnsi="Times New Roman" w:eastAsia="宋体" w:cs="Times New Roman"/>
          <w:sz w:val="24"/>
          <w:szCs w:val="24"/>
        </w:rPr>
        <w:t xml:space="preserve"> 基坑支护结构的选型应综合考虑各种因素，同时应重点结合当地的工程经验，采用多种方案进行技术、经济分析比较，最终选定的支护结构形式应安全可靠、技术可行、施工方便、经济合理。</w:t>
      </w:r>
    </w:p>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Pr>
        <w:keepNext/>
        <w:keepLines/>
        <w:widowControl/>
        <w:spacing w:line="416" w:lineRule="auto"/>
        <w:jc w:val="center"/>
        <w:outlineLvl w:val="1"/>
        <w:rPr>
          <w:rFonts w:ascii="Times New Roman" w:hAnsi="Times New Roman" w:eastAsia="宋体" w:cs="Times New Roman"/>
          <w:b/>
          <w:bCs/>
          <w:sz w:val="32"/>
          <w:szCs w:val="32"/>
        </w:rPr>
      </w:pPr>
      <w:bookmarkStart w:id="1280" w:name="_Toc18386"/>
      <w:bookmarkStart w:id="1281" w:name="_Toc381951652"/>
      <w:bookmarkStart w:id="1282" w:name="_Toc385579379"/>
      <w:bookmarkStart w:id="1283" w:name="_Toc382559959"/>
      <w:bookmarkStart w:id="1284" w:name="_Toc384304419"/>
      <w:bookmarkStart w:id="1285" w:name="_Toc385518897"/>
      <w:bookmarkStart w:id="1286" w:name="_Toc30576"/>
      <w:bookmarkStart w:id="1287" w:name="_Toc384310132"/>
      <w:bookmarkStart w:id="1288" w:name="_Toc384300191"/>
      <w:bookmarkStart w:id="1289" w:name="_Toc384309911"/>
      <w:bookmarkStart w:id="1290" w:name="_Toc388643501"/>
      <w:bookmarkStart w:id="1291" w:name="_Toc385576994"/>
      <w:bookmarkStart w:id="1292" w:name="_Toc5830"/>
      <w:bookmarkStart w:id="1293" w:name="_Toc382559797"/>
      <w:bookmarkStart w:id="1294" w:name="_Toc381950811"/>
      <w:bookmarkStart w:id="1295" w:name="_Toc28317"/>
      <w:bookmarkStart w:id="1296" w:name="_Toc388643618"/>
      <w:bookmarkStart w:id="1297" w:name="_Toc381951073"/>
      <w:bookmarkStart w:id="1298" w:name="_Toc384300339"/>
      <w:bookmarkStart w:id="1299" w:name="_Toc381951457"/>
      <w:r>
        <w:rPr>
          <w:rFonts w:ascii="Times New Roman" w:hAnsi="Times New Roman" w:eastAsia="宋体" w:cs="Times New Roman"/>
          <w:b/>
          <w:bCs/>
          <w:sz w:val="32"/>
          <w:szCs w:val="32"/>
        </w:rPr>
        <w:t>7.2  现场周边环境</w:t>
      </w:r>
      <w:bookmarkEnd w:id="1280"/>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szCs w:val="24"/>
        </w:rPr>
        <w:t>7.2.1</w:t>
      </w:r>
      <w:r>
        <w:rPr>
          <w:rFonts w:ascii="Times New Roman" w:hAnsi="Times New Roman" w:eastAsia="宋体" w:cs="Times New Roman"/>
          <w:sz w:val="24"/>
          <w:szCs w:val="24"/>
        </w:rPr>
        <w:t xml:space="preserve"> 基坑周边环境条件是基坑支护设计的重要依据之一。城市内新建建筑物的周边通常都存在</w:t>
      </w:r>
      <w:r>
        <w:rPr>
          <w:rFonts w:hint="eastAsia" w:ascii="Times New Roman" w:hAnsi="Times New Roman" w:eastAsia="宋体" w:cs="Times New Roman"/>
          <w:sz w:val="24"/>
          <w:szCs w:val="24"/>
        </w:rPr>
        <w:t>既有</w:t>
      </w:r>
      <w:r>
        <w:rPr>
          <w:rFonts w:ascii="Times New Roman" w:hAnsi="Times New Roman" w:eastAsia="宋体" w:cs="Times New Roman"/>
          <w:sz w:val="24"/>
          <w:szCs w:val="24"/>
        </w:rPr>
        <w:t>建（构）筑物</w:t>
      </w:r>
      <w:r>
        <w:rPr>
          <w:rFonts w:ascii="Times New Roman" w:hAnsi="Times New Roman" w:eastAsia="宋体" w:cs="Times New Roman"/>
          <w:sz w:val="24"/>
        </w:rPr>
        <w:t>、</w:t>
      </w:r>
      <w:r>
        <w:rPr>
          <w:rFonts w:ascii="Times New Roman" w:hAnsi="Times New Roman" w:eastAsia="宋体" w:cs="Times New Roman"/>
          <w:sz w:val="24"/>
          <w:szCs w:val="24"/>
        </w:rPr>
        <w:t>各种市政地下管线、道路、地下轨道交通设施等，而基坑支护的作用主要是保护其周边环境不受损害。同时，基坑周边</w:t>
      </w:r>
      <w:r>
        <w:rPr>
          <w:rFonts w:hint="eastAsia" w:ascii="Times New Roman" w:hAnsi="Times New Roman" w:eastAsia="宋体" w:cs="Times New Roman"/>
          <w:sz w:val="24"/>
          <w:szCs w:val="24"/>
        </w:rPr>
        <w:t>既有</w:t>
      </w:r>
      <w:r>
        <w:rPr>
          <w:rFonts w:ascii="Times New Roman" w:hAnsi="Times New Roman" w:eastAsia="宋体" w:cs="Times New Roman"/>
          <w:sz w:val="24"/>
          <w:szCs w:val="24"/>
        </w:rPr>
        <w:t>建筑物荷载会增加作用在支护结构上的荷载，支护结构的施工也需要考虑周边建筑物地下室、地下管线、地下构筑物、地下轨道交通设施等的影响。实际工程中因对基坑周边环境条件缺乏准确了解或忽视而造成的工程事故时有发生。为了使基坑支护设计针对性更强，应准确查明基坑周边环境条件，并按这些环境条件进行设计，施工时应防止对其造成破坏。</w:t>
      </w:r>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szCs w:val="24"/>
        </w:rPr>
        <w:t>7.2.2</w:t>
      </w:r>
      <w:r>
        <w:rPr>
          <w:rFonts w:ascii="Times New Roman" w:hAnsi="Times New Roman" w:eastAsia="宋体" w:cs="Times New Roman"/>
          <w:b/>
          <w:sz w:val="24"/>
        </w:rPr>
        <w:t xml:space="preserve"> </w:t>
      </w:r>
      <w:r>
        <w:rPr>
          <w:rFonts w:ascii="Times New Roman" w:hAnsi="Times New Roman" w:eastAsia="宋体" w:cs="Times New Roman"/>
          <w:sz w:val="24"/>
          <w:szCs w:val="24"/>
        </w:rPr>
        <w:t>对基坑周边存在有对变形敏感的重要建（构）筑物时，应加大调查范围，采取更加可靠的基坑支护设计方案。</w:t>
      </w:r>
    </w:p>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Pr>
        <w:keepNext/>
        <w:keepLines/>
        <w:widowControl/>
        <w:spacing w:line="416" w:lineRule="auto"/>
        <w:jc w:val="center"/>
        <w:outlineLvl w:val="1"/>
        <w:rPr>
          <w:rFonts w:ascii="Times New Roman" w:hAnsi="Times New Roman" w:eastAsia="宋体" w:cs="Times New Roman"/>
          <w:b/>
          <w:bCs/>
          <w:sz w:val="32"/>
          <w:szCs w:val="32"/>
        </w:rPr>
      </w:pPr>
      <w:bookmarkStart w:id="1300" w:name="_Toc25603"/>
      <w:r>
        <w:rPr>
          <w:rFonts w:ascii="Times New Roman" w:hAnsi="Times New Roman" w:eastAsia="宋体" w:cs="Times New Roman"/>
          <w:b/>
          <w:bCs/>
          <w:sz w:val="32"/>
          <w:szCs w:val="32"/>
        </w:rPr>
        <w:t>7.3  支护结构及适用条件</w:t>
      </w:r>
      <w:bookmarkEnd w:id="1300"/>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szCs w:val="24"/>
        </w:rPr>
        <w:t>7.3.1</w:t>
      </w:r>
      <w:r>
        <w:rPr>
          <w:rFonts w:ascii="Times New Roman" w:hAnsi="Times New Roman" w:eastAsia="宋体" w:cs="Times New Roman"/>
          <w:sz w:val="24"/>
          <w:szCs w:val="24"/>
        </w:rPr>
        <w:t xml:space="preserve"> 在本</w:t>
      </w:r>
      <w:r>
        <w:rPr>
          <w:rFonts w:hint="eastAsia" w:ascii="Times New Roman" w:hAnsi="Times New Roman" w:eastAsia="宋体" w:cs="Times New Roman"/>
          <w:sz w:val="24"/>
          <w:szCs w:val="24"/>
        </w:rPr>
        <w:t>标准</w:t>
      </w:r>
      <w:r>
        <w:rPr>
          <w:rFonts w:ascii="Times New Roman" w:hAnsi="Times New Roman" w:eastAsia="宋体" w:cs="Times New Roman"/>
          <w:sz w:val="24"/>
          <w:szCs w:val="24"/>
        </w:rPr>
        <w:t>中，支挡式结构是由挡土构件和锚杆（索）或支撑组成的支护结构体系的总称，这类支护结构体系都可用弹性支点法的计算简图进行结构分析，其受力机理明确，计算方法和工程实践相对成熟，是目前应用最多也较为可靠的支护结构形式。其结构形式主要有悬臂式、双排桩、锚拉式、支撑式。</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悬臂式支挡结构顶部位移较大，内力分布不均匀，但可省去支撑和锚杆，当基坑较浅且基坑周边环境对支护结构位移的限制不严格时，可采用此类支挡结构形式。双排桩支挡结构是一种刚架结构形式，其内力分布特性明显优于悬臂式结构，水平位移也比悬臂式结构小得多，适用的基坑深度比悬臂式结构略深，但占用场地较大，当不适合采用其他支护结构形式且在场地条件及基坑深度均满足要求的情况下，可采用双排桩支挡结构。</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锚拉式支挡结构和支撑式支挡结构易于控制水平变形，挡土构件内力分布均匀，当基坑较深或基坑周边环境对支护结构位移要求严格时，常采用这种结构形式。从技术角度来看，支撑式支挡结构比锚拉式支挡结构适用范围更宽，但内支撑的设置给后期土方开挖及主体结构施工带来的影响较大，而锚拉式支挡结构可以给后期土方开挖及主体结构施工提供很大的便利。所以，当能采用其他支护结构形式时，一般不首选内支撑结构，但锚拉式结构也有其适用条件。锚杆长期留在地下，给相邻地域的使用和地下空间开发利用造成障碍，不符合保护环境和可持续发展的要求</w:t>
      </w:r>
      <w:r>
        <w:rPr>
          <w:rFonts w:ascii="Times New Roman" w:hAnsi="Times New Roman" w:eastAsia="宋体" w:cs="Times New Roman"/>
          <w:sz w:val="24"/>
        </w:rPr>
        <w:t>。</w:t>
      </w:r>
      <w:r>
        <w:rPr>
          <w:rFonts w:ascii="Times New Roman" w:hAnsi="Times New Roman" w:eastAsia="宋体" w:cs="Times New Roman"/>
          <w:sz w:val="24"/>
          <w:szCs w:val="24"/>
        </w:rPr>
        <w:t>我省目前还没有禁止锚杆侵入红线之外的地下区域的规定，但锚杆一般也应尽量不超越用地红线，同时也尽可能不击入邻近建（构）筑物基础之下。</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近年来，山西地区仅太原市有部分工程深基坑采用地下连续墙作为支护体系，其工程实践经验较少，参考全国其他地区的经验，采用地下连续墙作为支护体系的基坑工程，一般均为基坑开挖深度深、面积大，且周边环境保护要求较高的工程，一般情况下，宜同时用作主体地下结构的外墙，否则，其支护费用偏高。因此，如确需要采用地下连续墙作支护结构，在方案确定前宜开展充分的技术经济分析。</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近年来，</w:t>
      </w:r>
      <w:r>
        <w:rPr>
          <w:rFonts w:hint="eastAsia" w:ascii="Times New Roman" w:hAnsi="Times New Roman" w:eastAsia="宋体" w:cs="Times New Roman"/>
          <w:sz w:val="24"/>
          <w:szCs w:val="24"/>
        </w:rPr>
        <w:t>我省</w:t>
      </w:r>
      <w:r>
        <w:rPr>
          <w:rFonts w:ascii="Times New Roman" w:hAnsi="Times New Roman" w:eastAsia="宋体" w:cs="Times New Roman"/>
          <w:sz w:val="24"/>
          <w:szCs w:val="24"/>
        </w:rPr>
        <w:t>城市基础设施建设规模发展迅猛，越来越多的建(构)筑物和市政建设项目需要开挖基坑，大部分基坑工程具有工期紧、施工场地狭小、周边环境复杂等特点，为适应基坑支护需要，兴起了一种钢板桩支护方式。钢板桩支护特点具有施工简便、快捷高效、挡土和止水双重功能、能拔出重复利用，基于以上优越性，钢板桩支护方式逐渐受到越来越多人们的重视和采用。</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型钢水泥土搅拌墙，通常称为SMW工法桩，是基于深层搅拌桩施工工艺发展起来的，这种结构充分发挥了水泥土混合体和型钢的力学特性，具有经济、工期短、隔水性强、对周围环境影响小等特点。型钢水泥土搅拌墙支护结构在主体结构完成后，可以将H型钢从水泥土搅拌桩中拔出，达到回收和再次利用的目的。因此该工法与常规的支护形式相比不仅工期短，施工过程无污染，场地整洁干净、噪声小，而且可以节约社会资源，避免支护体在主体结构施工后永久遗留于地下，成为地下障碍物。型钢水泥土搅拌墙近年来在我省基坑工程中广泛应用，积累了丰富的经验。</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土钉墙作为一种经济、简便、施工快捷</w:t>
      </w:r>
      <w:r>
        <w:rPr>
          <w:rFonts w:ascii="Times New Roman" w:hAnsi="Times New Roman" w:eastAsia="宋体" w:cs="Times New Roman"/>
          <w:sz w:val="24"/>
        </w:rPr>
        <w:t>、</w:t>
      </w:r>
      <w:r>
        <w:rPr>
          <w:rFonts w:ascii="Times New Roman" w:hAnsi="Times New Roman" w:eastAsia="宋体" w:cs="Times New Roman"/>
          <w:sz w:val="24"/>
          <w:szCs w:val="24"/>
        </w:rPr>
        <w:t>不需要大型施工设备的基坑支护形式，在工程中应用较多。土钉墙是被动受力的支护结构，当土体产生变形或有变形趋势后土钉才会受力，因此随着土方开挖土钉墙坡体内总是会产生大大小小的裂缝，成为良好的渗流通道。大量工程实践表明，许多土钉墙的破坏都是由于地下水以及各种地表水和管道渗水的作用引起的，因此土钉墙必须做好防排水工作，且自身不宜作为挡水结构。另外，</w:t>
      </w:r>
      <w:r>
        <w:rPr>
          <w:rFonts w:ascii="Times New Roman" w:hAnsi="Times New Roman" w:eastAsia="宋体" w:cs="Times New Roman"/>
          <w:sz w:val="24"/>
        </w:rPr>
        <w:t>目前</w:t>
      </w:r>
      <w:r>
        <w:rPr>
          <w:rFonts w:ascii="Times New Roman" w:hAnsi="Times New Roman" w:eastAsia="宋体" w:cs="Times New Roman"/>
          <w:sz w:val="24"/>
          <w:szCs w:val="24"/>
        </w:rPr>
        <w:t>土钉墙设计中的一些问题尚未解决或没有成熟、统一的认识，</w:t>
      </w:r>
      <w:r>
        <w:rPr>
          <w:rFonts w:ascii="Times New Roman" w:hAnsi="Times New Roman" w:eastAsia="宋体" w:cs="Times New Roman"/>
          <w:sz w:val="24"/>
        </w:rPr>
        <w:t>比如</w:t>
      </w:r>
      <w:r>
        <w:rPr>
          <w:rFonts w:ascii="Times New Roman" w:hAnsi="Times New Roman" w:eastAsia="宋体" w:cs="Times New Roman"/>
          <w:sz w:val="24"/>
          <w:szCs w:val="24"/>
        </w:rPr>
        <w:t>土钉墙作为一种结构形式，还没有完整的实用结构分析方法</w:t>
      </w:r>
      <w:r>
        <w:rPr>
          <w:rFonts w:ascii="Times New Roman" w:hAnsi="Times New Roman" w:eastAsia="宋体" w:cs="Times New Roman"/>
          <w:sz w:val="24"/>
        </w:rPr>
        <w:t>；</w:t>
      </w:r>
      <w:r>
        <w:rPr>
          <w:rFonts w:ascii="Times New Roman" w:hAnsi="Times New Roman" w:eastAsia="宋体" w:cs="Times New Roman"/>
          <w:sz w:val="24"/>
          <w:szCs w:val="24"/>
        </w:rPr>
        <w:t>土钉墙位移计算问题没有得到根本解决。由于目前土钉墙的通常做法是土钉不施加预应力，只有在基坑有一定变形后土钉才会达到工作状态下的受力水平，因此，理论上土钉墙位移和沉降较大。</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土钉墙与水泥土桩、微型桩和预应力锚杆可以组合形成多种复合土钉墙，不同的组合形式作用不同，应根据实际工程需要选择。</w:t>
      </w:r>
    </w:p>
    <w:p>
      <w:pPr>
        <w:spacing w:line="4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水泥土墙使用的土质条件较窄，实际工程应用也不普遍，一般在深度不大的软土基坑，由于锚杆没有合适的锚固土层，不能提供足够的锚固力，内支撑又会增加主体地下结构施工的难度，当技术、经济、工期综合分析比较较优时，才会选择水泥土墙这种支护形式。水泥土墙一般采用搅拌桩，墙体材料是</w:t>
      </w:r>
      <w:r>
        <w:rPr>
          <w:rFonts w:ascii="Times New Roman" w:hAnsi="Times New Roman" w:eastAsia="宋体" w:cs="Times New Roman"/>
          <w:sz w:val="24"/>
        </w:rPr>
        <w:t>水泥土</w:t>
      </w:r>
      <w:r>
        <w:rPr>
          <w:rFonts w:ascii="Times New Roman" w:hAnsi="Times New Roman" w:eastAsia="宋体" w:cs="Times New Roman"/>
          <w:sz w:val="24"/>
          <w:szCs w:val="24"/>
        </w:rPr>
        <w:t>，其抗拉、抗剪强度较低。因此，只有按重力式结构设计时，才会具有一定优势。本</w:t>
      </w:r>
      <w:r>
        <w:rPr>
          <w:rFonts w:hint="eastAsia" w:ascii="Times New Roman" w:hAnsi="Times New Roman" w:eastAsia="宋体" w:cs="Times New Roman"/>
          <w:sz w:val="24"/>
          <w:szCs w:val="24"/>
        </w:rPr>
        <w:t>标准</w:t>
      </w:r>
      <w:r>
        <w:rPr>
          <w:rFonts w:ascii="Times New Roman" w:hAnsi="Times New Roman" w:eastAsia="宋体" w:cs="Times New Roman"/>
          <w:sz w:val="24"/>
          <w:szCs w:val="24"/>
        </w:rPr>
        <w:t>对水泥土墙的规定，均指重力式结构。</w:t>
      </w:r>
    </w:p>
    <w:p>
      <w:pPr>
        <w:widowControl w:val="0"/>
        <w:spacing w:line="480" w:lineRule="exact"/>
        <w:ind w:firstLine="480" w:firstLineChars="200"/>
        <w:rPr>
          <w:rFonts w:ascii="宋体" w:hAnsi="宋体"/>
          <w:szCs w:val="24"/>
        </w:rPr>
      </w:pPr>
      <w:r>
        <w:rPr>
          <w:rFonts w:ascii="Times New Roman" w:hAnsi="Times New Roman"/>
          <w:szCs w:val="24"/>
        </w:rPr>
        <w:br w:type="page"/>
      </w:r>
    </w:p>
    <w:p>
      <w:pPr>
        <w:jc w:val="left"/>
        <w:rPr>
          <w:rFonts w:ascii="Times New Roman" w:hAnsi="Times New Roman"/>
          <w:szCs w:val="24"/>
        </w:rPr>
      </w:pPr>
    </w:p>
    <w:p>
      <w:pPr>
        <w:pStyle w:val="2"/>
        <w:bidi w:val="0"/>
        <w:rPr>
          <w:rFonts w:ascii="宋体" w:hAnsi="宋体"/>
          <w:szCs w:val="24"/>
        </w:rPr>
      </w:pPr>
      <w:bookmarkStart w:id="1301" w:name="_Toc12327"/>
      <w:bookmarkStart w:id="1302" w:name="_Toc29750"/>
      <w:bookmarkStart w:id="1303" w:name="_Toc30144"/>
      <w:bookmarkStart w:id="1304" w:name="_Toc384310134"/>
      <w:bookmarkStart w:id="1305" w:name="_Toc381950813"/>
      <w:bookmarkStart w:id="1306" w:name="_Toc381951654"/>
      <w:bookmarkStart w:id="1307" w:name="_Toc375034049"/>
      <w:bookmarkStart w:id="1308" w:name="_Toc381951075"/>
      <w:bookmarkStart w:id="1309" w:name="_Toc384309913"/>
      <w:bookmarkStart w:id="1310" w:name="_Toc369880245"/>
      <w:bookmarkStart w:id="1311" w:name="_Toc385579381"/>
      <w:bookmarkStart w:id="1312" w:name="_Toc14358"/>
      <w:bookmarkStart w:id="1313" w:name="_Toc8872"/>
      <w:bookmarkStart w:id="1314" w:name="_Toc381951459"/>
      <w:bookmarkStart w:id="1315" w:name="_Toc384304421"/>
      <w:bookmarkStart w:id="1316" w:name="_Toc388643503"/>
      <w:bookmarkStart w:id="1317" w:name="_Toc384300193"/>
      <w:bookmarkStart w:id="1318" w:name="_Toc385518899"/>
      <w:bookmarkStart w:id="1319" w:name="_Toc369733266"/>
      <w:bookmarkStart w:id="1320" w:name="_Toc382559799"/>
      <w:bookmarkStart w:id="1321" w:name="_Toc385576996"/>
      <w:bookmarkStart w:id="1322" w:name="_Toc388643620"/>
      <w:bookmarkStart w:id="1323" w:name="_Toc28161"/>
      <w:bookmarkStart w:id="1324" w:name="_Toc368170547"/>
      <w:bookmarkStart w:id="1325" w:name="_Toc375039750"/>
      <w:bookmarkStart w:id="1326" w:name="_Toc384300341"/>
      <w:bookmarkStart w:id="1327" w:name="_Toc382559961"/>
      <w:r>
        <w:rPr>
          <w:rFonts w:ascii="Times New Roman" w:hAnsi="Times New Roman"/>
        </w:rPr>
        <w:t>8</w:t>
      </w:r>
      <w:r>
        <w:rPr>
          <w:rFonts w:hint="eastAsia"/>
        </w:rPr>
        <w:t xml:space="preserve">  支护结构</w:t>
      </w:r>
      <w:bookmarkEnd w:id="1301"/>
      <w:bookmarkEnd w:id="1302"/>
      <w:bookmarkEnd w:id="1303"/>
    </w:p>
    <w:p>
      <w:pPr>
        <w:pStyle w:val="3"/>
        <w:bidi w:val="0"/>
      </w:pPr>
      <w:r>
        <w:rPr>
          <w:rFonts w:ascii="Times New Roman" w:hAnsi="Times New Roman"/>
        </w:rPr>
        <w:t>8.1</w:t>
      </w:r>
      <w:r>
        <w:rPr>
          <w:rFonts w:hint="eastAsia" w:ascii="Times New Roman" w:hAnsi="Times New Roman"/>
        </w:rPr>
        <w:t xml:space="preserve">  </w:t>
      </w:r>
      <w:r>
        <w:rPr>
          <w:rFonts w:hint="eastAsia"/>
        </w:rPr>
        <w:t>排桩支护</w:t>
      </w:r>
    </w:p>
    <w:p>
      <w:pPr>
        <w:bidi w:val="0"/>
        <w:jc w:val="center"/>
        <w:rPr>
          <w:rFonts w:ascii="Times New Roman" w:hAnsi="Times New Roman"/>
          <w:b/>
          <w:sz w:val="28"/>
          <w:szCs w:val="24"/>
        </w:rPr>
      </w:pPr>
      <w:r>
        <w:rPr>
          <w:rFonts w:hint="eastAsia" w:ascii="宋体" w:hAnsi="宋体" w:cs="宋体"/>
          <w:b/>
          <w:sz w:val="28"/>
          <w:szCs w:val="24"/>
        </w:rPr>
        <w:t>Ⅰ</w:t>
      </w:r>
      <w:r>
        <w:rPr>
          <w:rFonts w:hint="eastAsia" w:ascii="Times New Roman" w:hAnsi="Times New Roman"/>
          <w:b/>
          <w:sz w:val="28"/>
          <w:szCs w:val="24"/>
        </w:rPr>
        <w:t xml:space="preserve"> 一般规定</w:t>
      </w:r>
    </w:p>
    <w:p>
      <w:pPr>
        <w:widowControl w:val="0"/>
        <w:spacing w:line="480" w:lineRule="exact"/>
        <w:rPr>
          <w:rFonts w:ascii="宋体" w:hAnsi="宋体"/>
          <w:szCs w:val="24"/>
        </w:rPr>
      </w:pPr>
      <w:r>
        <w:rPr>
          <w:rFonts w:ascii="Times New Roman" w:hAnsi="Times New Roman"/>
          <w:b/>
        </w:rPr>
        <w:t>8.1.1</w:t>
      </w:r>
      <w:r>
        <w:rPr>
          <w:rFonts w:ascii="Times New Roman" w:hAnsi="Times New Roman"/>
          <w:b/>
          <w:szCs w:val="24"/>
        </w:rPr>
        <w:t>～</w:t>
      </w:r>
      <w:r>
        <w:rPr>
          <w:rFonts w:ascii="Times New Roman" w:hAnsi="Times New Roman"/>
          <w:b/>
        </w:rPr>
        <w:t>8.1.3</w:t>
      </w:r>
      <w:r>
        <w:rPr>
          <w:rFonts w:hint="eastAsia" w:ascii="宋体" w:hAnsi="宋体"/>
          <w:b/>
        </w:rPr>
        <w:t xml:space="preserve"> </w:t>
      </w:r>
      <w:r>
        <w:rPr>
          <w:rFonts w:hint="eastAsia"/>
        </w:rPr>
        <w:t>此</w:t>
      </w:r>
      <w:r>
        <w:rPr>
          <w:rFonts w:hint="eastAsia" w:ascii="Times New Roman" w:hAnsi="Times New Roman"/>
        </w:rPr>
        <w:t>3</w:t>
      </w:r>
      <w:r>
        <w:rPr>
          <w:rFonts w:hint="eastAsia" w:ascii="宋体" w:hAnsi="宋体"/>
          <w:szCs w:val="24"/>
        </w:rPr>
        <w:t>条是排桩支护结构中，对各种具体支护形式适用条件的规定。</w:t>
      </w:r>
      <w:r>
        <w:rPr>
          <w:rFonts w:hint="eastAsia"/>
        </w:rPr>
        <w:t>土</w:t>
      </w:r>
      <w:r>
        <w:rPr>
          <w:rFonts w:hint="eastAsia" w:ascii="宋体" w:hAnsi="宋体"/>
          <w:szCs w:val="24"/>
        </w:rPr>
        <w:t>排桩支护结构受力明确，计算方法及工程经验较为成熟，是目前基坑工程中应用最为广泛同时也较为可靠的支护形式。在支护结构选型时，应根据本规</w:t>
      </w:r>
      <w:r>
        <w:rPr>
          <w:rFonts w:hint="eastAsia"/>
        </w:rPr>
        <w:t>范</w:t>
      </w:r>
      <w:r>
        <w:rPr>
          <w:rFonts w:hint="eastAsia" w:ascii="宋体" w:hAnsi="宋体"/>
          <w:szCs w:val="24"/>
        </w:rPr>
        <w:t>第</w:t>
      </w:r>
      <w:r>
        <w:rPr>
          <w:rFonts w:hint="eastAsia" w:ascii="Times New Roman" w:hAnsi="Times New Roman"/>
          <w:szCs w:val="24"/>
        </w:rPr>
        <w:t>8</w:t>
      </w:r>
      <w:r>
        <w:rPr>
          <w:rFonts w:hint="eastAsia" w:ascii="宋体" w:hAnsi="宋体"/>
          <w:szCs w:val="24"/>
        </w:rPr>
        <w:t>.</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8</w:t>
      </w:r>
      <w:r>
        <w:rPr>
          <w:rFonts w:hint="eastAsia" w:ascii="宋体" w:hAnsi="宋体"/>
          <w:szCs w:val="24"/>
        </w:rPr>
        <w:t>.</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3</w:t>
      </w:r>
      <w:r>
        <w:rPr>
          <w:rFonts w:hint="eastAsia" w:ascii="宋体" w:hAnsi="宋体"/>
          <w:szCs w:val="24"/>
        </w:rPr>
        <w:t>条综合考虑其适用条件。</w:t>
      </w:r>
    </w:p>
    <w:p>
      <w:pPr>
        <w:widowControl w:val="0"/>
        <w:spacing w:line="480" w:lineRule="exact"/>
        <w:rPr>
          <w:rFonts w:ascii="宋体" w:hAnsi="宋体"/>
          <w:szCs w:val="24"/>
        </w:rPr>
      </w:pPr>
      <w:r>
        <w:rPr>
          <w:rFonts w:hint="eastAsia" w:ascii="Times New Roman" w:hAnsi="Times New Roman"/>
          <w:b/>
        </w:rPr>
        <w:t xml:space="preserve">8.1.4 </w:t>
      </w:r>
      <w:r>
        <w:rPr>
          <w:rFonts w:hint="eastAsia" w:ascii="宋体" w:hAnsi="宋体"/>
          <w:szCs w:val="24"/>
        </w:rPr>
        <w:t>支挡式结构应根据具体形式与受力、变形特性等采用下列分析方法：</w:t>
      </w:r>
    </w:p>
    <w:p>
      <w:pPr>
        <w:widowControl w:val="0"/>
        <w:spacing w:line="480" w:lineRule="exact"/>
        <w:ind w:firstLine="480" w:firstLineChars="200"/>
        <w:rPr>
          <w:rFonts w:ascii="宋体" w:hAnsi="宋体"/>
          <w:szCs w:val="24"/>
        </w:rPr>
      </w:pPr>
      <w:r>
        <w:rPr>
          <w:rFonts w:hint="eastAsia" w:ascii="宋体" w:hAnsi="宋体"/>
          <w:szCs w:val="24"/>
        </w:rPr>
        <w:t>第</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3</w:t>
      </w:r>
      <w:r>
        <w:rPr>
          <w:rFonts w:hint="eastAsia" w:ascii="宋体" w:hAnsi="宋体"/>
          <w:szCs w:val="24"/>
        </w:rPr>
        <w:t>款方法的分析对象为支护结构本身，不包括土体。土体对支护结构的作用视作荷载或约束。这种分析方法将支护结构看作杆系结构，一般都按线弹性考虑，是目前最常用和成熟的支护结构分析方法，适用于大部分支挡式结构。</w:t>
      </w:r>
    </w:p>
    <w:p>
      <w:pPr>
        <w:widowControl w:val="0"/>
        <w:spacing w:line="480" w:lineRule="exact"/>
        <w:ind w:firstLine="480" w:firstLineChars="200"/>
        <w:rPr>
          <w:rFonts w:ascii="宋体" w:hAnsi="宋体"/>
          <w:szCs w:val="24"/>
        </w:rPr>
      </w:pPr>
      <w:r>
        <w:rPr>
          <w:rFonts w:hint="eastAsia" w:ascii="宋体" w:hAnsi="宋体"/>
          <w:szCs w:val="24"/>
        </w:rPr>
        <w:t>本条第</w:t>
      </w:r>
      <w:r>
        <w:rPr>
          <w:rFonts w:hint="eastAsia" w:ascii="Times New Roman" w:hAnsi="Times New Roman"/>
          <w:szCs w:val="24"/>
        </w:rPr>
        <w:t>1</w:t>
      </w:r>
      <w:r>
        <w:rPr>
          <w:rFonts w:hint="eastAsia" w:ascii="宋体" w:hAnsi="宋体"/>
          <w:szCs w:val="24"/>
        </w:rPr>
        <w:t>款针对锚杆—排桩结构，是对如何将空间结构分解为两类平面结构的规定。首先将挡土结构(排桩)取作分析对象，按梁计算。排桩结构宜采用平面杆系结构弹性支点法进行分析。</w:t>
      </w:r>
    </w:p>
    <w:p>
      <w:pPr>
        <w:widowControl w:val="0"/>
        <w:spacing w:line="480" w:lineRule="exact"/>
        <w:ind w:firstLine="480" w:firstLineChars="200"/>
        <w:rPr>
          <w:rFonts w:ascii="宋体" w:hAnsi="宋体"/>
          <w:szCs w:val="24"/>
        </w:rPr>
      </w:pPr>
      <w:r>
        <w:rPr>
          <w:rFonts w:hint="eastAsia" w:ascii="宋体" w:hAnsi="宋体"/>
          <w:szCs w:val="24"/>
        </w:rPr>
        <w:t>由于排桩端部嵌入土中，土对结构变形的约束作用与通常结构支承不同，土的变形影响不可忽略，不能看作固定端。锚杆作为梁的支承，其变形的影响同样不可忽略，也不能作为铰支座或滚轴支座。因此，排桩按梁计算时，土和锚杆对挡土结构的支承应简化为弹性支座，应采用本节规定的弹性支点法计算简图。经计算分析比较，分别用弹性支点法和非弹性支座计算的排桩内力和位移相差较大，说明按非弹性支座进行简化是不合适的。</w:t>
      </w:r>
    </w:p>
    <w:p>
      <w:pPr>
        <w:widowControl w:val="0"/>
        <w:spacing w:line="480" w:lineRule="exact"/>
        <w:ind w:firstLine="480" w:firstLineChars="200"/>
        <w:rPr>
          <w:rFonts w:ascii="宋体" w:hAnsi="宋体"/>
          <w:szCs w:val="24"/>
        </w:rPr>
      </w:pPr>
      <w:r>
        <w:rPr>
          <w:rFonts w:hint="eastAsia" w:ascii="宋体" w:hAnsi="宋体"/>
          <w:szCs w:val="24"/>
        </w:rPr>
        <w:t>腰梁、冠梁的计算较为简单，只需以挡土结构分析时得出的支点力作为荷载，根据腰梁、冠梁的实际约束情况，按简支梁或连续梁算出其内力，将支点力转换为锚杆轴力。</w:t>
      </w:r>
    </w:p>
    <w:p>
      <w:pPr>
        <w:widowControl w:val="0"/>
        <w:spacing w:line="480" w:lineRule="exact"/>
        <w:ind w:firstLine="480" w:firstLineChars="200"/>
        <w:rPr>
          <w:rFonts w:ascii="宋体" w:hAnsi="宋体"/>
          <w:szCs w:val="24"/>
        </w:rPr>
      </w:pPr>
      <w:r>
        <w:rPr>
          <w:rFonts w:hint="eastAsia" w:ascii="宋体" w:hAnsi="宋体"/>
          <w:szCs w:val="24"/>
        </w:rPr>
        <w:t>本条第</w:t>
      </w:r>
      <w:r>
        <w:rPr>
          <w:rFonts w:hint="eastAsia" w:ascii="Times New Roman" w:hAnsi="Times New Roman"/>
          <w:szCs w:val="24"/>
        </w:rPr>
        <w:t>2</w:t>
      </w:r>
      <w:r>
        <w:rPr>
          <w:rFonts w:hint="eastAsia" w:ascii="宋体" w:hAnsi="宋体"/>
          <w:szCs w:val="24"/>
        </w:rPr>
        <w:t>款针对内支撑—排桩结构，其结构的分解简化原则与锚杆一排桩结构相同。同样，首先将挡土结构(排桩)取作分析对象，按梁计算。排桩结构宜采用平面杆系结构弹性支点法进行分析，分解出的内支撑结构按平面结构进行分析，将排桩结构分析时得出的支点力作为荷载反向加至内支撑上，内支撑计算分析的具体要求见本规范第</w:t>
      </w:r>
      <w:r>
        <w:rPr>
          <w:rFonts w:hint="eastAsia" w:ascii="Times New Roman" w:hAnsi="Times New Roman"/>
        </w:rPr>
        <w:t>8</w:t>
      </w:r>
      <w:r>
        <w:rPr>
          <w:rFonts w:hint="eastAsia"/>
        </w:rPr>
        <w:t>.</w:t>
      </w:r>
      <w:r>
        <w:rPr>
          <w:rFonts w:hint="eastAsia" w:ascii="Times New Roman" w:hAnsi="Times New Roman"/>
        </w:rPr>
        <w:t>4</w:t>
      </w:r>
      <w:r>
        <w:rPr>
          <w:rFonts w:hint="eastAsia" w:ascii="宋体" w:hAnsi="宋体"/>
          <w:szCs w:val="24"/>
        </w:rPr>
        <w:t>节。值得注意的是，将内支撑—排桩结构分解为挡土结构和内支撑结构并分别独立计算时，在其连接处是应满足变形协调条件的。当计算的变形不协调时，应调整在其连接处简化的弹性支座的弹簧刚度等约束条件，直至满足变形协调。</w:t>
      </w:r>
    </w:p>
    <w:p>
      <w:pPr>
        <w:widowControl w:val="0"/>
        <w:spacing w:line="480" w:lineRule="exact"/>
        <w:ind w:firstLine="480" w:firstLineChars="200"/>
        <w:rPr>
          <w:rFonts w:ascii="宋体" w:hAnsi="宋体"/>
          <w:szCs w:val="24"/>
        </w:rPr>
      </w:pPr>
      <w:r>
        <w:rPr>
          <w:rFonts w:hint="eastAsia" w:ascii="宋体" w:hAnsi="宋体"/>
          <w:szCs w:val="24"/>
        </w:rPr>
        <w:t>本条第</w:t>
      </w:r>
      <w:r>
        <w:rPr>
          <w:rFonts w:hint="eastAsia" w:ascii="Times New Roman" w:hAnsi="Times New Roman"/>
          <w:szCs w:val="24"/>
        </w:rPr>
        <w:t>3</w:t>
      </w:r>
      <w:r>
        <w:rPr>
          <w:rFonts w:hint="eastAsia" w:ascii="宋体" w:hAnsi="宋体"/>
          <w:szCs w:val="24"/>
        </w:rPr>
        <w:t>款悬臂式排桩结构是内支撑—排桩和锚杆—排桩结构的特例，对挡土结构而言，只是将锚杆或支撑所简化的弹性支座取消即可。双排桩支挡结构按平面刚架简化，具体计算模型见本规范</w:t>
      </w:r>
      <w:r>
        <w:rPr>
          <w:rFonts w:hint="eastAsia" w:ascii="Times New Roman" w:hAnsi="Times New Roman"/>
        </w:rPr>
        <w:t>8</w:t>
      </w:r>
      <w:r>
        <w:rPr>
          <w:rFonts w:hint="eastAsia"/>
        </w:rPr>
        <w:t>.</w:t>
      </w:r>
      <w:r>
        <w:rPr>
          <w:rFonts w:hint="eastAsia" w:ascii="Times New Roman" w:hAnsi="Times New Roman"/>
        </w:rPr>
        <w:t>1</w:t>
      </w:r>
      <w:r>
        <w:rPr>
          <w:rFonts w:hint="eastAsia"/>
        </w:rPr>
        <w:t>.</w:t>
      </w:r>
      <w:r>
        <w:rPr>
          <w:rFonts w:hint="eastAsia" w:ascii="Times New Roman" w:hAnsi="Times New Roman"/>
        </w:rPr>
        <w:t>18</w:t>
      </w:r>
      <w:r>
        <w:rPr>
          <w:rFonts w:hint="eastAsia" w:ascii="宋体" w:hAnsi="宋体"/>
          <w:szCs w:val="24"/>
        </w:rPr>
        <w:t>。</w:t>
      </w:r>
    </w:p>
    <w:p>
      <w:pPr>
        <w:widowControl w:val="0"/>
        <w:spacing w:line="480" w:lineRule="exact"/>
        <w:ind w:firstLine="480" w:firstLineChars="200"/>
        <w:rPr>
          <w:rFonts w:ascii="宋体" w:hAnsi="宋体"/>
          <w:szCs w:val="24"/>
        </w:rPr>
      </w:pPr>
      <w:r>
        <w:rPr>
          <w:rFonts w:hint="eastAsia" w:ascii="宋体" w:hAnsi="宋体"/>
          <w:szCs w:val="24"/>
        </w:rPr>
        <w:t>本条第</w:t>
      </w:r>
      <w:r>
        <w:rPr>
          <w:rFonts w:hint="eastAsia" w:ascii="Times New Roman" w:hAnsi="Times New Roman"/>
          <w:szCs w:val="24"/>
        </w:rPr>
        <w:t>4</w:t>
      </w:r>
      <w:r>
        <w:rPr>
          <w:rFonts w:hint="eastAsia" w:ascii="宋体" w:hAnsi="宋体"/>
          <w:szCs w:val="24"/>
        </w:rPr>
        <w:t>款</w:t>
      </w:r>
      <w:r>
        <w:rPr>
          <w:rFonts w:hint="eastAsia"/>
        </w:rPr>
        <w:t>指出有两种可供选择的计算方法。</w:t>
      </w:r>
    </w:p>
    <w:p>
      <w:pPr>
        <w:widowControl w:val="0"/>
        <w:spacing w:line="480" w:lineRule="exact"/>
        <w:ind w:firstLine="480" w:firstLineChars="200"/>
        <w:rPr>
          <w:rFonts w:ascii="宋体" w:hAnsi="宋体"/>
          <w:szCs w:val="24"/>
        </w:rPr>
      </w:pPr>
      <w:r>
        <w:rPr>
          <w:rFonts w:hint="eastAsia" w:ascii="宋体" w:hAnsi="宋体"/>
          <w:szCs w:val="24"/>
        </w:rPr>
        <w:t>实际的支护结构一般都是空间结构。空间结构的分析方法复杂，当有条件时，希望根据受力状态的特点和结构构造，将实际结构分解为简单的平面结构进行分析。本规范有关支挡式结构计算分析的内容主要针对平面结构。但会遇到一些特殊情况，按平面结构简化难以反映实际结构的工作情况。此时，需要按空间结构模型分析。但空间结构的分析方法复杂，不同问题要不同对待，难以作出细化的规定。通常，需要在有经验时，才能采用合理的空间结构模型进行分析。按空间结构分析时，应使结构的边界条件与实际情况尽可能接近，这需要设计人员有较强的结构设计经验和水平。</w:t>
      </w:r>
    </w:p>
    <w:p>
      <w:pPr>
        <w:widowControl w:val="0"/>
        <w:spacing w:line="480" w:lineRule="exact"/>
        <w:ind w:firstLine="480" w:firstLineChars="200"/>
        <w:rPr>
          <w:rFonts w:ascii="宋体" w:hAnsi="宋体"/>
          <w:szCs w:val="24"/>
        </w:rPr>
      </w:pPr>
      <w:r>
        <w:rPr>
          <w:rFonts w:hint="eastAsia" w:ascii="宋体" w:hAnsi="宋体"/>
          <w:szCs w:val="24"/>
        </w:rPr>
        <w:t>考虑结构与土相互作用的分析方法是岩土工程中先进的计算方法，是岩土工程计算理论和计算方法的发展方向，但需要可靠的理论依据和试验参数。目前，将采用该类方法对支护结构计算分析的结果直接用于工程设计中尚不成熟，仅能在已有成熟方法计算分析结果的基础上用于分析比较，不能滥用。采用该方法的前提是要有足够的把握和经验。</w:t>
      </w:r>
    </w:p>
    <w:p>
      <w:pPr>
        <w:widowControl w:val="0"/>
        <w:spacing w:line="480" w:lineRule="exact"/>
        <w:ind w:firstLine="480" w:firstLineChars="200"/>
        <w:rPr>
          <w:rFonts w:ascii="宋体" w:hAnsi="宋体"/>
          <w:szCs w:val="24"/>
        </w:rPr>
      </w:pPr>
      <w:r>
        <w:rPr>
          <w:rFonts w:hint="eastAsia" w:ascii="宋体" w:hAnsi="宋体"/>
          <w:szCs w:val="24"/>
        </w:rPr>
        <w:t>传统和经典的极限平衡法可以手算，在许多传统教科书和技术手册中都有介绍。由于该方法的一些假定与实际受力状况有一定差别，且不能计算支护结构位移，目前已很少采用了。经与弹性支点法的计算对比，在有些情况下，特别是对多支点结构，两者的计算弯矩与剪力差别较大。本规范取消了用极限平衡法进行支护结构计算的有关规定。</w:t>
      </w:r>
    </w:p>
    <w:p>
      <w:pPr>
        <w:widowControl w:val="0"/>
        <w:spacing w:line="480" w:lineRule="exact"/>
        <w:rPr>
          <w:rFonts w:ascii="宋体" w:hAnsi="宋体"/>
          <w:szCs w:val="24"/>
        </w:rPr>
      </w:pPr>
      <w:r>
        <w:rPr>
          <w:rFonts w:ascii="Times New Roman" w:hAnsi="Times New Roman"/>
          <w:b/>
        </w:rPr>
        <w:t>8.1.5</w:t>
      </w:r>
      <w:r>
        <w:rPr>
          <w:rFonts w:hint="eastAsia" w:ascii="宋体" w:hAnsi="宋体"/>
          <w:b/>
        </w:rPr>
        <w:t xml:space="preserve"> </w:t>
      </w:r>
      <w:r>
        <w:rPr>
          <w:rFonts w:hint="eastAsia" w:ascii="宋体" w:hAnsi="宋体"/>
          <w:szCs w:val="24"/>
        </w:rPr>
        <w:t>支护结构简化为竖向平面结构模型计算时，沿基坑周边的各个竖向平面的设计条件常常是不同的。除了各部位基坑深度、周边环境条件及附加荷载可能不同外，地质条件的变异性是支护结构不同于上部结构的一个很重要的特殊性。自然形成的成层土，各土层的分布及厚度往往在基坑尺度的范围内就存在较大的差异。因而，当基坑深度、周边环境及地质条件存在差异时，这些差异对支护结构的土压力荷载的影响不可忽略。本条从设计计算的原则上强调了按基坑周边的实际条件划分设计与计算剖面的要求，具体划分为多少个剖面，应根据工程的实际情况来确定，每一个剖面也应按剖面内的最不利情况取设计计算参数。</w:t>
      </w:r>
    </w:p>
    <w:p>
      <w:pPr>
        <w:widowControl w:val="0"/>
        <w:spacing w:line="480" w:lineRule="exact"/>
        <w:rPr>
          <w:rFonts w:ascii="宋体" w:hAnsi="宋体"/>
          <w:szCs w:val="24"/>
        </w:rPr>
      </w:pPr>
      <w:r>
        <w:rPr>
          <w:rFonts w:hint="eastAsia" w:ascii="Times New Roman" w:hAnsi="Times New Roman"/>
          <w:b/>
        </w:rPr>
        <w:t>8.1.6</w:t>
      </w:r>
      <w:r>
        <w:rPr>
          <w:rFonts w:hint="eastAsia" w:ascii="宋体" w:hAnsi="宋体"/>
          <w:b/>
        </w:rPr>
        <w:t xml:space="preserve"> </w:t>
      </w:r>
      <w:r>
        <w:rPr>
          <w:rFonts w:hint="eastAsia" w:ascii="宋体" w:hAnsi="宋体"/>
          <w:szCs w:val="24"/>
        </w:rPr>
        <w:t>基坑支护结构的有些构件，如锚杆与支撑，是随不同基坑深度的开挖过程逐步设置的，基坑各设计工况是指各开挖深度下锚杆或支撑逐步设置时，支护结构所处的每一受力与变形状态。一般情况下，基坑开挖到基底时受力与变形最大，但也会出现开挖中间过程的某种内力大于开挖到基底时的内力值。因此，可能会出现按基坑开挖深度的某一中间过程的受力进行支护结构构件的截面设计或锚杆抗拔力的确定。特别应强调的是，在地下室结构施工过程中，当用结构楼板作为支撑替代锚杆或支护结构的支撑时，此时支护结构构件的受力状态会是最大受力状态。</w:t>
      </w:r>
    </w:p>
    <w:p>
      <w:pPr>
        <w:pStyle w:val="12"/>
        <w:widowControl w:val="0"/>
        <w:spacing w:line="360" w:lineRule="auto"/>
      </w:pPr>
      <w:r>
        <w:rPr>
          <w:rFonts w:ascii="Times New Roman" w:hAnsi="Times New Roman"/>
          <w:b/>
        </w:rPr>
        <w:t>8.1.7</w:t>
      </w:r>
      <w:r>
        <w:rPr>
          <w:rFonts w:hint="eastAsia" w:ascii="宋体" w:hAnsi="宋体"/>
          <w:b/>
          <w:szCs w:val="24"/>
        </w:rPr>
        <w:t xml:space="preserve"> </w:t>
      </w:r>
      <w:r>
        <w:rPr>
          <w:rFonts w:hint="eastAsia" w:ascii="宋体" w:hAnsi="宋体"/>
          <w:szCs w:val="24"/>
        </w:rPr>
        <w:t>本规范的结构构件极限状态设计表达式(</w:t>
      </w:r>
      <w:r>
        <w:rPr>
          <w:rFonts w:hint="eastAsia" w:ascii="Times New Roman" w:hAnsi="Times New Roman"/>
        </w:rPr>
        <w:t>3</w:t>
      </w:r>
      <w:r>
        <w:rPr>
          <w:rFonts w:hint="eastAsia"/>
        </w:rPr>
        <w:t>.</w:t>
      </w:r>
      <w:r>
        <w:rPr>
          <w:rFonts w:hint="eastAsia" w:ascii="Times New Roman" w:hAnsi="Times New Roman"/>
        </w:rPr>
        <w:t>0</w:t>
      </w:r>
      <w:r>
        <w:rPr>
          <w:rFonts w:hint="eastAsia"/>
        </w:rPr>
        <w:t>.</w:t>
      </w:r>
      <w:r>
        <w:rPr>
          <w:rFonts w:hint="eastAsia" w:ascii="Times New Roman" w:hAnsi="Times New Roman"/>
        </w:rPr>
        <w:t>7</w:t>
      </w:r>
      <w:r>
        <w:rPr>
          <w:rFonts w:hint="eastAsia"/>
        </w:rPr>
        <w:t>-</w:t>
      </w:r>
      <w:r>
        <w:rPr>
          <w:rFonts w:hint="eastAsia" w:ascii="Times New Roman" w:hAnsi="Times New Roman"/>
        </w:rPr>
        <w:t>1</w:t>
      </w:r>
      <w:r>
        <w:rPr>
          <w:rFonts w:hint="eastAsia" w:ascii="宋体" w:hAnsi="宋体"/>
          <w:szCs w:val="24"/>
        </w:rPr>
        <w:t>)在具体应用到各种结构构件的承载力计算时，将公式中的荷载基本组合的效应设计值</w:t>
      </w:r>
      <w:r>
        <w:rPr>
          <w:position w:val="-12"/>
        </w:rPr>
        <w:drawing>
          <wp:inline distT="0" distB="0" distL="114300" distR="114300">
            <wp:extent cx="190500" cy="228600"/>
            <wp:effectExtent l="0" t="0" r="0" b="0"/>
            <wp:docPr id="737" name="图片 3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7" name="图片 348"/>
                    <pic:cNvPicPr>
                      <a:picLocks noChangeAspect="true"/>
                    </pic:cNvPicPr>
                  </pic:nvPicPr>
                  <pic:blipFill>
                    <a:blip r:embed="rId836"/>
                    <a:stretch>
                      <a:fillRect/>
                    </a:stretch>
                  </pic:blipFill>
                  <pic:spPr>
                    <a:xfrm>
                      <a:off x="0" y="0"/>
                      <a:ext cx="190500" cy="228600"/>
                    </a:xfrm>
                    <a:prstGeom prst="rect">
                      <a:avLst/>
                    </a:prstGeom>
                    <a:noFill/>
                    <a:ln>
                      <a:noFill/>
                    </a:ln>
                  </pic:spPr>
                </pic:pic>
              </a:graphicData>
            </a:graphic>
          </wp:inline>
        </w:drawing>
      </w:r>
      <w:r>
        <w:rPr>
          <w:rFonts w:hint="eastAsia" w:ascii="宋体" w:hAnsi="宋体"/>
          <w:szCs w:val="24"/>
        </w:rPr>
        <w:t>与结构构件的重要性系数</w:t>
      </w:r>
      <w:r>
        <w:rPr>
          <w:rFonts w:ascii="宋体" w:hAnsi="宋体"/>
          <w:szCs w:val="24"/>
        </w:rPr>
        <w:drawing>
          <wp:inline distT="0" distB="0" distL="114300" distR="114300">
            <wp:extent cx="123825" cy="200025"/>
            <wp:effectExtent l="0" t="0" r="3175" b="1905"/>
            <wp:docPr id="738" name="图片 3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8" name="图片 349"/>
                    <pic:cNvPicPr>
                      <a:picLocks noChangeAspect="true"/>
                    </pic:cNvPicPr>
                  </pic:nvPicPr>
                  <pic:blipFill>
                    <a:blip r:embed="rId837">
                      <a:clrChange>
                        <a:clrFrom>
                          <a:srgbClr val="FFFFFF"/>
                        </a:clrFrom>
                        <a:clrTo>
                          <a:srgbClr val="FFFFFF">
                            <a:alpha val="0"/>
                          </a:srgbClr>
                        </a:clrTo>
                      </a:clrChange>
                    </a:blip>
                    <a:stretch>
                      <a:fillRect/>
                    </a:stretch>
                  </pic:blipFill>
                  <pic:spPr>
                    <a:xfrm>
                      <a:off x="0" y="0"/>
                      <a:ext cx="123825" cy="200025"/>
                    </a:xfrm>
                    <a:prstGeom prst="rect">
                      <a:avLst/>
                    </a:prstGeom>
                    <a:noFill/>
                    <a:ln>
                      <a:noFill/>
                    </a:ln>
                  </pic:spPr>
                </pic:pic>
              </a:graphicData>
            </a:graphic>
          </wp:inline>
        </w:drawing>
      </w:r>
      <w:r>
        <w:rPr>
          <w:rFonts w:hint="eastAsia" w:ascii="宋体" w:hAnsi="宋体"/>
          <w:szCs w:val="24"/>
        </w:rPr>
        <w:t>相乘以后，用内力设计值代替。这样在各章的结构构件承载力计算时，各具体表达式或公式中就不再出现符号</w:t>
      </w:r>
      <w:r>
        <w:rPr>
          <w:rFonts w:ascii="宋体" w:hAnsi="宋体"/>
          <w:szCs w:val="24"/>
        </w:rPr>
        <w:drawing>
          <wp:inline distT="0" distB="0" distL="114300" distR="114300">
            <wp:extent cx="123825" cy="200025"/>
            <wp:effectExtent l="0" t="0" r="3175" b="1905"/>
            <wp:docPr id="739" name="图片 3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9" name="图片 350"/>
                    <pic:cNvPicPr>
                      <a:picLocks noChangeAspect="true"/>
                    </pic:cNvPicPr>
                  </pic:nvPicPr>
                  <pic:blipFill>
                    <a:blip r:embed="rId837">
                      <a:clrChange>
                        <a:clrFrom>
                          <a:srgbClr val="FFFFFF"/>
                        </a:clrFrom>
                        <a:clrTo>
                          <a:srgbClr val="FFFFFF">
                            <a:alpha val="0"/>
                          </a:srgbClr>
                        </a:clrTo>
                      </a:clrChange>
                    </a:blip>
                    <a:stretch>
                      <a:fillRect/>
                    </a:stretch>
                  </pic:blipFill>
                  <pic:spPr>
                    <a:xfrm>
                      <a:off x="0" y="0"/>
                      <a:ext cx="123825" cy="200025"/>
                    </a:xfrm>
                    <a:prstGeom prst="rect">
                      <a:avLst/>
                    </a:prstGeom>
                    <a:noFill/>
                    <a:ln>
                      <a:noFill/>
                    </a:ln>
                  </pic:spPr>
                </pic:pic>
              </a:graphicData>
            </a:graphic>
          </wp:inline>
        </w:drawing>
      </w:r>
      <w:r>
        <w:rPr>
          <w:rFonts w:hint="eastAsia" w:ascii="宋体" w:hAnsi="宋体"/>
          <w:szCs w:val="24"/>
        </w:rPr>
        <w:t>了，</w:t>
      </w:r>
      <w:r>
        <w:rPr>
          <w:rFonts w:ascii="宋体" w:hAnsi="宋体"/>
          <w:szCs w:val="24"/>
        </w:rPr>
        <w:drawing>
          <wp:inline distT="0" distB="0" distL="114300" distR="114300">
            <wp:extent cx="123825" cy="200025"/>
            <wp:effectExtent l="0" t="0" r="3175" b="1905"/>
            <wp:docPr id="740" name="图片 3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0" name="图片 351"/>
                    <pic:cNvPicPr>
                      <a:picLocks noChangeAspect="true"/>
                    </pic:cNvPicPr>
                  </pic:nvPicPr>
                  <pic:blipFill>
                    <a:blip r:embed="rId837">
                      <a:clrChange>
                        <a:clrFrom>
                          <a:srgbClr val="FFFFFF"/>
                        </a:clrFrom>
                        <a:clrTo>
                          <a:srgbClr val="FFFFFF">
                            <a:alpha val="0"/>
                          </a:srgbClr>
                        </a:clrTo>
                      </a:clrChange>
                    </a:blip>
                    <a:stretch>
                      <a:fillRect/>
                    </a:stretch>
                  </pic:blipFill>
                  <pic:spPr>
                    <a:xfrm>
                      <a:off x="0" y="0"/>
                      <a:ext cx="123825" cy="200025"/>
                    </a:xfrm>
                    <a:prstGeom prst="rect">
                      <a:avLst/>
                    </a:prstGeom>
                    <a:noFill/>
                    <a:ln>
                      <a:noFill/>
                    </a:ln>
                  </pic:spPr>
                </pic:pic>
              </a:graphicData>
            </a:graphic>
          </wp:inline>
        </w:drawing>
      </w:r>
      <w:r>
        <w:rPr>
          <w:rFonts w:hint="eastAsia" w:ascii="宋体" w:hAnsi="宋体"/>
          <w:szCs w:val="24"/>
        </w:rPr>
        <w:t>已含在内力设计值中。但计算内力设计值时，不能忘记要乘以</w:t>
      </w:r>
      <w:r>
        <w:rPr>
          <w:rFonts w:ascii="宋体" w:hAnsi="宋体"/>
          <w:szCs w:val="24"/>
        </w:rPr>
        <w:drawing>
          <wp:inline distT="0" distB="0" distL="114300" distR="114300">
            <wp:extent cx="123825" cy="200025"/>
            <wp:effectExtent l="0" t="0" r="3175" b="1905"/>
            <wp:docPr id="741" name="图片 3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1" name="图片 352"/>
                    <pic:cNvPicPr>
                      <a:picLocks noChangeAspect="true"/>
                    </pic:cNvPicPr>
                  </pic:nvPicPr>
                  <pic:blipFill>
                    <a:blip r:embed="rId837">
                      <a:clrChange>
                        <a:clrFrom>
                          <a:srgbClr val="FFFFFF"/>
                        </a:clrFrom>
                        <a:clrTo>
                          <a:srgbClr val="FFFFFF">
                            <a:alpha val="0"/>
                          </a:srgbClr>
                        </a:clrTo>
                      </a:clrChange>
                    </a:blip>
                    <a:stretch>
                      <a:fillRect/>
                    </a:stretch>
                  </pic:blipFill>
                  <pic:spPr>
                    <a:xfrm>
                      <a:off x="0" y="0"/>
                      <a:ext cx="123825" cy="200025"/>
                    </a:xfrm>
                    <a:prstGeom prst="rect">
                      <a:avLst/>
                    </a:prstGeom>
                    <a:noFill/>
                    <a:ln>
                      <a:noFill/>
                    </a:ln>
                  </pic:spPr>
                </pic:pic>
              </a:graphicData>
            </a:graphic>
          </wp:inline>
        </w:drawing>
      </w:r>
      <w:r>
        <w:rPr>
          <w:rFonts w:hint="eastAsia" w:ascii="宋体" w:hAnsi="宋体"/>
          <w:szCs w:val="24"/>
        </w:rPr>
        <w:t>。根据内力的具体意义，其设计值可为弯矩设计值M、剪力设计值V或抽向拉力、压力设计值T等。对于作用在支护结构上的土压力荷载的标准组合，当按朗肯方法计算时，土性参数黏聚力c、摩擦角</w:t>
      </w:r>
      <w:r>
        <w:rPr>
          <w:rFonts w:ascii="宋体" w:hAnsi="宋体"/>
          <w:szCs w:val="24"/>
        </w:rPr>
        <w:drawing>
          <wp:inline distT="0" distB="0" distL="114300" distR="114300">
            <wp:extent cx="95250" cy="200025"/>
            <wp:effectExtent l="0" t="0" r="6350" b="1905"/>
            <wp:docPr id="742" name="图片 3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2" name="图片 353"/>
                    <pic:cNvPicPr>
                      <a:picLocks noChangeAspect="true"/>
                    </pic:cNvPicPr>
                  </pic:nvPicPr>
                  <pic:blipFill>
                    <a:blip r:embed="rId838">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hint="eastAsia" w:ascii="宋体" w:hAnsi="宋体"/>
          <w:szCs w:val="24"/>
        </w:rPr>
        <w:t>及土的重度Y按本规范第</w:t>
      </w:r>
      <w:r>
        <w:rPr>
          <w:rFonts w:hint="eastAsia" w:ascii="Times New Roman" w:hAnsi="Times New Roman"/>
          <w:szCs w:val="24"/>
        </w:rPr>
        <w:t>5</w:t>
      </w:r>
      <w:r>
        <w:rPr>
          <w:rFonts w:hint="eastAsia" w:ascii="宋体" w:hAnsi="宋体"/>
          <w:szCs w:val="24"/>
        </w:rPr>
        <w:t>.</w:t>
      </w:r>
      <w:r>
        <w:rPr>
          <w:rFonts w:hint="eastAsia" w:ascii="Times New Roman" w:hAnsi="Times New Roman"/>
          <w:szCs w:val="24"/>
        </w:rPr>
        <w:t>3</w:t>
      </w:r>
      <w:r>
        <w:rPr>
          <w:rFonts w:hint="eastAsia" w:ascii="宋体" w:hAnsi="宋体"/>
          <w:szCs w:val="24"/>
        </w:rPr>
        <w:t>.</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5</w:t>
      </w:r>
      <w:r>
        <w:rPr>
          <w:rFonts w:hint="eastAsia" w:ascii="宋体" w:hAnsi="宋体"/>
          <w:szCs w:val="24"/>
        </w:rPr>
        <w:t>.</w:t>
      </w:r>
      <w:r>
        <w:rPr>
          <w:rFonts w:hint="eastAsia" w:ascii="Times New Roman" w:hAnsi="Times New Roman"/>
          <w:szCs w:val="24"/>
        </w:rPr>
        <w:t>3</w:t>
      </w:r>
      <w:r>
        <w:rPr>
          <w:rFonts w:hint="eastAsia" w:ascii="宋体" w:hAnsi="宋体"/>
          <w:szCs w:val="24"/>
        </w:rPr>
        <w:t>.</w:t>
      </w:r>
      <w:r>
        <w:rPr>
          <w:rFonts w:hint="eastAsia" w:ascii="Times New Roman" w:hAnsi="Times New Roman"/>
          <w:szCs w:val="24"/>
        </w:rPr>
        <w:t>3</w:t>
      </w:r>
      <w:r>
        <w:rPr>
          <w:rFonts w:hint="eastAsia" w:ascii="宋体" w:hAnsi="宋体"/>
          <w:szCs w:val="24"/>
        </w:rPr>
        <w:t>条的规定取值，朗肯土压力荷载的标准组合按本规范第</w:t>
      </w:r>
      <w:r>
        <w:rPr>
          <w:rFonts w:hint="eastAsia" w:ascii="Times New Roman" w:hAnsi="Times New Roman"/>
          <w:szCs w:val="24"/>
        </w:rPr>
        <w:t>5</w:t>
      </w:r>
      <w:r>
        <w:rPr>
          <w:rFonts w:hint="eastAsia" w:ascii="宋体" w:hAnsi="宋体"/>
          <w:szCs w:val="24"/>
        </w:rPr>
        <w:t>.</w:t>
      </w:r>
      <w:r>
        <w:rPr>
          <w:rFonts w:hint="eastAsia" w:ascii="Times New Roman" w:hAnsi="Times New Roman"/>
          <w:szCs w:val="24"/>
        </w:rPr>
        <w:t>5</w:t>
      </w:r>
      <w:r>
        <w:rPr>
          <w:rFonts w:hint="eastAsia" w:ascii="宋体" w:hAnsi="宋体"/>
          <w:szCs w:val="24"/>
        </w:rPr>
        <w:t>.</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5</w:t>
      </w:r>
      <w:r>
        <w:rPr>
          <w:rFonts w:hint="eastAsia" w:ascii="宋体" w:hAnsi="宋体"/>
          <w:szCs w:val="24"/>
        </w:rPr>
        <w:t>.</w:t>
      </w:r>
      <w:r>
        <w:rPr>
          <w:rFonts w:hint="eastAsia" w:ascii="Times New Roman" w:hAnsi="Times New Roman"/>
          <w:szCs w:val="24"/>
        </w:rPr>
        <w:t>5</w:t>
      </w:r>
      <w:r>
        <w:rPr>
          <w:rFonts w:hint="eastAsia" w:ascii="宋体" w:hAnsi="宋体"/>
          <w:szCs w:val="24"/>
        </w:rPr>
        <w:t>.</w:t>
      </w:r>
      <w:r>
        <w:rPr>
          <w:rFonts w:hint="eastAsia" w:ascii="Times New Roman" w:hAnsi="Times New Roman"/>
          <w:szCs w:val="24"/>
        </w:rPr>
        <w:t>2</w:t>
      </w:r>
      <w:r>
        <w:rPr>
          <w:rFonts w:hint="eastAsia" w:ascii="宋体" w:hAnsi="宋体"/>
          <w:szCs w:val="24"/>
        </w:rPr>
        <w:t>条的各公式计算。</w:t>
      </w:r>
    </w:p>
    <w:p>
      <w:pPr>
        <w:widowControl w:val="0"/>
        <w:spacing w:line="480" w:lineRule="exact"/>
        <w:rPr>
          <w:rFonts w:ascii="宋体" w:hAnsi="宋体"/>
          <w:szCs w:val="24"/>
        </w:rPr>
      </w:pPr>
      <w:r>
        <w:rPr>
          <w:rFonts w:ascii="Times New Roman" w:hAnsi="Times New Roman"/>
          <w:b/>
        </w:rPr>
        <w:t>8.1.8</w:t>
      </w:r>
      <w:r>
        <w:rPr>
          <w:rFonts w:hint="eastAsia" w:ascii="宋体" w:hAnsi="宋体"/>
          <w:b/>
          <w:szCs w:val="24"/>
        </w:rPr>
        <w:t xml:space="preserve"> </w:t>
      </w:r>
      <w:r>
        <w:rPr>
          <w:rFonts w:hint="eastAsia"/>
        </w:rPr>
        <w:t>本</w:t>
      </w:r>
      <w:r>
        <w:rPr>
          <w:rFonts w:hint="eastAsia" w:ascii="宋体" w:hAnsi="宋体"/>
          <w:szCs w:val="24"/>
        </w:rPr>
        <w:t>条是从后期主体结构施工上的考虑。因为，当排桩及冠梁高于后期主体结构各种地下管线的标高时，会给后续的施工造成障碍，需将其凿除，所以，排桩桩顶的设计标高，在不影响基坑的稳定及基坑外环境变形的要求时，宜避开主体建筑地下管线通过的位置。一般情况下，主体建筑各种管线引出接口的埋深不大，是容易做到的。但如果将桩顶降至管线以下，影响了支护结构的稳定或变形要求，则应首先按满足稳定或变形要求考虑桩顶的设计标高。</w:t>
      </w:r>
    </w:p>
    <w:p>
      <w:pPr>
        <w:bidi w:val="0"/>
        <w:jc w:val="center"/>
        <w:rPr>
          <w:rFonts w:hint="eastAsia" w:ascii="宋体" w:hAnsi="宋体" w:cs="宋体"/>
          <w:b/>
          <w:sz w:val="28"/>
          <w:szCs w:val="24"/>
        </w:rPr>
      </w:pPr>
      <w:r>
        <w:rPr>
          <w:rFonts w:hint="eastAsia" w:ascii="宋体" w:hAnsi="宋体" w:cs="宋体"/>
          <w:b/>
          <w:sz w:val="28"/>
          <w:szCs w:val="24"/>
        </w:rPr>
        <w:t>Ⅱ 设计计算</w:t>
      </w:r>
    </w:p>
    <w:p>
      <w:pPr>
        <w:widowControl w:val="0"/>
        <w:spacing w:line="480" w:lineRule="exact"/>
        <w:rPr>
          <w:rFonts w:ascii="宋体" w:hAnsi="宋体"/>
          <w:szCs w:val="24"/>
        </w:rPr>
      </w:pPr>
      <w:r>
        <w:rPr>
          <w:rFonts w:hint="eastAsia" w:ascii="Times New Roman" w:hAnsi="Times New Roman"/>
          <w:b/>
        </w:rPr>
        <w:t>8.1.10～8.1.16</w:t>
      </w:r>
      <w:r>
        <w:rPr>
          <w:rFonts w:hint="eastAsia" w:ascii="宋体" w:hAnsi="宋体"/>
          <w:szCs w:val="24"/>
        </w:rPr>
        <w:t xml:space="preserve"> </w:t>
      </w:r>
      <w:r>
        <w:rPr>
          <w:rFonts w:hint="eastAsia"/>
        </w:rPr>
        <w:t>这些条款</w:t>
      </w:r>
      <w:r>
        <w:rPr>
          <w:rFonts w:hint="eastAsia" w:ascii="宋体" w:hAnsi="宋体"/>
          <w:szCs w:val="24"/>
        </w:rPr>
        <w:t>是对弹性支点法计算方法的规定。弹性支点法的计算主要应注意以下问题：</w:t>
      </w:r>
    </w:p>
    <w:p>
      <w:pPr>
        <w:widowControl w:val="0"/>
        <w:spacing w:line="480" w:lineRule="exact"/>
        <w:ind w:firstLine="480" w:firstLineChars="200"/>
        <w:rPr>
          <w:rFonts w:ascii="宋体" w:hAnsi="宋体"/>
          <w:szCs w:val="24"/>
        </w:rPr>
      </w:pPr>
      <w:r>
        <w:rPr>
          <w:rFonts w:hint="eastAsia" w:ascii="Times New Roman" w:hAnsi="Times New Roman"/>
          <w:szCs w:val="24"/>
        </w:rPr>
        <w:t>1</w:t>
      </w:r>
      <w:r>
        <w:rPr>
          <w:rFonts w:hint="eastAsia" w:ascii="宋体" w:hAnsi="宋体"/>
          <w:szCs w:val="24"/>
        </w:rPr>
        <w:t xml:space="preserve"> 土的反力项为</w:t>
      </w:r>
      <w:r>
        <w:rPr>
          <w:rFonts w:ascii="宋体" w:hAnsi="宋体"/>
          <w:szCs w:val="24"/>
        </w:rPr>
        <w:drawing>
          <wp:inline distT="0" distB="0" distL="114300" distR="114300">
            <wp:extent cx="885825" cy="200025"/>
            <wp:effectExtent l="0" t="0" r="3175" b="2540"/>
            <wp:docPr id="743" name="图片 3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3" name="图片 354"/>
                    <pic:cNvPicPr>
                      <a:picLocks noChangeAspect="true"/>
                    </pic:cNvPicPr>
                  </pic:nvPicPr>
                  <pic:blipFill>
                    <a:blip r:embed="rId839">
                      <a:clrChange>
                        <a:clrFrom>
                          <a:srgbClr val="FFFFFF"/>
                        </a:clrFrom>
                        <a:clrTo>
                          <a:srgbClr val="FFFFFF">
                            <a:alpha val="0"/>
                          </a:srgbClr>
                        </a:clrTo>
                      </a:clrChange>
                    </a:blip>
                    <a:stretch>
                      <a:fillRect/>
                    </a:stretch>
                  </pic:blipFill>
                  <pic:spPr>
                    <a:xfrm>
                      <a:off x="0" y="0"/>
                      <a:ext cx="885825" cy="200025"/>
                    </a:xfrm>
                    <a:prstGeom prst="rect">
                      <a:avLst/>
                    </a:prstGeom>
                    <a:noFill/>
                    <a:ln>
                      <a:noFill/>
                    </a:ln>
                  </pic:spPr>
                </pic:pic>
              </a:graphicData>
            </a:graphic>
          </wp:inline>
        </w:drawing>
      </w:r>
      <w:r>
        <w:rPr>
          <w:rFonts w:hint="eastAsia" w:ascii="宋体" w:hAnsi="宋体"/>
          <w:szCs w:val="24"/>
        </w:rPr>
        <w:t>。增加了常数项</w:t>
      </w:r>
      <w:r>
        <w:rPr>
          <w:rFonts w:ascii="宋体" w:hAnsi="宋体"/>
          <w:szCs w:val="24"/>
        </w:rPr>
        <w:drawing>
          <wp:inline distT="0" distB="0" distL="114300" distR="114300">
            <wp:extent cx="180975" cy="200025"/>
            <wp:effectExtent l="0" t="0" r="9525" b="1905"/>
            <wp:docPr id="744" name="图片 3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4" name="图片 355"/>
                    <pic:cNvPicPr>
                      <a:picLocks noChangeAspect="true"/>
                    </pic:cNvPicPr>
                  </pic:nvPicPr>
                  <pic:blipFill>
                    <a:blip r:embed="rId840">
                      <a:clrChange>
                        <a:clrFrom>
                          <a:srgbClr val="FFFFFF"/>
                        </a:clrFrom>
                        <a:clrTo>
                          <a:srgbClr val="FFFFFF">
                            <a:alpha val="0"/>
                          </a:srgbClr>
                        </a:clrTo>
                      </a:clrChange>
                    </a:blip>
                    <a:stretch>
                      <a:fillRect/>
                    </a:stretch>
                  </pic:blipFill>
                  <pic:spPr>
                    <a:xfrm>
                      <a:off x="0" y="0"/>
                      <a:ext cx="180975" cy="200025"/>
                    </a:xfrm>
                    <a:prstGeom prst="rect">
                      <a:avLst/>
                    </a:prstGeom>
                    <a:noFill/>
                    <a:ln>
                      <a:noFill/>
                    </a:ln>
                  </pic:spPr>
                </pic:pic>
              </a:graphicData>
            </a:graphic>
          </wp:inline>
        </w:drawing>
      </w:r>
      <w:r>
        <w:rPr>
          <w:rFonts w:hint="eastAsia" w:ascii="宋体" w:hAnsi="宋体"/>
          <w:szCs w:val="24"/>
        </w:rPr>
        <w:t>后，基坑面以下的土压力分布可由不考虑土的自重作用的矩形分布变为考虑土的自重作用的随深度线性增长的三角形分布。两者的挡土结构嵌固段两侧的土压力之和是相同的，但按朗肯土压力计算时，基坑外侧基坑面上方和下方均采用主动土压力荷载，形式上直观、与其他章节表达统一、计算上简化。</w:t>
      </w:r>
    </w:p>
    <w:p>
      <w:pPr>
        <w:widowControl w:val="0"/>
        <w:spacing w:line="480" w:lineRule="exact"/>
        <w:ind w:firstLine="480" w:firstLineChars="200"/>
        <w:rPr>
          <w:rFonts w:ascii="宋体" w:hAnsi="宋体"/>
          <w:szCs w:val="24"/>
        </w:rPr>
      </w:pPr>
      <w:r>
        <w:rPr>
          <w:rFonts w:hint="eastAsia" w:ascii="Times New Roman" w:hAnsi="Times New Roman"/>
          <w:szCs w:val="24"/>
        </w:rPr>
        <w:t>2</w:t>
      </w:r>
      <w:r>
        <w:rPr>
          <w:rFonts w:hint="eastAsia" w:ascii="宋体" w:hAnsi="宋体"/>
          <w:szCs w:val="24"/>
        </w:rPr>
        <w:t xml:space="preserve"> 排桩嵌固段的土反力上限值应满足控制条件</w:t>
      </w:r>
      <w:r>
        <w:rPr>
          <w:rFonts w:ascii="宋体" w:hAnsi="宋体"/>
          <w:szCs w:val="24"/>
        </w:rPr>
        <w:drawing>
          <wp:inline distT="0" distB="0" distL="114300" distR="114300">
            <wp:extent cx="447675" cy="200025"/>
            <wp:effectExtent l="0" t="0" r="9525" b="2540"/>
            <wp:docPr id="745" name="图片 3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5" name="图片 356"/>
                    <pic:cNvPicPr>
                      <a:picLocks noChangeAspect="true"/>
                    </pic:cNvPicPr>
                  </pic:nvPicPr>
                  <pic:blipFill>
                    <a:blip r:embed="rId841">
                      <a:clrChange>
                        <a:clrFrom>
                          <a:srgbClr val="FFFFFF"/>
                        </a:clrFrom>
                        <a:clrTo>
                          <a:srgbClr val="FFFFFF">
                            <a:alpha val="0"/>
                          </a:srgbClr>
                        </a:clrTo>
                      </a:clrChange>
                    </a:blip>
                    <a:stretch>
                      <a:fillRect/>
                    </a:stretch>
                  </pic:blipFill>
                  <pic:spPr>
                    <a:xfrm>
                      <a:off x="0" y="0"/>
                      <a:ext cx="447675" cy="200025"/>
                    </a:xfrm>
                    <a:prstGeom prst="rect">
                      <a:avLst/>
                    </a:prstGeom>
                    <a:noFill/>
                    <a:ln>
                      <a:noFill/>
                    </a:ln>
                  </pic:spPr>
                </pic:pic>
              </a:graphicData>
            </a:graphic>
          </wp:inline>
        </w:drawing>
      </w:r>
      <w:r>
        <w:rPr>
          <w:rFonts w:hint="eastAsia" w:ascii="宋体" w:hAnsi="宋体"/>
          <w:szCs w:val="24"/>
        </w:rPr>
        <w:t>。由于土反力与土的水平反力系数的关系采用线弹性模型，计算出的土反力将随位移</w:t>
      </w:r>
      <w:r>
        <w:rPr>
          <w:rFonts w:ascii="宋体" w:hAnsi="宋体"/>
          <w:szCs w:val="24"/>
        </w:rPr>
        <w:drawing>
          <wp:inline distT="0" distB="0" distL="114300" distR="114300">
            <wp:extent cx="76200" cy="200025"/>
            <wp:effectExtent l="0" t="0" r="0" b="0"/>
            <wp:docPr id="746" name="图片 3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6" name="图片 357"/>
                    <pic:cNvPicPr>
                      <a:picLocks noChangeAspect="true"/>
                    </pic:cNvPicPr>
                  </pic:nvPicPr>
                  <pic:blipFill>
                    <a:blip r:embed="rId842">
                      <a:clrChange>
                        <a:clrFrom>
                          <a:srgbClr val="FFFFFF"/>
                        </a:clrFrom>
                        <a:clrTo>
                          <a:srgbClr val="FFFFFF">
                            <a:alpha val="0"/>
                          </a:srgbClr>
                        </a:clrTo>
                      </a:clrChange>
                    </a:blip>
                    <a:stretch>
                      <a:fillRect/>
                    </a:stretch>
                  </pic:blipFill>
                  <pic:spPr>
                    <a:xfrm>
                      <a:off x="0" y="0"/>
                      <a:ext cx="76200" cy="200025"/>
                    </a:xfrm>
                    <a:prstGeom prst="rect">
                      <a:avLst/>
                    </a:prstGeom>
                    <a:noFill/>
                    <a:ln>
                      <a:noFill/>
                    </a:ln>
                  </pic:spPr>
                </pic:pic>
              </a:graphicData>
            </a:graphic>
          </wp:inline>
        </w:drawing>
      </w:r>
      <w:r>
        <w:rPr>
          <w:rFonts w:hint="eastAsia" w:ascii="宋体" w:hAnsi="宋体"/>
          <w:szCs w:val="24"/>
        </w:rPr>
        <w:t>的增加线性增长。但实际上土的抗力是有限的，如采用摩尔一库仑强度准则，则不应超过被动土压力。</w:t>
      </w:r>
    </w:p>
    <w:p>
      <w:pPr>
        <w:widowControl w:val="0"/>
        <w:spacing w:line="480" w:lineRule="exact"/>
        <w:rPr>
          <w:rFonts w:ascii="宋体" w:hAnsi="宋体"/>
          <w:szCs w:val="24"/>
        </w:rPr>
      </w:pPr>
      <w:r>
        <w:rPr>
          <w:rFonts w:hint="eastAsia" w:ascii="Times New Roman" w:hAnsi="Times New Roman"/>
          <w:b/>
        </w:rPr>
        <w:t>8.1.18、8.1.19</w:t>
      </w:r>
      <w:r>
        <w:rPr>
          <w:rFonts w:hint="eastAsia" w:ascii="宋体" w:hAnsi="宋体"/>
          <w:b/>
          <w:szCs w:val="24"/>
        </w:rPr>
        <w:t xml:space="preserve"> </w:t>
      </w:r>
      <w:r>
        <w:rPr>
          <w:rFonts w:hint="eastAsia" w:ascii="宋体" w:hAnsi="宋体"/>
          <w:szCs w:val="24"/>
        </w:rPr>
        <w:t>实际的基坑工程中，在某些特殊条件下，锚杆、土钉、支撑受到实际条件的限制而无法实施，而采用单排悬臂桩又难以满足承载力、基坑变形等要求或者采用单排悬臂桩造价明显不合理的情况下，双排桩刚架结构是一种可供选择的基坑支护结构形式。与常用的单排悬臂桩结构、锚杆—排桩结构、内支撑—排桩结构相比，双排桩刚架结构有以下特点：</w:t>
      </w:r>
    </w:p>
    <w:p>
      <w:pPr>
        <w:widowControl w:val="0"/>
        <w:spacing w:line="480" w:lineRule="exact"/>
        <w:ind w:firstLine="480" w:firstLineChars="200"/>
        <w:rPr>
          <w:rFonts w:ascii="宋体" w:hAnsi="宋体"/>
          <w:szCs w:val="24"/>
        </w:rPr>
      </w:pPr>
      <w:r>
        <w:rPr>
          <w:rFonts w:hint="eastAsia" w:ascii="Times New Roman" w:hAnsi="Times New Roman"/>
          <w:szCs w:val="24"/>
        </w:rPr>
        <w:t>1</w:t>
      </w:r>
      <w:r>
        <w:rPr>
          <w:rFonts w:hint="eastAsia" w:ascii="宋体" w:hAnsi="宋体"/>
          <w:szCs w:val="24"/>
        </w:rPr>
        <w:t xml:space="preserve"> 与单排悬臂桩相比，双排桩为刚架结构，其抗侧移刚度远大于单排悬臂桩结构，其内力分布明显优于悬臂结构，在相同的材料消耗条件下，双排桩刚架结构的桩顶位移明显小于单排悬臂桩，其安全可靠性、经济合理性优于单排悬臂桩。</w:t>
      </w:r>
    </w:p>
    <w:p>
      <w:pPr>
        <w:widowControl w:val="0"/>
        <w:spacing w:line="480" w:lineRule="exact"/>
        <w:ind w:firstLine="480" w:firstLineChars="200"/>
        <w:rPr>
          <w:rFonts w:ascii="宋体" w:hAnsi="宋体"/>
          <w:szCs w:val="24"/>
        </w:rPr>
      </w:pPr>
      <w:r>
        <w:rPr>
          <w:rFonts w:hint="eastAsia" w:ascii="Times New Roman" w:hAnsi="Times New Roman"/>
          <w:szCs w:val="24"/>
        </w:rPr>
        <w:t>2</w:t>
      </w:r>
      <w:r>
        <w:rPr>
          <w:rFonts w:hint="eastAsia" w:ascii="宋体" w:hAnsi="宋体"/>
          <w:szCs w:val="24"/>
        </w:rPr>
        <w:t xml:space="preserve"> 与内支撑—排桩结构相比，由于基坑内不设支撑，不影响基坑开挖、地下结构施工，同时省去设置、拆除内支撑的工序，大大缩短了工期。在基坑面积很大、基坑深度不很大的情况下，双排桩刚架支护结构的造价低于内支撑—排桩支挡结构。</w:t>
      </w:r>
    </w:p>
    <w:p>
      <w:pPr>
        <w:widowControl w:val="0"/>
        <w:spacing w:line="480" w:lineRule="exact"/>
        <w:ind w:firstLine="480" w:firstLineChars="200"/>
        <w:rPr>
          <w:rFonts w:ascii="宋体" w:hAnsi="宋体"/>
          <w:szCs w:val="24"/>
        </w:rPr>
      </w:pPr>
      <w:r>
        <w:rPr>
          <w:rFonts w:hint="eastAsia" w:ascii="Times New Roman" w:hAnsi="Times New Roman"/>
          <w:szCs w:val="24"/>
        </w:rPr>
        <w:t>3</w:t>
      </w:r>
      <w:r>
        <w:rPr>
          <w:rFonts w:hint="eastAsia" w:ascii="宋体" w:hAnsi="宋体"/>
          <w:szCs w:val="24"/>
        </w:rPr>
        <w:t xml:space="preserve"> 与锚杆</w:t>
      </w:r>
      <w:r>
        <w:rPr>
          <w:rFonts w:hint="eastAsia"/>
        </w:rPr>
        <w:t>—</w:t>
      </w:r>
      <w:r>
        <w:rPr>
          <w:rFonts w:hint="eastAsia" w:ascii="宋体" w:hAnsi="宋体"/>
          <w:szCs w:val="24"/>
        </w:rPr>
        <w:t>排桩结构相比，在某些情况下，双排桩刚架结构可避免锚杆</w:t>
      </w:r>
      <w:r>
        <w:rPr>
          <w:rFonts w:hint="eastAsia"/>
        </w:rPr>
        <w:t>—</w:t>
      </w:r>
      <w:r>
        <w:rPr>
          <w:rFonts w:hint="eastAsia" w:ascii="宋体" w:hAnsi="宋体"/>
          <w:szCs w:val="24"/>
        </w:rPr>
        <w:t>排桩结构难以克服的缺点</w:t>
      </w:r>
      <w:r>
        <w:rPr>
          <w:rFonts w:hint="eastAsia"/>
        </w:rPr>
        <w:t>，</w:t>
      </w:r>
      <w:r>
        <w:rPr>
          <w:rFonts w:hint="eastAsia" w:ascii="宋体" w:hAnsi="宋体"/>
          <w:szCs w:val="24"/>
        </w:rPr>
        <w:t>如：</w:t>
      </w:r>
      <w:r>
        <w:rPr>
          <w:rFonts w:hint="eastAsia" w:ascii="Times New Roman" w:hAnsi="Times New Roman"/>
          <w:szCs w:val="24"/>
        </w:rPr>
        <w:t>1</w:t>
      </w:r>
      <w:r>
        <w:rPr>
          <w:rFonts w:hint="eastAsia" w:ascii="宋体" w:hAnsi="宋体"/>
          <w:szCs w:val="24"/>
        </w:rPr>
        <w:t>)在拟设置锚杆的部位有已建地下结构、障碍物，锚杆无法实施</w:t>
      </w:r>
      <w:r>
        <w:rPr>
          <w:rFonts w:hint="eastAsia"/>
        </w:rPr>
        <w:t>；</w:t>
      </w:r>
      <w:r>
        <w:rPr>
          <w:rFonts w:hint="eastAsia" w:ascii="Times New Roman" w:hAnsi="Times New Roman"/>
          <w:szCs w:val="24"/>
        </w:rPr>
        <w:t>2</w:t>
      </w:r>
      <w:r>
        <w:rPr>
          <w:rFonts w:hint="eastAsia" w:ascii="宋体" w:hAnsi="宋体"/>
          <w:szCs w:val="24"/>
        </w:rPr>
        <w:t>)拟设置锚杆的土层为高水头的砂层(有隔水帷幕)，锚杆无法实施或实施难度、风险大</w:t>
      </w:r>
      <w:r>
        <w:rPr>
          <w:rFonts w:hint="eastAsia"/>
        </w:rPr>
        <w:t>；</w:t>
      </w:r>
      <w:r>
        <w:rPr>
          <w:rFonts w:hint="eastAsia" w:ascii="Times New Roman" w:hAnsi="Times New Roman"/>
          <w:szCs w:val="24"/>
        </w:rPr>
        <w:t>3</w:t>
      </w:r>
      <w:r>
        <w:rPr>
          <w:rFonts w:hint="eastAsia" w:ascii="宋体" w:hAnsi="宋体"/>
          <w:szCs w:val="24"/>
        </w:rPr>
        <w:t>)拟设置锚杆的土层无法提供要求的锚固力</w:t>
      </w:r>
      <w:r>
        <w:rPr>
          <w:rFonts w:hint="eastAsia"/>
        </w:rPr>
        <w:t>；</w:t>
      </w:r>
      <w:r>
        <w:rPr>
          <w:rFonts w:hint="eastAsia" w:ascii="Times New Roman" w:hAnsi="Times New Roman"/>
          <w:szCs w:val="24"/>
        </w:rPr>
        <w:t>4</w:t>
      </w:r>
      <w:r>
        <w:rPr>
          <w:rFonts w:hint="eastAsia" w:ascii="宋体" w:hAnsi="宋体"/>
          <w:szCs w:val="24"/>
        </w:rPr>
        <w:t>)拟设置锚杆的工程，地方法律、法规规定支护结构不得超出用地红线。此外，由于双排桩具有施工工艺简单、不与土方开挖交叉作业、工期短等优势，在可以采用悬臂桩、内支撑</w:t>
      </w:r>
      <w:r>
        <w:rPr>
          <w:rFonts w:hint="eastAsia"/>
        </w:rPr>
        <w:t>—</w:t>
      </w:r>
      <w:r>
        <w:rPr>
          <w:rFonts w:hint="eastAsia" w:ascii="宋体" w:hAnsi="宋体"/>
          <w:szCs w:val="24"/>
        </w:rPr>
        <w:t>排桩结构、锚杆</w:t>
      </w:r>
      <w:r>
        <w:rPr>
          <w:rFonts w:hint="eastAsia"/>
        </w:rPr>
        <w:t>—</w:t>
      </w:r>
      <w:r>
        <w:rPr>
          <w:rFonts w:hint="eastAsia" w:ascii="宋体" w:hAnsi="宋体"/>
          <w:szCs w:val="24"/>
        </w:rPr>
        <w:t>排桩结构条件下，也</w:t>
      </w:r>
      <w:r>
        <w:rPr>
          <w:rFonts w:hint="eastAsia"/>
        </w:rPr>
        <w:t>可以</w:t>
      </w:r>
      <w:r>
        <w:rPr>
          <w:rFonts w:hint="eastAsia" w:ascii="宋体" w:hAnsi="宋体"/>
          <w:szCs w:val="24"/>
        </w:rPr>
        <w:t>在考虑技术、经济、工期等因素并进行综合分析对比后合理选用。</w:t>
      </w:r>
    </w:p>
    <w:p>
      <w:pPr>
        <w:widowControl w:val="0"/>
        <w:spacing w:line="480" w:lineRule="exact"/>
        <w:rPr>
          <w:rFonts w:ascii="宋体" w:hAnsi="宋体"/>
          <w:szCs w:val="24"/>
        </w:rPr>
      </w:pPr>
      <w:r>
        <w:rPr>
          <w:rFonts w:ascii="Times New Roman" w:hAnsi="Times New Roman"/>
          <w:b/>
        </w:rPr>
        <w:t>8.1.2</w:t>
      </w:r>
      <w:r>
        <w:rPr>
          <w:rFonts w:hint="eastAsia" w:ascii="Times New Roman" w:hAnsi="Times New Roman"/>
          <w:b/>
        </w:rPr>
        <w:t>0</w:t>
      </w:r>
      <w:r>
        <w:rPr>
          <w:rFonts w:hint="eastAsia" w:ascii="宋体" w:hAnsi="宋体"/>
          <w:b/>
          <w:szCs w:val="24"/>
        </w:rPr>
        <w:t xml:space="preserve"> </w:t>
      </w:r>
      <w:r>
        <w:rPr>
          <w:rFonts w:hint="eastAsia" w:ascii="宋体" w:hAnsi="宋体"/>
          <w:szCs w:val="24"/>
        </w:rPr>
        <w:t>双排桩的整体稳定性验算问题与单排悬臂桩类似，应满足作用在后排桩上的主动土压力与作用在前排桩嵌固段上的被动土压力的力矩平衡条件。与单排桩不同的是，在双排桩的抗倾覆稳定性公式</w:t>
      </w:r>
      <w:r>
        <w:rPr>
          <w:rFonts w:hint="eastAsia" w:ascii="Times New Roman" w:hAnsi="Times New Roman"/>
        </w:rPr>
        <w:t>8</w:t>
      </w:r>
      <w:r>
        <w:rPr>
          <w:rFonts w:hint="eastAsia"/>
        </w:rPr>
        <w:t>.</w:t>
      </w:r>
      <w:r>
        <w:rPr>
          <w:rFonts w:hint="eastAsia" w:ascii="Times New Roman" w:hAnsi="Times New Roman"/>
        </w:rPr>
        <w:t>1</w:t>
      </w:r>
      <w:r>
        <w:rPr>
          <w:rFonts w:hint="eastAsia"/>
        </w:rPr>
        <w:t>.</w:t>
      </w:r>
      <w:r>
        <w:rPr>
          <w:rFonts w:hint="eastAsia" w:ascii="Times New Roman" w:hAnsi="Times New Roman"/>
        </w:rPr>
        <w:t>20</w:t>
      </w:r>
      <w:r>
        <w:rPr>
          <w:rFonts w:hint="eastAsia" w:ascii="宋体" w:hAnsi="宋体"/>
          <w:szCs w:val="24"/>
        </w:rPr>
        <w:t>中，是将双排桩与桩间土看作整体并将其作为力的平衡分析的对象，并且考虑了土与桩自重的抗倾覆作用。公式中</w:t>
      </w:r>
      <w:r>
        <w:rPr>
          <w:rFonts w:ascii="宋体" w:hAnsi="宋体"/>
          <w:szCs w:val="24"/>
        </w:rPr>
        <w:drawing>
          <wp:inline distT="0" distB="0" distL="114300" distR="114300">
            <wp:extent cx="238125" cy="200025"/>
            <wp:effectExtent l="0" t="0" r="3175" b="2540"/>
            <wp:docPr id="747" name="图片 3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7" name="图片 358"/>
                    <pic:cNvPicPr>
                      <a:picLocks noChangeAspect="true"/>
                    </pic:cNvPicPr>
                  </pic:nvPicPr>
                  <pic:blipFill>
                    <a:blip r:embed="rId843">
                      <a:clrChange>
                        <a:clrFrom>
                          <a:srgbClr val="FFFFFF"/>
                        </a:clrFrom>
                        <a:clrTo>
                          <a:srgbClr val="FFFFFF">
                            <a:alpha val="0"/>
                          </a:srgbClr>
                        </a:clrTo>
                      </a:clrChange>
                    </a:blip>
                    <a:stretch>
                      <a:fillRect/>
                    </a:stretch>
                  </pic:blipFill>
                  <pic:spPr>
                    <a:xfrm>
                      <a:off x="0" y="0"/>
                      <a:ext cx="238125" cy="200025"/>
                    </a:xfrm>
                    <a:prstGeom prst="rect">
                      <a:avLst/>
                    </a:prstGeom>
                    <a:noFill/>
                    <a:ln>
                      <a:noFill/>
                    </a:ln>
                  </pic:spPr>
                </pic:pic>
              </a:graphicData>
            </a:graphic>
          </wp:inline>
        </w:drawing>
      </w:r>
      <w:r>
        <w:rPr>
          <w:rFonts w:hint="eastAsia" w:ascii="宋体" w:hAnsi="宋体"/>
          <w:szCs w:val="24"/>
        </w:rPr>
        <w:t>只是嵌固深度的安全系数，不包括锚杆、支撑的安全系数，锚杆、支撑的安全储备及安全系数在本规范的其它条款中规定</w:t>
      </w:r>
      <w:r>
        <w:rPr>
          <w:rFonts w:ascii="宋体" w:hAnsi="宋体"/>
          <w:szCs w:val="24"/>
        </w:rPr>
        <w:drawing>
          <wp:inline distT="0" distB="0" distL="114300" distR="114300">
            <wp:extent cx="238125" cy="200025"/>
            <wp:effectExtent l="0" t="0" r="3175" b="2540"/>
            <wp:docPr id="748" name="图片 3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8" name="图片 359"/>
                    <pic:cNvPicPr>
                      <a:picLocks noChangeAspect="true"/>
                    </pic:cNvPicPr>
                  </pic:nvPicPr>
                  <pic:blipFill>
                    <a:blip r:embed="rId843">
                      <a:clrChange>
                        <a:clrFrom>
                          <a:srgbClr val="FFFFFF"/>
                        </a:clrFrom>
                        <a:clrTo>
                          <a:srgbClr val="FFFFFF">
                            <a:alpha val="0"/>
                          </a:srgbClr>
                        </a:clrTo>
                      </a:clrChange>
                    </a:blip>
                    <a:stretch>
                      <a:fillRect/>
                    </a:stretch>
                  </pic:blipFill>
                  <pic:spPr>
                    <a:xfrm>
                      <a:off x="0" y="0"/>
                      <a:ext cx="238125" cy="200025"/>
                    </a:xfrm>
                    <a:prstGeom prst="rect">
                      <a:avLst/>
                    </a:prstGeom>
                    <a:noFill/>
                    <a:ln>
                      <a:noFill/>
                    </a:ln>
                  </pic:spPr>
                </pic:pic>
              </a:graphicData>
            </a:graphic>
          </wp:inline>
        </w:drawing>
      </w:r>
      <w:r>
        <w:rPr>
          <w:rFonts w:hint="eastAsia" w:ascii="宋体" w:hAnsi="宋体"/>
          <w:szCs w:val="24"/>
        </w:rPr>
        <w:t>只是嵌固深度的安全系数，不包括锚杆、支撑的安全系数，锚杆、支撑的安全储备及安全系数在本规范的其他条款中规定。 有专家认为被动土压力不能充分发挥，设计人员应考虑此风险并留安全储备。</w:t>
      </w:r>
      <w:r>
        <w:rPr>
          <w:rFonts w:ascii="宋体" w:hAnsi="宋体"/>
          <w:szCs w:val="24"/>
        </w:rPr>
        <w:t>在具体工程设计时，可以按地质场地条件，特别是对软弱场地地段，设计计算时可将</w:t>
      </w:r>
      <w:r>
        <w:rPr>
          <w:rFonts w:ascii="宋体" w:hAnsi="宋体"/>
          <w:szCs w:val="24"/>
        </w:rPr>
        <w:drawing>
          <wp:inline distT="0" distB="0" distL="114300" distR="114300">
            <wp:extent cx="266065" cy="200025"/>
            <wp:effectExtent l="0" t="0" r="635" b="3175"/>
            <wp:docPr id="749" name="图片 3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9" name="图片 360"/>
                    <pic:cNvPicPr>
                      <a:picLocks noChangeAspect="true"/>
                    </pic:cNvPicPr>
                  </pic:nvPicPr>
                  <pic:blipFill>
                    <a:blip r:embed="rId844"/>
                    <a:stretch>
                      <a:fillRect/>
                    </a:stretch>
                  </pic:blipFill>
                  <pic:spPr>
                    <a:xfrm>
                      <a:off x="0" y="0"/>
                      <a:ext cx="266065" cy="200025"/>
                    </a:xfrm>
                    <a:prstGeom prst="rect">
                      <a:avLst/>
                    </a:prstGeom>
                    <a:noFill/>
                    <a:ln>
                      <a:noFill/>
                    </a:ln>
                  </pic:spPr>
                </pic:pic>
              </a:graphicData>
            </a:graphic>
          </wp:inline>
        </w:drawing>
      </w:r>
      <w:r>
        <w:rPr>
          <w:rFonts w:ascii="宋体" w:hAnsi="宋体"/>
          <w:szCs w:val="24"/>
        </w:rPr>
        <w:t>值按基坑等级分别提高到1.45、1.4、1.3。</w:t>
      </w:r>
    </w:p>
    <w:p>
      <w:pPr>
        <w:widowControl w:val="0"/>
        <w:spacing w:line="480" w:lineRule="exact"/>
        <w:rPr>
          <w:rFonts w:ascii="宋体" w:hAnsi="宋体"/>
          <w:szCs w:val="24"/>
        </w:rPr>
      </w:pPr>
      <w:r>
        <w:rPr>
          <w:rFonts w:ascii="Times New Roman" w:hAnsi="Times New Roman"/>
          <w:b/>
        </w:rPr>
        <w:t>8.1.</w:t>
      </w:r>
      <w:r>
        <w:rPr>
          <w:rFonts w:hint="eastAsia" w:ascii="Times New Roman" w:hAnsi="Times New Roman"/>
          <w:b/>
        </w:rPr>
        <w:t>21</w:t>
      </w:r>
      <w:r>
        <w:rPr>
          <w:rFonts w:hint="eastAsia" w:ascii="宋体" w:hAnsi="宋体"/>
          <w:b/>
          <w:szCs w:val="24"/>
        </w:rPr>
        <w:t xml:space="preserve"> </w:t>
      </w:r>
      <w:r>
        <w:rPr>
          <w:rFonts w:hint="eastAsia" w:ascii="宋体" w:hAnsi="宋体"/>
          <w:szCs w:val="24"/>
        </w:rPr>
        <w:t>构件的正截面承载力包括受弯承载力、受压承载力和受拉承载力。支挡式结构承受的荷载主要是水平力，一般不产生轴向力或轴向力可忽略。因此，排桩通常按受弯构件考虑。当排桩承受较大竖向荷载或对轴向力较大的双排桩，则可能需要按偏心受压或偏心受拉构件考虑。排桩通常是圆形截面，也可能会采用矩形截面等其他截面，对沿截面周边均匀配置纵向受力钢筋的圆形截面和其他各种截面的混凝土桩，都可按现行国家标准《混凝土结构设计规范》GB</w:t>
      </w:r>
      <w:r>
        <w:rPr>
          <w:rFonts w:hint="eastAsia" w:ascii="Times New Roman" w:hAnsi="Times New Roman"/>
          <w:szCs w:val="24"/>
        </w:rPr>
        <w:t>50010</w:t>
      </w:r>
      <w:r>
        <w:rPr>
          <w:rFonts w:hint="eastAsia" w:ascii="宋体" w:hAnsi="宋体"/>
          <w:szCs w:val="24"/>
        </w:rPr>
        <w:t>计算正截面受弯承载力，本规范对此内容不再重复。</w:t>
      </w:r>
    </w:p>
    <w:p>
      <w:pPr>
        <w:widowControl w:val="0"/>
        <w:spacing w:line="480" w:lineRule="exact"/>
        <w:ind w:firstLine="480" w:firstLineChars="200"/>
        <w:rPr>
          <w:rFonts w:ascii="宋体" w:hAnsi="宋体"/>
          <w:szCs w:val="24"/>
        </w:rPr>
      </w:pPr>
      <w:r>
        <w:rPr>
          <w:rFonts w:hint="eastAsia" w:ascii="宋体" w:hAnsi="宋体"/>
          <w:szCs w:val="24"/>
        </w:rPr>
        <w:t>在混凝土排桩截面设计时，沿截面受拉区和受压区周边局部均匀配筋这种非对称配筋形式有时是需要的，可以提高截面的受弯承载力。但对沿截面周边非均匀配置纵向受力钢筋的情况，《混凝土结构设计规范》GB</w:t>
      </w:r>
      <w:r>
        <w:rPr>
          <w:rFonts w:hint="eastAsia" w:ascii="Times New Roman" w:hAnsi="Times New Roman"/>
          <w:szCs w:val="24"/>
        </w:rPr>
        <w:t>50010</w:t>
      </w:r>
      <w:r>
        <w:rPr>
          <w:rFonts w:hint="eastAsia" w:ascii="宋体" w:hAnsi="宋体"/>
          <w:szCs w:val="24"/>
        </w:rPr>
        <w:t>未作规定，因此，本规范给出了沿受拉区和受压区周边局部均匀配筋时的正截面受弯承载力的计算方法。</w:t>
      </w:r>
    </w:p>
    <w:p>
      <w:pPr>
        <w:widowControl w:val="0"/>
        <w:spacing w:line="480" w:lineRule="exact"/>
      </w:pPr>
      <w:r>
        <w:rPr>
          <w:rFonts w:hint="eastAsia" w:ascii="Times New Roman" w:hAnsi="Times New Roman"/>
          <w:b/>
        </w:rPr>
        <w:t xml:space="preserve">8.1.22 </w:t>
      </w:r>
      <w:r>
        <w:rPr>
          <w:rFonts w:hint="eastAsia" w:ascii="宋体" w:hAnsi="宋体"/>
          <w:szCs w:val="24"/>
        </w:rPr>
        <w:t>由于现行国家标准《混凝土结构设计规范》GB</w:t>
      </w:r>
      <w:r>
        <w:rPr>
          <w:rFonts w:hint="eastAsia" w:ascii="Times New Roman" w:hAnsi="Times New Roman"/>
          <w:szCs w:val="24"/>
        </w:rPr>
        <w:t>50010</w:t>
      </w:r>
      <w:r>
        <w:rPr>
          <w:rFonts w:hint="eastAsia" w:ascii="宋体" w:hAnsi="宋体"/>
          <w:szCs w:val="24"/>
        </w:rPr>
        <w:t>中没有对圆形截面的斜截面承载力进行规定，所以采用了将圆形截面等代成矩形截面，然后再按上述规范中矩形截面的斜截面承载力公式计算。</w:t>
      </w:r>
    </w:p>
    <w:p>
      <w:pPr>
        <w:bidi w:val="0"/>
        <w:jc w:val="center"/>
        <w:rPr>
          <w:b/>
          <w:bCs/>
          <w:sz w:val="28"/>
          <w:szCs w:val="24"/>
        </w:rPr>
      </w:pPr>
      <w:r>
        <w:rPr>
          <w:rFonts w:hint="eastAsia"/>
          <w:b/>
          <w:bCs/>
          <w:sz w:val="28"/>
          <w:szCs w:val="24"/>
        </w:rPr>
        <w:t>Ⅲ  构造要求</w:t>
      </w:r>
    </w:p>
    <w:p>
      <w:pPr>
        <w:widowControl w:val="0"/>
        <w:spacing w:line="480" w:lineRule="exact"/>
        <w:rPr>
          <w:rFonts w:ascii="宋体" w:hAnsi="宋体"/>
          <w:b/>
          <w:szCs w:val="24"/>
        </w:rPr>
      </w:pPr>
      <w:r>
        <w:rPr>
          <w:rFonts w:hint="eastAsia" w:ascii="Times New Roman" w:hAnsi="Times New Roman"/>
          <w:b/>
        </w:rPr>
        <w:t>8.1.24</w:t>
      </w:r>
      <w:r>
        <w:rPr>
          <w:rFonts w:hint="eastAsia" w:ascii="宋体" w:hAnsi="宋体"/>
          <w:b/>
          <w:szCs w:val="24"/>
        </w:rPr>
        <w:t xml:space="preserve"> </w:t>
      </w:r>
      <w:r>
        <w:rPr>
          <w:rFonts w:hint="eastAsia" w:ascii="宋体" w:hAnsi="宋体"/>
          <w:szCs w:val="24"/>
        </w:rPr>
        <w:t>本条规定：</w:t>
      </w:r>
    </w:p>
    <w:p>
      <w:pPr>
        <w:widowControl w:val="0"/>
        <w:spacing w:line="480" w:lineRule="exact"/>
        <w:ind w:firstLine="480" w:firstLineChars="200"/>
        <w:rPr>
          <w:rFonts w:ascii="宋体" w:hAnsi="宋体"/>
          <w:szCs w:val="24"/>
        </w:rPr>
      </w:pPr>
      <w:r>
        <w:rPr>
          <w:rFonts w:hint="eastAsia" w:ascii="Times New Roman" w:hAnsi="Times New Roman"/>
          <w:szCs w:val="24"/>
        </w:rPr>
        <w:t>1</w:t>
      </w:r>
      <w:r>
        <w:rPr>
          <w:rFonts w:hint="eastAsia" w:ascii="宋体" w:hAnsi="宋体"/>
          <w:szCs w:val="24"/>
        </w:rPr>
        <w:t xml:space="preserve"> 钢筋</w:t>
      </w:r>
      <w:r>
        <w:rPr>
          <w:rFonts w:hint="eastAsia"/>
        </w:rPr>
        <w:t>混凝土</w:t>
      </w:r>
      <w:r>
        <w:rPr>
          <w:rFonts w:hint="eastAsia" w:ascii="宋体" w:hAnsi="宋体"/>
          <w:szCs w:val="24"/>
        </w:rPr>
        <w:t>支护桩桩径不宜小于</w:t>
      </w:r>
      <w:r>
        <w:rPr>
          <w:rFonts w:hint="eastAsia" w:ascii="Times New Roman" w:hAnsi="Times New Roman"/>
          <w:szCs w:val="24"/>
        </w:rPr>
        <w:t>600</w:t>
      </w:r>
      <w:r>
        <w:rPr>
          <w:rFonts w:hint="eastAsia" w:ascii="宋体" w:hAnsi="宋体"/>
          <w:szCs w:val="24"/>
        </w:rPr>
        <w:t>mm，是一般情况下桩径的下限，桩径的大小还是应按桩的受力大小及变形要求确定</w:t>
      </w:r>
      <w:r>
        <w:rPr>
          <w:rFonts w:hint="eastAsia"/>
        </w:rPr>
        <w:t>，</w:t>
      </w:r>
      <w:r>
        <w:rPr>
          <w:rFonts w:hint="eastAsia" w:ascii="宋体" w:hAnsi="宋体"/>
          <w:szCs w:val="24"/>
        </w:rPr>
        <w:t>同时满足经济合理、当地施工技术及现场施工条件的要求。钢筋</w:t>
      </w:r>
      <w:r>
        <w:rPr>
          <w:rFonts w:hint="eastAsia"/>
        </w:rPr>
        <w:t>混凝土</w:t>
      </w:r>
      <w:r>
        <w:rPr>
          <w:rFonts w:hint="eastAsia" w:ascii="宋体" w:hAnsi="宋体"/>
          <w:szCs w:val="24"/>
        </w:rPr>
        <w:t>支护桩桩距的确定需要考虑桩间土的稳定性要求；</w:t>
      </w:r>
    </w:p>
    <w:p>
      <w:pPr>
        <w:widowControl w:val="0"/>
        <w:spacing w:line="480" w:lineRule="exact"/>
        <w:ind w:firstLine="480" w:firstLineChars="200"/>
        <w:rPr>
          <w:rFonts w:ascii="宋体" w:hAnsi="宋体"/>
          <w:szCs w:val="24"/>
        </w:rPr>
      </w:pPr>
      <w:r>
        <w:rPr>
          <w:rFonts w:hint="eastAsia" w:ascii="Times New Roman" w:hAnsi="Times New Roman"/>
          <w:szCs w:val="24"/>
        </w:rPr>
        <w:t>2</w:t>
      </w:r>
      <w:r>
        <w:rPr>
          <w:rFonts w:hint="eastAsia" w:ascii="宋体" w:hAnsi="宋体"/>
          <w:szCs w:val="24"/>
        </w:rPr>
        <w:t xml:space="preserve"> 根据本地区的工程经验，对粉土、粉质黏土，桩间净间距不宜大于</w:t>
      </w:r>
      <w:r>
        <w:rPr>
          <w:rFonts w:hint="eastAsia" w:ascii="Times New Roman" w:hAnsi="Times New Roman"/>
          <w:szCs w:val="24"/>
        </w:rPr>
        <w:t>900</w:t>
      </w:r>
      <w:r>
        <w:rPr>
          <w:rFonts w:hint="eastAsia" w:ascii="宋体" w:hAnsi="宋体"/>
          <w:szCs w:val="24"/>
        </w:rPr>
        <w:t>mm，对砂土，桩间净间距不宜大于</w:t>
      </w:r>
      <w:r>
        <w:rPr>
          <w:rFonts w:hint="eastAsia" w:ascii="Times New Roman" w:hAnsi="Times New Roman"/>
          <w:szCs w:val="24"/>
        </w:rPr>
        <w:t>600</w:t>
      </w:r>
      <w:r>
        <w:rPr>
          <w:rFonts w:hint="eastAsia" w:ascii="宋体" w:hAnsi="宋体"/>
          <w:szCs w:val="24"/>
        </w:rPr>
        <w:t>mm。当桩间净间距大于</w:t>
      </w:r>
      <w:r>
        <w:rPr>
          <w:rFonts w:hint="eastAsia" w:ascii="Times New Roman" w:hAnsi="Times New Roman"/>
          <w:szCs w:val="24"/>
        </w:rPr>
        <w:t>300</w:t>
      </w:r>
      <w:r>
        <w:rPr>
          <w:rFonts w:hint="eastAsia" w:ascii="宋体" w:hAnsi="宋体"/>
          <w:szCs w:val="24"/>
        </w:rPr>
        <w:t>mm时，需验算桩间土隔水帷幕局部抗剪承载力。隔水帷幕</w:t>
      </w:r>
      <w:r>
        <w:rPr>
          <w:rFonts w:hint="eastAsia" w:ascii="Times New Roman" w:hAnsi="Times New Roman"/>
          <w:szCs w:val="24"/>
        </w:rPr>
        <w:t>28</w:t>
      </w:r>
      <w:r>
        <w:rPr>
          <w:rFonts w:hint="eastAsia" w:ascii="宋体" w:hAnsi="宋体"/>
          <w:szCs w:val="24"/>
        </w:rPr>
        <w:t>天龄期无侧限抗压强度标准值不应小于设计要求且不宜小于</w:t>
      </w:r>
      <w:r>
        <w:rPr>
          <w:rFonts w:hint="eastAsia" w:ascii="Times New Roman" w:hAnsi="Times New Roman"/>
          <w:szCs w:val="24"/>
        </w:rPr>
        <w:t>0</w:t>
      </w:r>
      <w:r>
        <w:rPr>
          <w:rFonts w:hint="eastAsia" w:ascii="宋体" w:hAnsi="宋体"/>
          <w:szCs w:val="24"/>
        </w:rPr>
        <w:t>.</w:t>
      </w:r>
      <w:r>
        <w:rPr>
          <w:rFonts w:hint="eastAsia" w:ascii="Times New Roman" w:hAnsi="Times New Roman"/>
          <w:szCs w:val="24"/>
        </w:rPr>
        <w:t>8</w:t>
      </w:r>
      <w:r>
        <w:rPr>
          <w:rFonts w:hint="eastAsia" w:ascii="宋体" w:hAnsi="宋体"/>
          <w:szCs w:val="24"/>
        </w:rPr>
        <w:t>MPa；</w:t>
      </w:r>
    </w:p>
    <w:p>
      <w:pPr>
        <w:widowControl w:val="0"/>
        <w:spacing w:line="480" w:lineRule="exact"/>
        <w:ind w:firstLine="480" w:firstLineChars="200"/>
        <w:rPr>
          <w:rFonts w:ascii="宋体" w:hAnsi="宋体"/>
          <w:szCs w:val="24"/>
        </w:rPr>
      </w:pPr>
      <w:r>
        <w:rPr>
          <w:rFonts w:hint="eastAsia" w:ascii="Times New Roman" w:hAnsi="Times New Roman"/>
          <w:szCs w:val="24"/>
        </w:rPr>
        <w:t>3</w:t>
      </w:r>
      <w:r>
        <w:rPr>
          <w:rFonts w:hint="eastAsia" w:ascii="宋体" w:hAnsi="宋体"/>
          <w:szCs w:val="24"/>
        </w:rPr>
        <w:t xml:space="preserve"> 对桩的嵌固深度的要求，是通常情况下桩的嵌固深度要求的下限</w:t>
      </w:r>
      <w:r>
        <w:rPr>
          <w:rFonts w:hint="eastAsia"/>
        </w:rPr>
        <w:t>。</w:t>
      </w:r>
      <w:r>
        <w:rPr>
          <w:rFonts w:hint="eastAsia" w:ascii="宋体" w:hAnsi="宋体"/>
          <w:szCs w:val="24"/>
        </w:rPr>
        <w:t>桩长的选取主要还是应按弯矩大小与变形要求确定，以达到受力与经济合理的要求。但考虑到场地地基的不确定性及施工技术的限制，根据本地工程经验对桩的嵌固深度做出最小的限制；</w:t>
      </w:r>
    </w:p>
    <w:p>
      <w:pPr>
        <w:widowControl w:val="0"/>
        <w:spacing w:line="480" w:lineRule="exact"/>
        <w:ind w:firstLine="480" w:firstLineChars="200"/>
        <w:rPr>
          <w:rFonts w:ascii="宋体" w:hAnsi="宋体"/>
          <w:szCs w:val="24"/>
        </w:rPr>
      </w:pPr>
      <w:r>
        <w:rPr>
          <w:rFonts w:hint="eastAsia" w:ascii="Times New Roman" w:hAnsi="Times New Roman"/>
          <w:szCs w:val="24"/>
        </w:rPr>
        <w:t>4</w:t>
      </w:r>
      <w:r>
        <w:rPr>
          <w:rFonts w:hint="eastAsia" w:ascii="宋体" w:hAnsi="宋体"/>
          <w:szCs w:val="24"/>
        </w:rPr>
        <w:t xml:space="preserve"> 为保证钢筋</w:t>
      </w:r>
      <w:r>
        <w:rPr>
          <w:rFonts w:hint="eastAsia"/>
        </w:rPr>
        <w:t>混凝土</w:t>
      </w:r>
      <w:r>
        <w:rPr>
          <w:rFonts w:hint="eastAsia" w:ascii="宋体" w:hAnsi="宋体"/>
          <w:szCs w:val="24"/>
        </w:rPr>
        <w:t>支护桩的受力，支护桩不宜采用非均匀配置纵向钢筋。</w:t>
      </w:r>
    </w:p>
    <w:p>
      <w:pPr>
        <w:widowControl w:val="0"/>
        <w:spacing w:line="480" w:lineRule="exact"/>
        <w:rPr>
          <w:rFonts w:ascii="宋体" w:hAnsi="宋体"/>
          <w:szCs w:val="24"/>
        </w:rPr>
      </w:pPr>
      <w:r>
        <w:rPr>
          <w:rFonts w:ascii="Times New Roman" w:hAnsi="Times New Roman"/>
          <w:b/>
        </w:rPr>
        <w:t>8.1.</w:t>
      </w:r>
      <w:r>
        <w:rPr>
          <w:rFonts w:hint="eastAsia" w:ascii="Times New Roman" w:hAnsi="Times New Roman"/>
          <w:b/>
        </w:rPr>
        <w:t>25</w:t>
      </w:r>
      <w:r>
        <w:rPr>
          <w:rFonts w:hint="eastAsia" w:ascii="宋体" w:hAnsi="宋体"/>
          <w:b/>
          <w:szCs w:val="24"/>
        </w:rPr>
        <w:t xml:space="preserve"> </w:t>
      </w:r>
      <w:r>
        <w:rPr>
          <w:rFonts w:hint="eastAsia" w:ascii="宋体" w:hAnsi="宋体"/>
          <w:szCs w:val="24"/>
        </w:rPr>
        <w:t>该条对混凝土灌注桩的构造规定，主要是参照</w:t>
      </w:r>
      <w:r>
        <w:rPr>
          <w:rFonts w:ascii="宋体" w:hAnsi="宋体"/>
          <w:szCs w:val="24"/>
        </w:rPr>
        <w:t xml:space="preserve">《建筑桩基技术规范》JGJ </w:t>
      </w:r>
      <w:r>
        <w:rPr>
          <w:rFonts w:ascii="Times New Roman" w:hAnsi="Times New Roman"/>
          <w:szCs w:val="24"/>
        </w:rPr>
        <w:t>94</w:t>
      </w:r>
      <w:r>
        <w:rPr>
          <w:rFonts w:ascii="宋体" w:hAnsi="宋体"/>
          <w:szCs w:val="24"/>
        </w:rPr>
        <w:t>-</w:t>
      </w:r>
      <w:r>
        <w:rPr>
          <w:rFonts w:ascii="Times New Roman" w:hAnsi="Times New Roman"/>
          <w:szCs w:val="24"/>
        </w:rPr>
        <w:t>2008</w:t>
      </w:r>
      <w:r>
        <w:rPr>
          <w:rFonts w:ascii="宋体" w:hAnsi="宋体"/>
          <w:szCs w:val="24"/>
        </w:rPr>
        <w:t xml:space="preserve"> </w:t>
      </w:r>
      <w:r>
        <w:rPr>
          <w:rFonts w:hint="eastAsia" w:ascii="宋体" w:hAnsi="宋体"/>
          <w:szCs w:val="24"/>
        </w:rPr>
        <w:t>中有关规定，通常情况下是应该满足的，以保证钢筋</w:t>
      </w:r>
      <w:r>
        <w:rPr>
          <w:rFonts w:hint="eastAsia"/>
        </w:rPr>
        <w:t>混凝土</w:t>
      </w:r>
      <w:r>
        <w:rPr>
          <w:rFonts w:hint="eastAsia" w:ascii="宋体" w:hAnsi="宋体"/>
          <w:szCs w:val="24"/>
        </w:rPr>
        <w:t>支护桩作为混凝土构件的受力性能。</w:t>
      </w:r>
    </w:p>
    <w:p>
      <w:pPr>
        <w:widowControl w:val="0"/>
        <w:spacing w:line="480" w:lineRule="exact"/>
        <w:rPr>
          <w:rFonts w:ascii="宋体" w:hAnsi="宋体"/>
          <w:szCs w:val="24"/>
        </w:rPr>
      </w:pPr>
      <w:r>
        <w:rPr>
          <w:rFonts w:hint="eastAsia" w:ascii="Times New Roman" w:hAnsi="Times New Roman"/>
          <w:b/>
        </w:rPr>
        <w:t>8.1.26</w:t>
      </w:r>
      <w:r>
        <w:rPr>
          <w:rFonts w:hint="eastAsia" w:ascii="宋体" w:hAnsi="宋体"/>
          <w:b/>
          <w:szCs w:val="24"/>
        </w:rPr>
        <w:t xml:space="preserve"> </w:t>
      </w:r>
      <w:r>
        <w:rPr>
          <w:rFonts w:hint="eastAsia" w:ascii="宋体" w:hAnsi="宋体"/>
          <w:szCs w:val="24"/>
        </w:rPr>
        <w:t>冠梁施工质量的重要性有时受到一些人的忽视，实际上冠梁的作用还是很大的。冠梁通过传递剪力调整桩与桩之间力的分配，当锚杆或支撑设置在冠梁上时，更是通过冠梁将排桩上的土压力传递到锚杆与支撑上。由于冠梁与桩的连接处是混凝土两次浇注的结合面，当该结合面混凝土的强度不够或钢筋锚固力不够时，会达不到传递剪力的设计要求。本条的规定就是为了在施工上保证冠梁与桩的连接能够有效地传递剪力。</w:t>
      </w:r>
    </w:p>
    <w:p>
      <w:pPr>
        <w:widowControl w:val="0"/>
        <w:spacing w:line="480" w:lineRule="exact"/>
        <w:rPr>
          <w:rFonts w:ascii="宋体" w:hAnsi="宋体"/>
          <w:szCs w:val="24"/>
        </w:rPr>
      </w:pPr>
      <w:r>
        <w:rPr>
          <w:rFonts w:hint="eastAsia" w:ascii="Times New Roman" w:hAnsi="Times New Roman"/>
          <w:b/>
        </w:rPr>
        <w:t>8.1.29</w:t>
      </w:r>
      <w:r>
        <w:rPr>
          <w:rFonts w:hint="eastAsia" w:ascii="宋体" w:hAnsi="宋体"/>
          <w:b/>
          <w:szCs w:val="24"/>
        </w:rPr>
        <w:t xml:space="preserve"> </w:t>
      </w:r>
      <w:r>
        <w:rPr>
          <w:rFonts w:hint="eastAsia" w:ascii="宋体" w:hAnsi="宋体"/>
          <w:szCs w:val="24"/>
        </w:rPr>
        <w:t>双排桩的排距、连梁高度是双排桩设计的重要参数。根据相关文献的报道，排距过小受力不合理，排距过大刚架效果减弱，排距合理的范围为</w:t>
      </w:r>
      <w:r>
        <w:rPr>
          <w:rFonts w:hint="eastAsia" w:ascii="Times New Roman" w:hAnsi="Times New Roman"/>
          <w:szCs w:val="24"/>
        </w:rPr>
        <w:t>2</w:t>
      </w:r>
      <w:r>
        <w:rPr>
          <w:rFonts w:hint="eastAsia" w:ascii="宋体" w:hAnsi="宋体"/>
          <w:szCs w:val="24"/>
        </w:rPr>
        <w:t>d～</w:t>
      </w:r>
      <w:r>
        <w:rPr>
          <w:rFonts w:hint="eastAsia" w:ascii="Times New Roman" w:hAnsi="Times New Roman"/>
          <w:szCs w:val="24"/>
        </w:rPr>
        <w:t>5</w:t>
      </w:r>
      <w:r>
        <w:rPr>
          <w:rFonts w:hint="eastAsia" w:ascii="宋体" w:hAnsi="宋体"/>
          <w:szCs w:val="24"/>
        </w:rPr>
        <w:t>d。双排桩顶部水平位移随连梁高度的增大而减小，但当梁高大于</w:t>
      </w:r>
      <w:r>
        <w:rPr>
          <w:rFonts w:hint="eastAsia" w:ascii="Times New Roman" w:hAnsi="Times New Roman"/>
          <w:szCs w:val="24"/>
        </w:rPr>
        <w:t>1</w:t>
      </w:r>
      <w:r>
        <w:rPr>
          <w:rFonts w:hint="eastAsia" w:ascii="宋体" w:hAnsi="宋体"/>
          <w:szCs w:val="24"/>
        </w:rPr>
        <w:t>d时，再增大梁高桩顶水平位移基本不变了。因此，刚架梁高度不宜小于</w:t>
      </w:r>
      <w:r>
        <w:rPr>
          <w:rFonts w:hint="eastAsia" w:ascii="Times New Roman" w:hAnsi="Times New Roman"/>
          <w:szCs w:val="24"/>
        </w:rPr>
        <w:t>0</w:t>
      </w:r>
      <w:r>
        <w:rPr>
          <w:rFonts w:hint="eastAsia" w:ascii="宋体" w:hAnsi="宋体"/>
          <w:szCs w:val="24"/>
        </w:rPr>
        <w:t>.</w:t>
      </w:r>
      <w:r>
        <w:rPr>
          <w:rFonts w:hint="eastAsia" w:ascii="Times New Roman" w:hAnsi="Times New Roman"/>
          <w:szCs w:val="24"/>
        </w:rPr>
        <w:t>8</w:t>
      </w:r>
      <w:r>
        <w:rPr>
          <w:rFonts w:hint="eastAsia" w:ascii="宋体" w:hAnsi="宋体"/>
          <w:szCs w:val="24"/>
        </w:rPr>
        <w:t>d，且连梁高度与双排桩排距的比值取</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6</w:t>
      </w:r>
      <w:r>
        <w:rPr>
          <w:rFonts w:hint="eastAsia" w:ascii="宋体" w:hAnsi="宋体"/>
          <w:szCs w:val="24"/>
        </w:rPr>
        <w:t>～</w:t>
      </w:r>
      <w:r>
        <w:rPr>
          <w:rFonts w:hint="eastAsia" w:ascii="Times New Roman" w:hAnsi="Times New Roman"/>
          <w:szCs w:val="24"/>
        </w:rPr>
        <w:t>1</w:t>
      </w:r>
      <w:r>
        <w:rPr>
          <w:rFonts w:hint="eastAsia" w:ascii="宋体" w:hAnsi="宋体"/>
          <w:szCs w:val="24"/>
        </w:rPr>
        <w:t>/</w:t>
      </w:r>
      <w:r>
        <w:rPr>
          <w:rFonts w:hint="eastAsia" w:ascii="Times New Roman" w:hAnsi="Times New Roman"/>
          <w:szCs w:val="24"/>
        </w:rPr>
        <w:t>3</w:t>
      </w:r>
      <w:r>
        <w:rPr>
          <w:rFonts w:hint="eastAsia" w:ascii="宋体" w:hAnsi="宋体"/>
          <w:szCs w:val="24"/>
        </w:rPr>
        <w:t>为宜。</w:t>
      </w:r>
    </w:p>
    <w:p>
      <w:pPr>
        <w:widowControl w:val="0"/>
        <w:spacing w:line="480" w:lineRule="exact"/>
        <w:rPr>
          <w:rFonts w:ascii="宋体" w:hAnsi="宋体"/>
          <w:szCs w:val="24"/>
        </w:rPr>
      </w:pPr>
      <w:r>
        <w:rPr>
          <w:rFonts w:hint="eastAsia" w:ascii="Times New Roman" w:hAnsi="Times New Roman"/>
          <w:b/>
        </w:rPr>
        <w:t>8.1.30</w:t>
      </w:r>
      <w:r>
        <w:rPr>
          <w:rFonts w:hint="eastAsia" w:ascii="宋体" w:hAnsi="宋体"/>
          <w:b/>
          <w:szCs w:val="24"/>
        </w:rPr>
        <w:t xml:space="preserve"> </w:t>
      </w:r>
      <w:r>
        <w:rPr>
          <w:rFonts w:hint="eastAsia" w:ascii="宋体" w:hAnsi="宋体"/>
          <w:szCs w:val="24"/>
        </w:rPr>
        <w:t>根据结构力学的基本原理及计算分析结果，双排桩刚架结构中的桩与单排的受力特点有较大的区别。锚拉式、支撑式、悬臂式排桩，在水平荷载作用下只产生弯矩和剪力，而双排桩刚架结构在水平荷载作用下，桩的内力除弯矩、剪力外，轴力不容小视。前排桩的轴力为压力，后排桩的轴力为拉力。在其他参数不变的条件下，桩身轴力随着双排桩排距的减小而增大。桩身轴力的存在，使得前排桩发生向下的竖向位移，后排桩发生向上的竖向位移。前后排桩出现不同方向的竖向位移，就意味着双排桩刚架出现了向基坑方向的整体倾斜，增大了双排桩刚架顶部的水平位移。此外，正如普通刚架结构对相邻柱间的沉降差非常敏感一样，双排桩刚架结构前、后排桩沉降差对结构的内力、变形影响很大。某一实例的计算分析表明，在其他条件不变的情况下，桩顶水平位移、桩身最大弯矩随着前、后排桩沉降差的增大基本呈线性增加。与前后排桩桩底沉降差为</w:t>
      </w:r>
      <w:r>
        <w:rPr>
          <w:rFonts w:hint="eastAsia" w:ascii="Times New Roman" w:hAnsi="Times New Roman"/>
        </w:rPr>
        <w:t>0</w:t>
      </w:r>
      <w:r>
        <w:rPr>
          <w:rFonts w:hint="eastAsia" w:ascii="宋体" w:hAnsi="宋体"/>
          <w:szCs w:val="24"/>
        </w:rPr>
        <w:t>相比，当前后排桩桩底沉降差与排距之比等于</w:t>
      </w:r>
      <w:r>
        <w:rPr>
          <w:rFonts w:hint="eastAsia" w:ascii="Times New Roman" w:hAnsi="Times New Roman"/>
          <w:szCs w:val="24"/>
        </w:rPr>
        <w:t>0</w:t>
      </w:r>
      <w:r>
        <w:rPr>
          <w:rFonts w:hint="eastAsia" w:ascii="宋体" w:hAnsi="宋体"/>
          <w:szCs w:val="24"/>
        </w:rPr>
        <w:t>.</w:t>
      </w:r>
      <w:r>
        <w:rPr>
          <w:rFonts w:hint="eastAsia" w:ascii="Times New Roman" w:hAnsi="Times New Roman"/>
          <w:szCs w:val="24"/>
        </w:rPr>
        <w:t>002</w:t>
      </w:r>
      <w:r>
        <w:rPr>
          <w:rFonts w:hint="eastAsia" w:ascii="宋体" w:hAnsi="宋体"/>
          <w:szCs w:val="24"/>
        </w:rPr>
        <w:t>时，计算的桩顶位移增加</w:t>
      </w:r>
      <w:r>
        <w:rPr>
          <w:rFonts w:hint="eastAsia" w:ascii="Times New Roman" w:hAnsi="Times New Roman"/>
          <w:szCs w:val="24"/>
        </w:rPr>
        <w:t>24</w:t>
      </w:r>
      <w:r>
        <w:rPr>
          <w:rFonts w:hint="eastAsia" w:ascii="宋体" w:hAnsi="宋体"/>
          <w:szCs w:val="24"/>
        </w:rPr>
        <w:t>%,桩身最大弯矩增加</w:t>
      </w:r>
      <w:r>
        <w:rPr>
          <w:rFonts w:hint="eastAsia" w:ascii="Times New Roman" w:hAnsi="Times New Roman"/>
          <w:szCs w:val="24"/>
        </w:rPr>
        <w:t>10</w:t>
      </w:r>
      <w:r>
        <w:rPr>
          <w:rFonts w:hint="eastAsia" w:ascii="宋体" w:hAnsi="宋体"/>
          <w:szCs w:val="24"/>
        </w:rPr>
        <w:t>%。后排桩由于全桩长范围有土的约束，向上的竖向位移很小。减小前排桩沉降的有效的措施有：桩端选择强度较高的土层</w:t>
      </w:r>
      <w:r>
        <w:rPr>
          <w:rFonts w:hint="eastAsia"/>
        </w:rPr>
        <w:t>；</w:t>
      </w:r>
      <w:r>
        <w:rPr>
          <w:rFonts w:hint="eastAsia" w:ascii="宋体" w:hAnsi="宋体"/>
          <w:szCs w:val="24"/>
        </w:rPr>
        <w:t>泥浆护壁钻孔桩需控制沉渣厚度</w:t>
      </w:r>
      <w:r>
        <w:rPr>
          <w:rFonts w:hint="eastAsia"/>
        </w:rPr>
        <w:t>；</w:t>
      </w:r>
      <w:r>
        <w:rPr>
          <w:rFonts w:hint="eastAsia" w:ascii="宋体" w:hAnsi="宋体"/>
          <w:szCs w:val="24"/>
        </w:rPr>
        <w:t>采用桩底后注浆技术等。</w:t>
      </w:r>
    </w:p>
    <w:p>
      <w:pPr>
        <w:widowControl w:val="0"/>
        <w:spacing w:line="480" w:lineRule="exact"/>
        <w:rPr>
          <w:rFonts w:ascii="宋体" w:hAnsi="宋体"/>
          <w:szCs w:val="24"/>
        </w:rPr>
      </w:pPr>
      <w:r>
        <w:rPr>
          <w:rFonts w:hint="eastAsia" w:ascii="Times New Roman" w:hAnsi="Times New Roman"/>
          <w:b/>
        </w:rPr>
        <w:t>8.1.31</w:t>
      </w:r>
      <w:r>
        <w:rPr>
          <w:rFonts w:hint="eastAsia" w:ascii="宋体" w:hAnsi="宋体"/>
          <w:b/>
          <w:szCs w:val="24"/>
        </w:rPr>
        <w:t xml:space="preserve"> </w:t>
      </w:r>
      <w:r>
        <w:rPr>
          <w:rFonts w:hint="eastAsia" w:ascii="宋体" w:hAnsi="宋体"/>
          <w:szCs w:val="24"/>
        </w:rPr>
        <w:t>双排桩的桩身内力有弯矩、剪力、轴力，因此需按偏心受压、偏心受拉构件进行设计。双排桩连梁两端均有弯矩，在根据《混凝土结构设计规范》GB</w:t>
      </w:r>
      <w:r>
        <w:rPr>
          <w:rFonts w:hint="eastAsia" w:ascii="Times New Roman" w:hAnsi="Times New Roman"/>
          <w:szCs w:val="24"/>
        </w:rPr>
        <w:t>50010</w:t>
      </w:r>
      <w:r>
        <w:rPr>
          <w:rFonts w:hint="eastAsia" w:ascii="宋体" w:hAnsi="宋体"/>
          <w:szCs w:val="24"/>
        </w:rPr>
        <w:t>判别连梁是否属于深受弯构件时，按照连续梁考虑。</w:t>
      </w:r>
    </w:p>
    <w:p>
      <w:pPr>
        <w:widowControl w:val="0"/>
        <w:spacing w:line="480" w:lineRule="exact"/>
        <w:rPr>
          <w:rFonts w:ascii="宋体" w:hAnsi="宋体"/>
          <w:szCs w:val="24"/>
        </w:rPr>
      </w:pPr>
      <w:r>
        <w:rPr>
          <w:rFonts w:hint="eastAsia" w:ascii="Times New Roman" w:hAnsi="Times New Roman"/>
          <w:b/>
        </w:rPr>
        <w:t>8.1.32</w:t>
      </w:r>
      <w:r>
        <w:rPr>
          <w:rFonts w:hint="eastAsia" w:ascii="宋体" w:hAnsi="宋体"/>
          <w:b/>
          <w:szCs w:val="24"/>
        </w:rPr>
        <w:t xml:space="preserve"> </w:t>
      </w:r>
      <w:r>
        <w:rPr>
          <w:rFonts w:hint="eastAsia" w:ascii="宋体" w:hAnsi="宋体"/>
          <w:szCs w:val="24"/>
        </w:rPr>
        <w:t>本规范的双排桩结构是指由相隔一定间距的前、后排桩及桩顶梁构成的刚架结构，桩顶与连梁的连接按完全刚接考虑，其受力特点类似于混凝土结构中框架顶层，因此，该处的连接构造需符合框架顶层端节点的有关规定。</w:t>
      </w:r>
    </w:p>
    <w:p>
      <w:pPr>
        <w:widowControl w:val="0"/>
        <w:spacing w:line="480" w:lineRule="exact"/>
        <w:rPr>
          <w:rFonts w:ascii="宋体" w:hAnsi="宋体"/>
          <w:szCs w:val="24"/>
        </w:rPr>
      </w:pPr>
      <w:r>
        <w:rPr>
          <w:rFonts w:hint="eastAsia" w:ascii="Times New Roman" w:hAnsi="Times New Roman"/>
          <w:b/>
        </w:rPr>
        <w:t>8.1.33、8.1.34</w:t>
      </w:r>
      <w:r>
        <w:rPr>
          <w:rFonts w:hint="eastAsia" w:ascii="宋体" w:hAnsi="宋体"/>
          <w:b/>
          <w:szCs w:val="24"/>
        </w:rPr>
        <w:t xml:space="preserve"> </w:t>
      </w:r>
      <w:r>
        <w:rPr>
          <w:rFonts w:hint="eastAsia" w:ascii="宋体" w:hAnsi="宋体"/>
          <w:szCs w:val="24"/>
        </w:rPr>
        <w:t>先施工隔水帷幕，再施工钢筋</w:t>
      </w:r>
      <w:r>
        <w:rPr>
          <w:rFonts w:hint="eastAsia"/>
        </w:rPr>
        <w:t>混凝土</w:t>
      </w:r>
      <w:r>
        <w:rPr>
          <w:rFonts w:hint="eastAsia" w:ascii="宋体" w:hAnsi="宋体"/>
          <w:szCs w:val="24"/>
        </w:rPr>
        <w:t>支护桩，有利于保证隔水帷幕的施工质量，减少支护施工对周边环境的影响。</w:t>
      </w:r>
    </w:p>
    <w:p>
      <w:pPr>
        <w:bidi w:val="0"/>
        <w:jc w:val="center"/>
        <w:outlineLvl w:val="9"/>
        <w:rPr>
          <w:rFonts w:hint="eastAsia"/>
          <w:b/>
          <w:bCs/>
          <w:sz w:val="28"/>
          <w:szCs w:val="24"/>
        </w:rPr>
      </w:pPr>
      <w:r>
        <w:rPr>
          <w:rFonts w:hint="eastAsia"/>
          <w:b/>
          <w:bCs/>
          <w:sz w:val="28"/>
          <w:szCs w:val="24"/>
        </w:rPr>
        <w:t>Ⅳ  施工与检测</w:t>
      </w:r>
    </w:p>
    <w:p>
      <w:pPr>
        <w:widowControl w:val="0"/>
        <w:spacing w:line="480" w:lineRule="exact"/>
        <w:rPr>
          <w:rFonts w:ascii="宋体" w:hAnsi="宋体"/>
        </w:rPr>
      </w:pPr>
      <w:r>
        <w:rPr>
          <w:rFonts w:hint="eastAsia" w:ascii="Times New Roman" w:hAnsi="Times New Roman"/>
          <w:b/>
        </w:rPr>
        <w:t>8.1.35</w:t>
      </w:r>
      <w:r>
        <w:rPr>
          <w:rFonts w:hint="eastAsia" w:ascii="宋体" w:hAnsi="宋体"/>
          <w:b/>
          <w:szCs w:val="24"/>
        </w:rPr>
        <w:t xml:space="preserve"> </w:t>
      </w:r>
      <w:r>
        <w:rPr>
          <w:rFonts w:hint="eastAsia" w:ascii="宋体" w:hAnsi="宋体"/>
        </w:rPr>
        <w:t xml:space="preserve">基坑支护中排桩的常用桩型与建筑桩基的基桩基本相同，主要桩型的施工要求在现行行业标准《建筑桩基技术规范》JGJ </w:t>
      </w:r>
      <w:r>
        <w:rPr>
          <w:rFonts w:hint="eastAsia" w:ascii="Times New Roman" w:hAnsi="Times New Roman"/>
        </w:rPr>
        <w:t>94</w:t>
      </w:r>
      <w:r>
        <w:rPr>
          <w:rFonts w:hint="eastAsia" w:ascii="宋体" w:hAnsi="宋体"/>
        </w:rPr>
        <w:t>中已作规定。因此，本规</w:t>
      </w:r>
      <w:r>
        <w:rPr>
          <w:rFonts w:hint="eastAsia"/>
        </w:rPr>
        <w:t>范</w:t>
      </w:r>
      <w:r>
        <w:rPr>
          <w:rFonts w:hint="eastAsia" w:ascii="宋体" w:hAnsi="宋体"/>
        </w:rPr>
        <w:t>仅对桩用于基坑支护时的一些特殊施工要求进行了规定，对桩的常规施工要求不再重复。</w:t>
      </w:r>
    </w:p>
    <w:p>
      <w:pPr>
        <w:widowControl w:val="0"/>
        <w:spacing w:line="480" w:lineRule="exact"/>
        <w:rPr>
          <w:rFonts w:ascii="宋体" w:hAnsi="宋体"/>
        </w:rPr>
      </w:pPr>
      <w:r>
        <w:rPr>
          <w:rFonts w:ascii="Times New Roman" w:hAnsi="Times New Roman"/>
          <w:b/>
        </w:rPr>
        <w:t>8.1.</w:t>
      </w:r>
      <w:r>
        <w:rPr>
          <w:rFonts w:hint="eastAsia" w:ascii="Times New Roman" w:hAnsi="Times New Roman"/>
          <w:b/>
        </w:rPr>
        <w:t>36</w:t>
      </w:r>
      <w:r>
        <w:rPr>
          <w:rFonts w:hint="eastAsia" w:ascii="宋体" w:hAnsi="宋体"/>
          <w:b/>
          <w:szCs w:val="24"/>
        </w:rPr>
        <w:t xml:space="preserve"> </w:t>
      </w:r>
      <w:r>
        <w:rPr>
          <w:rFonts w:hint="eastAsia" w:ascii="宋体" w:hAnsi="宋体"/>
        </w:rPr>
        <w:t>本条规定的是当桩的附近存在既有建筑物、地下管线等环境且需要保护时，桩的施工应注意的一些问题。这些问题处理不当，经常会造成工程事故。因具体工程的条件不同，应具体问题具体分析，结合实际情况采取相应的有效保护措施。</w:t>
      </w:r>
    </w:p>
    <w:p>
      <w:pPr>
        <w:widowControl w:val="0"/>
        <w:spacing w:line="480" w:lineRule="exact"/>
        <w:rPr>
          <w:rFonts w:hint="eastAsia" w:ascii="宋体" w:hAnsi="宋体" w:eastAsia="宋体"/>
          <w:lang w:eastAsia="zh-CN"/>
        </w:rPr>
      </w:pPr>
    </w:p>
    <w:p>
      <w:pPr>
        <w:pStyle w:val="3"/>
      </w:pPr>
      <w:bookmarkStart w:id="1328" w:name="_Toc19739"/>
      <w:bookmarkStart w:id="1329" w:name="_Toc11454"/>
      <w:r>
        <w:rPr>
          <w:rFonts w:hint="eastAsia"/>
        </w:rPr>
        <w:t>8.2  钢板桩</w:t>
      </w:r>
    </w:p>
    <w:p>
      <w:pPr>
        <w:jc w:val="center"/>
        <w:rPr>
          <w:b/>
          <w:bCs/>
          <w:sz w:val="28"/>
          <w:szCs w:val="24"/>
        </w:rPr>
      </w:pPr>
      <w:r>
        <w:rPr>
          <w:rFonts w:hint="eastAsia"/>
          <w:b/>
          <w:bCs/>
          <w:sz w:val="28"/>
          <w:szCs w:val="24"/>
        </w:rPr>
        <w:t>Ⅰ  一般规定</w:t>
      </w:r>
    </w:p>
    <w:p>
      <w:pPr>
        <w:autoSpaceDN w:val="0"/>
        <w:spacing w:line="360" w:lineRule="auto"/>
        <w:rPr>
          <w:rFonts w:ascii="宋体" w:hAnsi="宋体"/>
          <w:szCs w:val="24"/>
        </w:rPr>
      </w:pPr>
      <w:r>
        <w:rPr>
          <w:rFonts w:hint="eastAsia" w:ascii="宋体" w:hAnsi="宋体"/>
          <w:szCs w:val="24"/>
        </w:rPr>
        <w:t>8.2.1 与传统支护结构类型相比，</w:t>
      </w:r>
      <w:r>
        <w:rPr>
          <w:rFonts w:hint="eastAsia" w:ascii="宋体" w:hAnsi="宋体"/>
          <w:color w:val="000000"/>
          <w:szCs w:val="24"/>
        </w:rPr>
        <w:t>钢板桩支护结构具有施工简便、快捷高效、施工周期短、兼具挡土和止水双重功能、能拔出重复利用、施工成本低等优点，钢板桩支护领域越来越广泛，受到市场青睐，带动了钢板桩行业发展。</w:t>
      </w:r>
    </w:p>
    <w:p>
      <w:pPr>
        <w:autoSpaceDN w:val="0"/>
        <w:spacing w:line="360" w:lineRule="auto"/>
        <w:ind w:firstLine="480" w:firstLineChars="200"/>
        <w:rPr>
          <w:rFonts w:ascii="宋体" w:hAnsi="宋体"/>
          <w:szCs w:val="24"/>
        </w:rPr>
      </w:pPr>
      <w:r>
        <w:rPr>
          <w:rFonts w:hint="eastAsia" w:ascii="宋体" w:hAnsi="宋体"/>
          <w:szCs w:val="24"/>
        </w:rPr>
        <w:t>针对我省地质情况，钢板桩支护</w:t>
      </w:r>
      <w:r>
        <w:rPr>
          <w:rFonts w:hint="eastAsia" w:ascii="宋体" w:hAnsi="宋体"/>
          <w:color w:val="000000"/>
          <w:szCs w:val="24"/>
        </w:rPr>
        <w:t>适用于以黏性土、粉土、砂土为主的一般地质土层，在湿陷性黄土和粒径不超过30mm、层厚不超过2m碎石土也积累了一些施工经验，目前还没有在岩石地质施工经验</w:t>
      </w:r>
      <w:r>
        <w:rPr>
          <w:rFonts w:hint="eastAsia" w:ascii="宋体" w:hAnsi="宋体"/>
          <w:szCs w:val="24"/>
        </w:rPr>
        <w:t>。对于特别坚硬土层或者较大粒径、较厚碎石土层，如果没有施工经验，应</w:t>
      </w:r>
      <w:r>
        <w:rPr>
          <w:rFonts w:hint="eastAsia" w:ascii="宋体" w:hAnsi="宋体"/>
          <w:color w:val="0D0D0D"/>
          <w:kern w:val="0"/>
          <w:szCs w:val="24"/>
        </w:rPr>
        <w:t>通过现场试验确定其适用性。</w:t>
      </w:r>
    </w:p>
    <w:p>
      <w:pPr>
        <w:autoSpaceDN w:val="0"/>
        <w:spacing w:line="360" w:lineRule="auto"/>
        <w:rPr>
          <w:rFonts w:ascii="宋体" w:hAnsi="宋体"/>
          <w:szCs w:val="24"/>
        </w:rPr>
      </w:pPr>
      <w:r>
        <w:rPr>
          <w:rFonts w:hint="eastAsia" w:ascii="宋体" w:hAnsi="宋体"/>
          <w:szCs w:val="24"/>
        </w:rPr>
        <w:t>8.2.2</w:t>
      </w:r>
      <w:r>
        <w:rPr>
          <w:rFonts w:hint="eastAsia"/>
          <w:b/>
          <w:szCs w:val="24"/>
        </w:rPr>
        <w:t>~</w:t>
      </w:r>
      <w:r>
        <w:rPr>
          <w:rFonts w:hint="eastAsia" w:ascii="宋体" w:hAnsi="宋体"/>
          <w:szCs w:val="24"/>
        </w:rPr>
        <w:t>8.2.4 钢板桩支护设计施工以往多参照国家行业标准《建筑基坑支护技术规程》JGJ120和</w:t>
      </w:r>
      <w:r>
        <w:rPr>
          <w:rFonts w:hint="eastAsia" w:ascii="宋体" w:hAnsi="宋体"/>
          <w:color w:val="000000"/>
          <w:szCs w:val="24"/>
        </w:rPr>
        <w:t>《钢板桩支护技术规程》T/CECS720-2020</w:t>
      </w:r>
      <w:r>
        <w:rPr>
          <w:rFonts w:hint="eastAsia" w:ascii="宋体" w:hAnsi="宋体"/>
          <w:szCs w:val="24"/>
        </w:rPr>
        <w:t>，近年来我省钢板桩支护领域科研与工程实践大量增加，通过工程实践积累了不少经验，也汲取了一些应用工程的事故教训，总结了针对我省地质特点的设计理念与施工方法。</w:t>
      </w:r>
    </w:p>
    <w:p>
      <w:pPr>
        <w:autoSpaceDN w:val="0"/>
        <w:spacing w:line="360" w:lineRule="auto"/>
        <w:rPr>
          <w:rFonts w:ascii="宋体" w:hAnsi="宋体"/>
          <w:szCs w:val="24"/>
        </w:rPr>
      </w:pPr>
      <w:r>
        <w:rPr>
          <w:rFonts w:hint="eastAsia" w:ascii="宋体" w:hAnsi="宋体"/>
          <w:szCs w:val="24"/>
        </w:rPr>
        <w:t>8.2.5 本条列举了三种沉桩方法，在附录G对这三种方法的适用情况和特点进行了详细分析，可根据工程实际情况参考选用，目前我省常用振动法，锤击法和静压法很少采用。</w:t>
      </w:r>
    </w:p>
    <w:p>
      <w:pPr>
        <w:autoSpaceDN w:val="0"/>
        <w:spacing w:line="360" w:lineRule="auto"/>
        <w:rPr>
          <w:rFonts w:ascii="宋体" w:hAnsi="宋体"/>
          <w:szCs w:val="24"/>
        </w:rPr>
      </w:pPr>
      <w:r>
        <w:rPr>
          <w:rFonts w:hint="eastAsia" w:ascii="宋体" w:hAnsi="宋体"/>
          <w:szCs w:val="24"/>
        </w:rPr>
        <w:t>8.2.6 目前钢板桩沉桩和拔除常用振动法，振动法施工可使桩周围土层扰动或液化，会影响临近地基的稳定性，如果临近有非常重要建（构）筑物、地下管线或者年代比较久的危房、老化的管线，建议采用其它支护结构类型。采用振动法打拔钢板桩会有地面震动影响，根据经验，震动影响的范围在半径4～6m之内，周边环境对振动比较敏感的，施工前应组织有关部门做好调查和采取有效保护措施，确保周边环境安全。在选用钢板桩支护结构时，要提前分析钢板桩拔除的可行性，如果无法拔桩，钢板桩材料就需要一次摊销，会显著加大施工成本。另外，钢板桩拔除产生的危害必须</w:t>
      </w:r>
      <w:r>
        <w:rPr>
          <w:rFonts w:hint="eastAsia" w:ascii="宋体" w:hAnsi="宋体"/>
          <w:color w:val="000000"/>
          <w:szCs w:val="24"/>
        </w:rPr>
        <w:t>引起重视，</w:t>
      </w:r>
      <w:r>
        <w:rPr>
          <w:rFonts w:hint="eastAsia" w:ascii="宋体" w:hAnsi="宋体"/>
          <w:color w:val="000000"/>
          <w:kern w:val="0"/>
          <w:szCs w:val="24"/>
        </w:rPr>
        <w:t>由于拔桩过程中桩身会带出一部分土体，留下桩孔，可能引起地面变形，甚至影响邻近建（构）筑物结构或地下管线安全，本规程在钢板桩施工与检测章节专门制定了拔桩要点和相应措施。</w:t>
      </w:r>
    </w:p>
    <w:p>
      <w:pPr>
        <w:jc w:val="center"/>
        <w:rPr>
          <w:b/>
          <w:bCs/>
          <w:sz w:val="28"/>
          <w:szCs w:val="24"/>
        </w:rPr>
      </w:pPr>
      <w:r>
        <w:rPr>
          <w:rFonts w:hint="eastAsia"/>
          <w:b/>
          <w:bCs/>
          <w:sz w:val="28"/>
          <w:szCs w:val="24"/>
        </w:rPr>
        <w:t>Ⅱ  设计计算</w:t>
      </w:r>
    </w:p>
    <w:p>
      <w:pPr>
        <w:autoSpaceDN w:val="0"/>
        <w:spacing w:line="360" w:lineRule="auto"/>
        <w:rPr>
          <w:rFonts w:ascii="宋体" w:hAnsi="宋体"/>
          <w:szCs w:val="24"/>
        </w:rPr>
      </w:pPr>
      <w:r>
        <w:rPr>
          <w:rFonts w:hint="eastAsia" w:ascii="宋体" w:hAnsi="宋体"/>
          <w:szCs w:val="24"/>
        </w:rPr>
        <w:t>8.2.7 基坑周边环境条件是钢板桩支护结构设计的重要依据之一。实际工程中因对基坑周边环境条件缺乏准确了解或忽视而造成的工程事故时有发生。为了使钢板桩支护设计针对性更强，应准确查明基坑周边环境条件，并按这些环境条件进行设计，施工时应防止对其造成破坏。</w:t>
      </w:r>
    </w:p>
    <w:p>
      <w:pPr>
        <w:autoSpaceDN w:val="0"/>
        <w:spacing w:line="360" w:lineRule="auto"/>
        <w:rPr>
          <w:rFonts w:ascii="宋体" w:hAnsi="宋体"/>
          <w:szCs w:val="24"/>
        </w:rPr>
      </w:pPr>
      <w:r>
        <w:rPr>
          <w:rFonts w:hint="eastAsia" w:ascii="宋体" w:hAnsi="宋体"/>
          <w:szCs w:val="24"/>
        </w:rPr>
        <w:t>8.2.8 应根据工程实际情况，选择合适的钢板桩支护结构类型，本</w:t>
      </w:r>
      <w:r>
        <w:rPr>
          <w:rFonts w:hint="eastAsia" w:ascii="宋体" w:hAnsi="宋体"/>
          <w:color w:val="FF0000"/>
          <w:szCs w:val="24"/>
        </w:rPr>
        <w:t>标准</w:t>
      </w:r>
      <w:r>
        <w:rPr>
          <w:rFonts w:hint="eastAsia" w:ascii="宋体" w:hAnsi="宋体"/>
          <w:szCs w:val="24"/>
        </w:rPr>
        <w:t>7.3.1具体列出了适用条件。</w:t>
      </w:r>
    </w:p>
    <w:p>
      <w:pPr>
        <w:spacing w:line="360" w:lineRule="auto"/>
        <w:ind w:firstLine="480" w:firstLineChars="200"/>
        <w:rPr>
          <w:rFonts w:ascii="宋体" w:hAnsi="宋体"/>
          <w:szCs w:val="24"/>
        </w:rPr>
      </w:pPr>
      <w:r>
        <w:rPr>
          <w:rFonts w:hint="eastAsia" w:ascii="宋体" w:hAnsi="宋体"/>
          <w:szCs w:val="24"/>
        </w:rPr>
        <w:t>悬臂式支护结构顶部位移较大，当基坑较浅且基坑周边环境对支护结构位移的限制不严格时，可采用此支护类型。</w:t>
      </w:r>
    </w:p>
    <w:p>
      <w:pPr>
        <w:spacing w:line="360" w:lineRule="auto"/>
        <w:ind w:firstLine="480" w:firstLineChars="200"/>
        <w:rPr>
          <w:rFonts w:ascii="宋体" w:hAnsi="宋体"/>
          <w:szCs w:val="24"/>
        </w:rPr>
      </w:pPr>
      <w:r>
        <w:rPr>
          <w:rFonts w:hint="eastAsia" w:ascii="宋体" w:hAnsi="宋体"/>
          <w:szCs w:val="24"/>
        </w:rPr>
        <w:t>锚拉式支护结构一般适用于基坑面积和基坑跨度较大的工程，锚拉方式多采用锚杆或锚索，一般需要在钢板桩上开孔，所以锚拉式只适合设置1道锚杆或锚索的情况，对于较深基坑，如果条件允许，可采用上部放坡或土钉墙的形式，基坑深度不宜大于10m。锚拉方式也可采用简单的钢丝绳拉结，钢丝绳一端固定于钢板桩支护结构围檩上，另一端固定于专门设置的锚碇上，锚碇可采用打入1~3根钢板桩，锚碇的距离应设置在钢板桩支护结构计算滑动面以外范围，基坑深度不宜大于10m。</w:t>
      </w:r>
    </w:p>
    <w:p>
      <w:pPr>
        <w:spacing w:line="360" w:lineRule="auto"/>
        <w:ind w:firstLine="480" w:firstLineChars="200"/>
        <w:rPr>
          <w:rFonts w:ascii="宋体" w:hAnsi="宋体"/>
          <w:szCs w:val="24"/>
        </w:rPr>
      </w:pPr>
      <w:r>
        <w:rPr>
          <w:rFonts w:hint="eastAsia" w:ascii="宋体" w:hAnsi="宋体"/>
          <w:szCs w:val="24"/>
        </w:rPr>
        <w:t>锚拉式支护结构选择受地质条件和周边环境条件影响比较多，一定要慎重选择并分析可行性，特别是周边建（构）筑物地下基础或地下管线埋设情况是否满足锚杆（索）施工条件，还有红线范围以外地下空间规划的要求。</w:t>
      </w:r>
    </w:p>
    <w:p>
      <w:pPr>
        <w:spacing w:line="360" w:lineRule="auto"/>
        <w:ind w:firstLine="480" w:firstLineChars="200"/>
        <w:rPr>
          <w:rFonts w:ascii="宋体" w:hAnsi="宋体"/>
          <w:szCs w:val="24"/>
        </w:rPr>
      </w:pPr>
      <w:r>
        <w:rPr>
          <w:rFonts w:hint="eastAsia" w:ascii="宋体" w:hAnsi="宋体"/>
          <w:szCs w:val="24"/>
        </w:rPr>
        <w:t>支撑式支护结构受限条件少，适用范围比较广，可设置多道支撑，可用于深度10m~15m较深的基坑。</w:t>
      </w:r>
    </w:p>
    <w:p>
      <w:pPr>
        <w:spacing w:line="360" w:lineRule="auto"/>
        <w:rPr>
          <w:rFonts w:ascii="宋体" w:hAnsi="宋体"/>
          <w:szCs w:val="24"/>
        </w:rPr>
      </w:pPr>
      <w:r>
        <w:rPr>
          <w:rFonts w:hint="eastAsia" w:ascii="宋体" w:hAnsi="宋体"/>
          <w:szCs w:val="24"/>
        </w:rPr>
        <w:t>8.2.11</w:t>
      </w:r>
      <w:r>
        <w:rPr>
          <w:rFonts w:hint="eastAsia" w:ascii="宋体" w:hAnsi="宋体"/>
          <w:color w:val="000000"/>
          <w:szCs w:val="24"/>
        </w:rPr>
        <w:t>采用锚拉式支护结构，为满足锚杆（索）施工要求，需要在钢板桩上开孔。如果在沉桩前开孔，每根桩沉桩高度不一致，开孔不在统一平面上，造成后期锚杆（索）腰梁施工困难，所以要求沉桩全部结束后再统一开孔，在钢板桩上统一划线确定锚杆（索）位置，按划线位置在对应钢板桩上开孔，保证开孔在一水平面上。</w:t>
      </w:r>
    </w:p>
    <w:p>
      <w:pPr>
        <w:jc w:val="center"/>
        <w:rPr>
          <w:b/>
          <w:bCs/>
          <w:sz w:val="28"/>
          <w:szCs w:val="24"/>
        </w:rPr>
      </w:pPr>
      <w:r>
        <w:rPr>
          <w:rFonts w:hint="eastAsia"/>
          <w:b/>
          <w:bCs/>
          <w:sz w:val="28"/>
          <w:szCs w:val="24"/>
        </w:rPr>
        <w:t>Ⅲ  布置与构造</w:t>
      </w:r>
    </w:p>
    <w:p>
      <w:pPr>
        <w:autoSpaceDN w:val="0"/>
        <w:spacing w:line="360" w:lineRule="auto"/>
        <w:rPr>
          <w:rFonts w:ascii="宋体" w:hAnsi="宋体"/>
          <w:szCs w:val="24"/>
        </w:rPr>
      </w:pPr>
      <w:r>
        <w:rPr>
          <w:rFonts w:hint="eastAsia" w:ascii="宋体" w:hAnsi="宋体"/>
          <w:szCs w:val="24"/>
        </w:rPr>
        <w:t>8.2.17 根据生产工艺不同，钢板桩可分为热轧和冷弯两种规格，热轧工艺比较复杂，锁口咬合紧密，截水性能好于冷弯工艺，冷弯工艺比较简单，但钢板桩强度性能要好于热轧工艺，从施工成本考虑，冷弯钢板桩比较经济，目前我省市场上主要采用冷弯U型钢板桩。</w:t>
      </w:r>
    </w:p>
    <w:p>
      <w:pPr>
        <w:autoSpaceDN w:val="0"/>
        <w:spacing w:line="360" w:lineRule="auto"/>
        <w:rPr>
          <w:rFonts w:ascii="宋体" w:hAnsi="宋体"/>
          <w:szCs w:val="24"/>
        </w:rPr>
      </w:pPr>
      <w:r>
        <w:rPr>
          <w:rFonts w:hint="eastAsia" w:ascii="宋体" w:hAnsi="宋体"/>
          <w:szCs w:val="24"/>
        </w:rPr>
        <w:t>8.2.18 钢板桩单根长度受运输工具限制，桩长不宜超过18m，目前我省应用最长24m钢板桩实例是在太原跨汾河摄乐大桥中央主桥墩深基坑支护，基坑深度约13m，采用整根24m钢板桩，设置两道钢支撑。钢板桩一般采用整材，如果工程需要也可以采用焊接接长，焊接接长难度比较大，难点一个是接长后必须保证两侧锁扣顺直，另一个是接头质量满足等强度要求。焊接接头应在U型桩腹板两侧设置连接板，腹板及翼缘对接部位焊接，锁扣部位不焊接，保证锁扣不变形、内部光滑无焊瘤。</w:t>
      </w:r>
    </w:p>
    <w:p>
      <w:pPr>
        <w:jc w:val="center"/>
        <w:rPr>
          <w:b/>
          <w:bCs/>
          <w:sz w:val="28"/>
          <w:szCs w:val="24"/>
        </w:rPr>
      </w:pPr>
      <w:r>
        <w:rPr>
          <w:rFonts w:hint="eastAsia"/>
          <w:b/>
          <w:bCs/>
          <w:sz w:val="28"/>
          <w:szCs w:val="24"/>
        </w:rPr>
        <w:t>Ⅳ  施工与检测</w:t>
      </w:r>
    </w:p>
    <w:p>
      <w:pPr>
        <w:autoSpaceDN w:val="0"/>
        <w:adjustRightInd w:val="0"/>
        <w:snapToGrid w:val="0"/>
        <w:spacing w:line="360" w:lineRule="auto"/>
        <w:rPr>
          <w:rFonts w:ascii="宋体" w:hAnsi="宋体"/>
          <w:szCs w:val="24"/>
        </w:rPr>
      </w:pPr>
      <w:r>
        <w:rPr>
          <w:rFonts w:hint="eastAsia" w:ascii="宋体" w:hAnsi="宋体"/>
          <w:szCs w:val="24"/>
        </w:rPr>
        <w:t>8.2.22</w:t>
      </w:r>
      <w:r>
        <w:rPr>
          <w:rFonts w:ascii="宋体" w:hAnsi="宋体"/>
          <w:b/>
          <w:color w:val="000000"/>
          <w:szCs w:val="24"/>
        </w:rPr>
        <w:t>～</w:t>
      </w:r>
      <w:r>
        <w:rPr>
          <w:rFonts w:hint="eastAsia" w:ascii="宋体" w:hAnsi="宋体"/>
          <w:szCs w:val="24"/>
        </w:rPr>
        <w:t>8.2.23 钢板桩振动法既可以打桩又能拔桩，是目前最常用的一种沉桩方法。振动法可以采用吊车悬吊振动锤施工，也可以由挖掘机直接改装成机械手进行一体式施工。机械手施工非常灵活快捷，施工速度快，目前工程上基本都是采用机械手施工，其缺点是打桩精度不高，一般会受到桩长和地质条件限制，在使用时应结合工程经验适当选择，桩长不宜超过15m。振动沉桩的原理是通过振动减小桩与土之间的摩阻力，在沉桩过程中，振动力通过桩体传递到桩周围的土，扰动土体产生轻微液化，显著减小了桩与土之间的摩擦力，因而只需很小的振动力就可以把桩沉入到土中，通过这种原理也能轻松实现拔桩。</w:t>
      </w:r>
    </w:p>
    <w:p>
      <w:pPr>
        <w:autoSpaceDN w:val="0"/>
        <w:adjustRightInd w:val="0"/>
        <w:snapToGrid w:val="0"/>
        <w:spacing w:line="360" w:lineRule="auto"/>
        <w:rPr>
          <w:rFonts w:ascii="宋体" w:hAnsi="宋体"/>
          <w:color w:val="000000"/>
          <w:szCs w:val="24"/>
        </w:rPr>
      </w:pPr>
      <w:r>
        <w:rPr>
          <w:rFonts w:hint="eastAsia" w:ascii="宋体" w:hAnsi="宋体"/>
          <w:szCs w:val="24"/>
        </w:rPr>
        <w:t>8.2.24 逐根式沉桩是</w:t>
      </w:r>
      <w:r>
        <w:rPr>
          <w:rFonts w:hint="eastAsia" w:ascii="宋体" w:hAnsi="宋体"/>
          <w:color w:val="000000"/>
          <w:szCs w:val="24"/>
        </w:rPr>
        <w:t>采取单根打入，易向一边倾斜，累积误差不易纠正，成桩精度难以控制，打桩长度不宜超过15m，施工方便快捷，是目前常用的一种方式。逐根式沉桩应控制好前两根成桩精度，对后续沉桩起到导向作用，然后采用左右跳打的方式，待形成一段桩墙（一般20根左右）后，再向一侧连续沉桩。</w:t>
      </w:r>
    </w:p>
    <w:p>
      <w:pPr>
        <w:adjustRightInd w:val="0"/>
        <w:snapToGrid w:val="0"/>
        <w:spacing w:line="360" w:lineRule="auto"/>
        <w:ind w:firstLine="480" w:firstLineChars="200"/>
        <w:jc w:val="center"/>
        <w:rPr>
          <w:rFonts w:ascii="宋体" w:hAnsi="宋体"/>
          <w:szCs w:val="24"/>
        </w:rPr>
      </w:pPr>
      <w:r>
        <w:rPr>
          <w:rFonts w:hint="eastAsia" w:ascii="宋体" w:hAnsi="宋体"/>
          <w:color w:val="000000"/>
          <w:szCs w:val="24"/>
        </w:rPr>
        <w:t>屏风式沉桩</w:t>
      </w:r>
      <w:r>
        <w:rPr>
          <w:rFonts w:hint="eastAsia" w:ascii="宋体" w:hAnsi="宋体" w:cs="Arial"/>
          <w:color w:val="000000"/>
          <w:szCs w:val="24"/>
        </w:rPr>
        <w:t>需要安装足够高度的辅助导向架，</w:t>
      </w:r>
      <w:r>
        <w:rPr>
          <w:rFonts w:hint="eastAsia" w:ascii="宋体" w:hAnsi="宋体"/>
          <w:szCs w:val="24"/>
        </w:rPr>
        <w:t>先</w:t>
      </w:r>
      <w:r>
        <w:rPr>
          <w:rFonts w:ascii="宋体" w:hAnsi="宋体"/>
          <w:szCs w:val="24"/>
        </w:rPr>
        <w:t>将10</w:t>
      </w:r>
      <w:r>
        <w:rPr>
          <w:rFonts w:ascii="宋体" w:hAnsi="宋体"/>
          <w:b/>
          <w:color w:val="000000"/>
          <w:szCs w:val="24"/>
        </w:rPr>
        <w:t>～</w:t>
      </w:r>
      <w:r>
        <w:rPr>
          <w:rFonts w:ascii="宋体" w:hAnsi="宋体"/>
          <w:szCs w:val="24"/>
        </w:rPr>
        <w:t>20根钢板桩成排插入预先安装好的辅助导向架内并联锁</w:t>
      </w:r>
      <w:r>
        <w:rPr>
          <w:rFonts w:hint="eastAsia" w:ascii="宋体" w:hAnsi="宋体"/>
          <w:szCs w:val="24"/>
        </w:rPr>
        <w:t>形成一片桩墙</w:t>
      </w:r>
      <w:r>
        <w:rPr>
          <w:rFonts w:ascii="宋体" w:hAnsi="宋体"/>
          <w:szCs w:val="24"/>
        </w:rPr>
        <w:t>，</w:t>
      </w:r>
      <w:r>
        <w:rPr>
          <w:rFonts w:hint="eastAsia" w:ascii="宋体" w:hAnsi="宋体"/>
          <w:szCs w:val="24"/>
        </w:rPr>
        <w:t>然后将</w:t>
      </w:r>
      <w:r>
        <w:rPr>
          <w:rFonts w:ascii="宋体" w:hAnsi="宋体"/>
          <w:szCs w:val="24"/>
        </w:rPr>
        <w:t>桩墙两端1～2根桩打入</w:t>
      </w:r>
      <w:r>
        <w:rPr>
          <w:rFonts w:hint="eastAsia" w:ascii="宋体" w:hAnsi="宋体"/>
          <w:szCs w:val="24"/>
        </w:rPr>
        <w:t>深度</w:t>
      </w:r>
      <w:r>
        <w:rPr>
          <w:rFonts w:ascii="宋体" w:hAnsi="宋体"/>
          <w:szCs w:val="24"/>
        </w:rPr>
        <w:t>2～3m，再将中间的桩也打入相同深度</w:t>
      </w:r>
      <w:r>
        <w:rPr>
          <w:rFonts w:hint="eastAsia" w:ascii="宋体" w:hAnsi="宋体"/>
          <w:szCs w:val="24"/>
        </w:rPr>
        <w:t>，</w:t>
      </w:r>
      <w:r>
        <w:rPr>
          <w:rFonts w:ascii="宋体" w:hAnsi="宋体"/>
          <w:szCs w:val="24"/>
        </w:rPr>
        <w:t>重复以上操作，分批次施打，直至将全部钢板桩打至设计深度。屏风式沉桩精度高、止水效果好、施工质量有保证，适用于打桩精度要求较高</w:t>
      </w:r>
      <w:r>
        <w:rPr>
          <w:rFonts w:hint="eastAsia" w:ascii="宋体" w:hAnsi="宋体"/>
          <w:szCs w:val="24"/>
        </w:rPr>
        <w:t>或采用较长钢板桩</w:t>
      </w:r>
      <w:r>
        <w:rPr>
          <w:rFonts w:ascii="宋体" w:hAnsi="宋体"/>
          <w:szCs w:val="24"/>
        </w:rPr>
        <w:t>的工程。该方法的缺点是</w:t>
      </w:r>
      <w:r>
        <w:rPr>
          <w:rFonts w:hint="eastAsia" w:ascii="宋体" w:hAnsi="宋体"/>
          <w:szCs w:val="24"/>
        </w:rPr>
        <w:t>需要安装</w:t>
      </w:r>
      <w:r>
        <w:rPr>
          <w:rFonts w:ascii="宋体" w:hAnsi="宋体"/>
          <w:szCs w:val="24"/>
        </w:rPr>
        <w:t>辅助导向架，施工较为繁琐</w:t>
      </w:r>
      <w:r>
        <w:rPr>
          <w:rFonts w:hint="eastAsia" w:ascii="宋体" w:hAnsi="宋体"/>
          <w:szCs w:val="24"/>
        </w:rPr>
        <w:t>，较逐根式施工速度慢</w:t>
      </w:r>
      <w:r>
        <w:rPr>
          <w:rFonts w:ascii="宋体" w:hAnsi="宋体"/>
          <w:szCs w:val="24"/>
        </w:rPr>
        <w:t>。</w:t>
      </w:r>
    </w:p>
    <w:p>
      <w:pPr>
        <w:adjustRightInd w:val="0"/>
        <w:snapToGrid w:val="0"/>
        <w:spacing w:line="360" w:lineRule="auto"/>
        <w:ind w:left="2400" w:hanging="2400" w:hangingChars="1000"/>
        <w:rPr>
          <w:rFonts w:ascii="宋体" w:hAnsi="宋体"/>
          <w:sz w:val="28"/>
          <w:szCs w:val="28"/>
        </w:rPr>
      </w:pPr>
      <w:r>
        <w:rPr>
          <w:rFonts w:hint="eastAsia" w:ascii="宋体" w:hAnsi="宋体" w:cs="Arial"/>
          <w:color w:val="333333"/>
          <w:szCs w:val="24"/>
        </w:rPr>
        <w:t>辅助</w:t>
      </w:r>
      <w:r>
        <w:rPr>
          <w:rFonts w:hint="eastAsia" w:ascii="宋体" w:hAnsi="宋体"/>
          <w:szCs w:val="24"/>
        </w:rPr>
        <w:t>导向架一般由双侧围檩、围檩桩和连接板组成，具体做法可参考图1。</w:t>
      </w:r>
      <w:r>
        <w:rPr>
          <w:rFonts w:ascii="宋体" w:hAnsi="宋体" w:cs="Arial"/>
          <w:color w:val="333333"/>
          <w:szCs w:val="24"/>
        </w:rPr>
        <w:br w:type="textWrapping"/>
      </w:r>
      <w:r>
        <w:drawing>
          <wp:inline distT="0" distB="0" distL="0" distR="0">
            <wp:extent cx="2863850" cy="1708150"/>
            <wp:effectExtent l="0" t="0" r="1270" b="13970"/>
            <wp:docPr id="750" name="图片 7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0" name="图片 750"/>
                    <pic:cNvPicPr>
                      <a:picLocks noChangeAspect="true" noChangeArrowheads="true"/>
                    </pic:cNvPicPr>
                  </pic:nvPicPr>
                  <pic:blipFill>
                    <a:blip r:embed="rId845">
                      <a:extLst>
                        <a:ext uri="{28A0092B-C50C-407E-A947-70E740481C1C}">
                          <a14:useLocalDpi xmlns:a14="http://schemas.microsoft.com/office/drawing/2010/main" val="false"/>
                        </a:ext>
                      </a:extLst>
                    </a:blip>
                    <a:srcRect l="2531" t="7625" r="10138" b="29411"/>
                    <a:stretch>
                      <a:fillRect/>
                    </a:stretch>
                  </pic:blipFill>
                  <pic:spPr>
                    <a:xfrm>
                      <a:off x="0" y="0"/>
                      <a:ext cx="2863850" cy="1708150"/>
                    </a:xfrm>
                    <a:prstGeom prst="rect">
                      <a:avLst/>
                    </a:prstGeom>
                    <a:noFill/>
                    <a:ln>
                      <a:noFill/>
                    </a:ln>
                  </pic:spPr>
                </pic:pic>
              </a:graphicData>
            </a:graphic>
          </wp:inline>
        </w:drawing>
      </w:r>
      <w:r>
        <w:rPr>
          <w:rFonts w:hint="eastAsia"/>
        </w:rPr>
        <w:t xml:space="preserve"> </w:t>
      </w:r>
    </w:p>
    <w:p>
      <w:pPr>
        <w:jc w:val="center"/>
        <w:rPr>
          <w:rFonts w:ascii="宋体" w:hAnsi="宋体"/>
          <w:sz w:val="18"/>
          <w:szCs w:val="18"/>
        </w:rPr>
      </w:pPr>
      <w:r>
        <w:rPr>
          <w:rFonts w:hint="eastAsia" w:ascii="宋体" w:hAnsi="宋体"/>
          <w:sz w:val="18"/>
          <w:szCs w:val="18"/>
        </w:rPr>
        <w:t>（a）平面布置；（b）剖面</w:t>
      </w:r>
    </w:p>
    <w:p>
      <w:pPr>
        <w:jc w:val="center"/>
        <w:rPr>
          <w:rFonts w:ascii="宋体" w:hAnsi="宋体"/>
          <w:sz w:val="18"/>
          <w:szCs w:val="18"/>
        </w:rPr>
      </w:pPr>
      <w:r>
        <w:rPr>
          <w:rFonts w:hint="eastAsia" w:ascii="宋体" w:hAnsi="宋体"/>
          <w:sz w:val="18"/>
          <w:szCs w:val="18"/>
        </w:rPr>
        <w:t>1-围檁桩；2-双侧围檁；3-钢板桩；4-连接板</w:t>
      </w:r>
    </w:p>
    <w:p>
      <w:pPr>
        <w:jc w:val="center"/>
        <w:rPr>
          <w:rFonts w:ascii="宋体" w:hAnsi="宋体"/>
          <w:szCs w:val="21"/>
        </w:rPr>
      </w:pPr>
      <w:r>
        <w:rPr>
          <w:rFonts w:hint="eastAsia" w:ascii="宋体" w:hAnsi="宋体"/>
          <w:szCs w:val="21"/>
        </w:rPr>
        <w:t>图1  辅助导向架示意图</w:t>
      </w:r>
    </w:p>
    <w:p>
      <w:pPr>
        <w:autoSpaceDN w:val="0"/>
        <w:adjustRightInd w:val="0"/>
        <w:snapToGrid w:val="0"/>
        <w:spacing w:line="360" w:lineRule="auto"/>
        <w:rPr>
          <w:rFonts w:ascii="宋体" w:hAnsi="宋体"/>
          <w:szCs w:val="24"/>
        </w:rPr>
      </w:pPr>
      <w:r>
        <w:rPr>
          <w:rFonts w:hint="eastAsia" w:ascii="宋体" w:hAnsi="宋体"/>
          <w:szCs w:val="24"/>
        </w:rPr>
        <w:t>8.2.25</w:t>
      </w:r>
      <w:r>
        <w:rPr>
          <w:rFonts w:ascii="宋体" w:hAnsi="宋体"/>
          <w:b/>
          <w:color w:val="000000"/>
          <w:szCs w:val="24"/>
        </w:rPr>
        <w:t>～</w:t>
      </w:r>
      <w:r>
        <w:rPr>
          <w:rFonts w:hint="eastAsia" w:ascii="宋体" w:hAnsi="宋体"/>
          <w:szCs w:val="24"/>
        </w:rPr>
        <w:t xml:space="preserve">8.2.26 </w:t>
      </w:r>
      <w:r>
        <w:rPr>
          <w:rFonts w:ascii="宋体" w:hAnsi="宋体"/>
          <w:szCs w:val="24"/>
        </w:rPr>
        <w:t>锤击法穿透能力比较强，适合在非常坚硬的土层中沉桩作业，但其缺点是噪音比较大、冲击能量影响范围广，不适合周围环境条件敏感和限制施工的场地。静压法是一种无振动无噪音的液压静力压桩方法，在黏性土中压桩效果非常有效，在密实的砂土中压桩效果不是很好</w:t>
      </w:r>
      <w:r>
        <w:rPr>
          <w:rFonts w:hint="eastAsia" w:ascii="宋体" w:hAnsi="宋体"/>
          <w:szCs w:val="24"/>
        </w:rPr>
        <w:t>；</w:t>
      </w:r>
      <w:r>
        <w:rPr>
          <w:rFonts w:ascii="宋体" w:hAnsi="宋体"/>
          <w:szCs w:val="24"/>
        </w:rPr>
        <w:t>静压法在对振动和噪音非常敏感的场地是最有效的方法，但施工效率低、作业成本高</w:t>
      </w:r>
      <w:r>
        <w:rPr>
          <w:rFonts w:hint="eastAsia" w:ascii="宋体" w:hAnsi="宋体"/>
          <w:szCs w:val="24"/>
        </w:rPr>
        <w:t>。静压法沉桩原理是将</w:t>
      </w:r>
      <w:r>
        <w:rPr>
          <w:rFonts w:ascii="宋体" w:hAnsi="宋体"/>
          <w:szCs w:val="24"/>
        </w:rPr>
        <w:t>液压装置通过固定在已</w:t>
      </w:r>
      <w:r>
        <w:rPr>
          <w:rFonts w:hint="eastAsia" w:ascii="宋体" w:hAnsi="宋体"/>
          <w:szCs w:val="24"/>
        </w:rPr>
        <w:t>沉</w:t>
      </w:r>
      <w:r>
        <w:rPr>
          <w:rFonts w:ascii="宋体" w:hAnsi="宋体"/>
          <w:szCs w:val="24"/>
        </w:rPr>
        <w:t>入的钢板桩上而提供反力，同时夹持住钢板桩的桩身将钢板桩压入土中</w:t>
      </w:r>
      <w:r>
        <w:rPr>
          <w:rFonts w:hint="eastAsia" w:ascii="宋体" w:hAnsi="宋体"/>
          <w:szCs w:val="24"/>
        </w:rPr>
        <w:t>（</w:t>
      </w:r>
      <w:r>
        <w:rPr>
          <w:rFonts w:ascii="宋体" w:hAnsi="宋体"/>
          <w:szCs w:val="24"/>
        </w:rPr>
        <w:t>图</w:t>
      </w:r>
      <w:r>
        <w:rPr>
          <w:rFonts w:hint="eastAsia" w:ascii="宋体" w:hAnsi="宋体"/>
          <w:szCs w:val="24"/>
        </w:rPr>
        <w:t>2）；</w:t>
      </w:r>
      <w:r>
        <w:rPr>
          <w:rFonts w:ascii="宋体" w:hAnsi="宋体"/>
          <w:szCs w:val="24"/>
        </w:rPr>
        <w:t>桩机体型小，</w:t>
      </w:r>
      <w:r>
        <w:rPr>
          <w:rFonts w:hint="eastAsia" w:ascii="宋体" w:hAnsi="宋体"/>
          <w:szCs w:val="24"/>
        </w:rPr>
        <w:t>自身不能起吊钢板桩，需要吊车配合。目前这两种方法在我省很少使用。</w:t>
      </w:r>
    </w:p>
    <w:p>
      <w:pPr>
        <w:autoSpaceDN w:val="0"/>
        <w:adjustRightInd w:val="0"/>
        <w:snapToGrid w:val="0"/>
        <w:spacing w:line="360" w:lineRule="auto"/>
        <w:jc w:val="center"/>
      </w:pPr>
      <w:r>
        <w:drawing>
          <wp:inline distT="0" distB="0" distL="0" distR="0">
            <wp:extent cx="3255645" cy="2070100"/>
            <wp:effectExtent l="0" t="0" r="5715" b="2540"/>
            <wp:docPr id="751" name="图片 7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1" name="图片 751"/>
                    <pic:cNvPicPr>
                      <a:picLocks noChangeAspect="true" noChangeArrowheads="true"/>
                    </pic:cNvPicPr>
                  </pic:nvPicPr>
                  <pic:blipFill>
                    <a:blip r:embed="rId846">
                      <a:extLst>
                        <a:ext uri="{28A0092B-C50C-407E-A947-70E740481C1C}">
                          <a14:useLocalDpi xmlns:a14="http://schemas.microsoft.com/office/drawing/2010/main" val="false"/>
                        </a:ext>
                      </a:extLst>
                    </a:blip>
                    <a:srcRect l="28645" t="33727" r="39583" b="30293"/>
                    <a:stretch>
                      <a:fillRect/>
                    </a:stretch>
                  </pic:blipFill>
                  <pic:spPr>
                    <a:xfrm>
                      <a:off x="0" y="0"/>
                      <a:ext cx="3255645" cy="2070100"/>
                    </a:xfrm>
                    <a:prstGeom prst="rect">
                      <a:avLst/>
                    </a:prstGeom>
                    <a:noFill/>
                    <a:ln>
                      <a:noFill/>
                    </a:ln>
                  </pic:spPr>
                </pic:pic>
              </a:graphicData>
            </a:graphic>
          </wp:inline>
        </w:drawing>
      </w:r>
    </w:p>
    <w:p>
      <w:pPr>
        <w:autoSpaceDN w:val="0"/>
        <w:adjustRightInd w:val="0"/>
        <w:snapToGrid w:val="0"/>
        <w:spacing w:line="360" w:lineRule="auto"/>
        <w:jc w:val="center"/>
        <w:rPr>
          <w:rFonts w:ascii="宋体" w:hAnsi="宋体"/>
          <w:szCs w:val="21"/>
        </w:rPr>
      </w:pPr>
      <w:r>
        <w:rPr>
          <w:rFonts w:ascii="宋体" w:hAnsi="宋体"/>
          <w:szCs w:val="21"/>
        </w:rPr>
        <w:t>图</w:t>
      </w:r>
      <w:r>
        <w:rPr>
          <w:rFonts w:hint="eastAsia" w:ascii="宋体" w:hAnsi="宋体"/>
          <w:szCs w:val="21"/>
        </w:rPr>
        <w:t xml:space="preserve">2 </w:t>
      </w:r>
      <w:r>
        <w:rPr>
          <w:rFonts w:ascii="宋体" w:hAnsi="宋体"/>
          <w:szCs w:val="21"/>
        </w:rPr>
        <w:t>钢板桩专用静压植桩机沉桩示意图</w:t>
      </w:r>
    </w:p>
    <w:p>
      <w:pPr>
        <w:autoSpaceDN w:val="0"/>
        <w:adjustRightInd w:val="0"/>
        <w:snapToGrid w:val="0"/>
        <w:spacing w:line="360" w:lineRule="auto"/>
        <w:rPr>
          <w:rFonts w:ascii="宋体" w:hAnsi="宋体" w:cs="宋体"/>
          <w:color w:val="000000"/>
          <w:kern w:val="0"/>
          <w:szCs w:val="24"/>
        </w:rPr>
      </w:pPr>
      <w:r>
        <w:rPr>
          <w:rFonts w:hint="eastAsia" w:ascii="宋体" w:hAnsi="宋体"/>
          <w:szCs w:val="24"/>
        </w:rPr>
        <w:t>8.2.</w:t>
      </w:r>
      <w:r>
        <w:rPr>
          <w:rFonts w:hint="eastAsia" w:ascii="宋体" w:hAnsi="宋体"/>
          <w:color w:val="000000"/>
          <w:szCs w:val="24"/>
        </w:rPr>
        <w:t>27 坚硬的土层一般指的是</w:t>
      </w:r>
      <w:r>
        <w:rPr>
          <w:rFonts w:hint="eastAsia" w:ascii="宋体" w:hAnsi="宋体" w:cs="宋体"/>
          <w:color w:val="000000"/>
          <w:kern w:val="0"/>
          <w:szCs w:val="24"/>
        </w:rPr>
        <w:t>标贯击数大于30的黏性土、砂土和碎石土，还有含水率极小的湿陷性黄土特殊地质，容易出现沉桩困难，对此，</w:t>
      </w:r>
      <w:r>
        <w:rPr>
          <w:rFonts w:ascii="宋体" w:hAnsi="宋体"/>
          <w:color w:val="000000"/>
          <w:szCs w:val="24"/>
        </w:rPr>
        <w:t>可以采用预</w:t>
      </w:r>
      <w:r>
        <w:rPr>
          <w:rFonts w:hint="eastAsia" w:ascii="宋体" w:hAnsi="宋体"/>
          <w:color w:val="000000"/>
          <w:szCs w:val="24"/>
        </w:rPr>
        <w:t>钻</w:t>
      </w:r>
      <w:r>
        <w:rPr>
          <w:rFonts w:ascii="宋体" w:hAnsi="宋体"/>
          <w:color w:val="000000"/>
          <w:szCs w:val="24"/>
        </w:rPr>
        <w:t>孔或高压射水等辅助措施。</w:t>
      </w:r>
      <w:r>
        <w:rPr>
          <w:rFonts w:hint="eastAsia" w:ascii="宋体" w:hAnsi="宋体"/>
          <w:color w:val="000000"/>
          <w:szCs w:val="24"/>
        </w:rPr>
        <w:t>预钻孔或高压射水措施，能够有效地减小沉桩阻力，也可降低噪音和振动。</w:t>
      </w:r>
      <w:r>
        <w:rPr>
          <w:rFonts w:ascii="宋体" w:hAnsi="宋体"/>
          <w:color w:val="000000"/>
          <w:szCs w:val="24"/>
        </w:rPr>
        <w:t>预</w:t>
      </w:r>
      <w:r>
        <w:rPr>
          <w:rFonts w:hint="eastAsia" w:ascii="宋体" w:hAnsi="宋体"/>
          <w:color w:val="000000"/>
          <w:szCs w:val="24"/>
        </w:rPr>
        <w:t>钻</w:t>
      </w:r>
      <w:r>
        <w:rPr>
          <w:rFonts w:ascii="宋体" w:hAnsi="宋体"/>
          <w:color w:val="000000"/>
          <w:szCs w:val="24"/>
        </w:rPr>
        <w:t>孔可以采用水泥搅拌桩机，尽量避免带出土体，使土体松动即可。高压射水法由安装在钢板桩上的喷管、喷嘴和压力装置组成，通过压力装置和连接于喷管上的喷嘴将水压送至桩底以冲散桩底土，从而减小桩端阻力。高压</w:t>
      </w:r>
      <w:r>
        <w:rPr>
          <w:rFonts w:hint="eastAsia" w:ascii="宋体" w:hAnsi="宋体"/>
          <w:color w:val="000000"/>
          <w:szCs w:val="24"/>
        </w:rPr>
        <w:t>射</w:t>
      </w:r>
      <w:r>
        <w:rPr>
          <w:rFonts w:ascii="宋体" w:hAnsi="宋体"/>
          <w:color w:val="000000"/>
          <w:szCs w:val="24"/>
        </w:rPr>
        <w:t>水装置的布置</w:t>
      </w:r>
      <w:r>
        <w:rPr>
          <w:rFonts w:hint="eastAsia" w:ascii="宋体" w:hAnsi="宋体"/>
          <w:color w:val="000000"/>
          <w:szCs w:val="24"/>
        </w:rPr>
        <w:t>可参考图3。</w:t>
      </w:r>
    </w:p>
    <w:p>
      <w:pPr>
        <w:autoSpaceDN w:val="0"/>
        <w:adjustRightInd w:val="0"/>
        <w:snapToGrid w:val="0"/>
        <w:spacing w:line="360" w:lineRule="auto"/>
        <w:jc w:val="center"/>
        <w:rPr>
          <w:rFonts w:ascii="宋体" w:hAnsi="宋体" w:cs="宋体"/>
          <w:color w:val="FF0000"/>
          <w:kern w:val="0"/>
          <w:szCs w:val="24"/>
        </w:rPr>
      </w:pPr>
      <w:r>
        <w:rPr>
          <w:szCs w:val="21"/>
        </w:rPr>
        <w:drawing>
          <wp:inline distT="0" distB="0" distL="0" distR="0">
            <wp:extent cx="1276350" cy="412115"/>
            <wp:effectExtent l="0" t="0" r="3810" b="14605"/>
            <wp:docPr id="752" name="图片 7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2" name="图片 752"/>
                    <pic:cNvPicPr>
                      <a:picLocks noChangeAspect="true" noChangeArrowheads="true"/>
                    </pic:cNvPicPr>
                  </pic:nvPicPr>
                  <pic:blipFill>
                    <a:blip r:embed="rId847">
                      <a:extLst>
                        <a:ext uri="{28A0092B-C50C-407E-A947-70E740481C1C}">
                          <a14:useLocalDpi xmlns:a14="http://schemas.microsoft.com/office/drawing/2010/main" val="false"/>
                        </a:ext>
                      </a:extLst>
                    </a:blip>
                    <a:srcRect b="15790"/>
                    <a:stretch>
                      <a:fillRect/>
                    </a:stretch>
                  </pic:blipFill>
                  <pic:spPr>
                    <a:xfrm>
                      <a:off x="0" y="0"/>
                      <a:ext cx="1276350" cy="412115"/>
                    </a:xfrm>
                    <a:prstGeom prst="rect">
                      <a:avLst/>
                    </a:prstGeom>
                    <a:noFill/>
                    <a:ln>
                      <a:noFill/>
                    </a:ln>
                  </pic:spPr>
                </pic:pic>
              </a:graphicData>
            </a:graphic>
          </wp:inline>
        </w:drawing>
      </w:r>
    </w:p>
    <w:p>
      <w:pPr>
        <w:autoSpaceDN w:val="0"/>
        <w:adjustRightInd w:val="0"/>
        <w:snapToGrid w:val="0"/>
        <w:spacing w:line="360" w:lineRule="auto"/>
        <w:jc w:val="center"/>
        <w:rPr>
          <w:rFonts w:ascii="宋体" w:hAnsi="宋体" w:cs="宋体"/>
          <w:color w:val="FF0000"/>
          <w:kern w:val="0"/>
          <w:szCs w:val="21"/>
        </w:rPr>
      </w:pPr>
      <w:r>
        <w:rPr>
          <w:rFonts w:hint="eastAsia" w:ascii="宋体" w:hAnsi="宋体"/>
          <w:szCs w:val="21"/>
        </w:rPr>
        <w:t>图3  高压射水装置布置图</w:t>
      </w:r>
    </w:p>
    <w:p>
      <w:pPr>
        <w:autoSpaceDN w:val="0"/>
        <w:spacing w:line="360" w:lineRule="auto"/>
        <w:rPr>
          <w:rFonts w:ascii="宋体" w:hAnsi="宋体"/>
          <w:szCs w:val="24"/>
        </w:rPr>
      </w:pPr>
      <w:r>
        <w:rPr>
          <w:rFonts w:hint="eastAsia" w:ascii="宋体" w:hAnsi="宋体"/>
          <w:szCs w:val="24"/>
        </w:rPr>
        <w:t xml:space="preserve">8.2.28 </w:t>
      </w:r>
      <w:r>
        <w:rPr>
          <w:rFonts w:ascii="宋体" w:hAnsi="宋体"/>
          <w:szCs w:val="24"/>
        </w:rPr>
        <w:t>钢板桩</w:t>
      </w:r>
      <w:r>
        <w:rPr>
          <w:rFonts w:hint="eastAsia" w:ascii="宋体" w:hAnsi="宋体"/>
          <w:szCs w:val="24"/>
        </w:rPr>
        <w:t>沉桩过程中</w:t>
      </w:r>
      <w:r>
        <w:rPr>
          <w:rFonts w:ascii="宋体" w:hAnsi="宋体"/>
          <w:szCs w:val="24"/>
        </w:rPr>
        <w:t>，会造成钢板桩顶部向打桩行进方向倾斜</w:t>
      </w:r>
      <w:r>
        <w:rPr>
          <w:rFonts w:hint="eastAsia" w:ascii="宋体" w:hAnsi="宋体"/>
          <w:szCs w:val="24"/>
        </w:rPr>
        <w:t>，当倾斜过大时，可采用异形钢板桩的方法进行调整（图4），异形钢板桩为上窄下宽楔形。如果没有异形桩，也可以采用骑缝搭接的方式进行合拢，即在倾斜过大的部位进行最后封闭合拢，合拢时互相延长，形成一段搭接长度。</w:t>
      </w:r>
    </w:p>
    <w:p>
      <w:pPr>
        <w:autoSpaceDN w:val="0"/>
        <w:spacing w:line="360" w:lineRule="auto"/>
        <w:jc w:val="center"/>
        <w:rPr>
          <w:rFonts w:ascii="宋体" w:hAnsi="宋体"/>
          <w:szCs w:val="24"/>
        </w:rPr>
      </w:pPr>
      <w:r>
        <w:rPr>
          <w:rFonts w:ascii="宋体"/>
          <w:szCs w:val="24"/>
        </w:rPr>
        <w:drawing>
          <wp:inline distT="0" distB="0" distL="0" distR="0">
            <wp:extent cx="1557655" cy="1818640"/>
            <wp:effectExtent l="0" t="0" r="12065" b="10160"/>
            <wp:docPr id="753" name="图片 7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true" noChangeArrowheads="true"/>
                    </pic:cNvPicPr>
                  </pic:nvPicPr>
                  <pic:blipFill>
                    <a:blip r:embed="rId848" cstate="print">
                      <a:extLst>
                        <a:ext uri="{28A0092B-C50C-407E-A947-70E740481C1C}">
                          <a14:useLocalDpi xmlns:a14="http://schemas.microsoft.com/office/drawing/2010/main" val="false"/>
                        </a:ext>
                      </a:extLst>
                    </a:blip>
                    <a:srcRect/>
                    <a:stretch>
                      <a:fillRect/>
                    </a:stretch>
                  </pic:blipFill>
                  <pic:spPr>
                    <a:xfrm>
                      <a:off x="0" y="0"/>
                      <a:ext cx="1557655" cy="1818640"/>
                    </a:xfrm>
                    <a:prstGeom prst="rect">
                      <a:avLst/>
                    </a:prstGeom>
                    <a:noFill/>
                    <a:ln>
                      <a:noFill/>
                    </a:ln>
                  </pic:spPr>
                </pic:pic>
              </a:graphicData>
            </a:graphic>
          </wp:inline>
        </w:drawing>
      </w:r>
    </w:p>
    <w:p>
      <w:pPr>
        <w:jc w:val="center"/>
        <w:rPr>
          <w:rFonts w:ascii="宋体" w:hAnsi="宋体"/>
          <w:sz w:val="18"/>
          <w:szCs w:val="18"/>
        </w:rPr>
      </w:pPr>
      <w:r>
        <w:rPr>
          <w:rFonts w:ascii="宋体" w:hAnsi="宋体"/>
          <w:sz w:val="18"/>
          <w:szCs w:val="18"/>
        </w:rPr>
        <w:t>1—</w:t>
      </w:r>
      <w:r>
        <w:rPr>
          <w:rFonts w:hint="eastAsia" w:ascii="宋体" w:hAnsi="宋体"/>
          <w:sz w:val="18"/>
          <w:szCs w:val="18"/>
        </w:rPr>
        <w:t>已打入钢板桩；</w:t>
      </w:r>
      <w:r>
        <w:rPr>
          <w:rFonts w:ascii="宋体" w:hAnsi="宋体"/>
          <w:sz w:val="18"/>
          <w:szCs w:val="18"/>
        </w:rPr>
        <w:t>2—</w:t>
      </w:r>
      <w:r>
        <w:rPr>
          <w:rFonts w:hint="eastAsia" w:ascii="宋体" w:hAnsi="宋体"/>
          <w:sz w:val="18"/>
          <w:szCs w:val="18"/>
        </w:rPr>
        <w:t>楔形钢板桩；</w:t>
      </w:r>
      <w:r>
        <w:rPr>
          <w:rFonts w:ascii="宋体" w:hAnsi="宋体"/>
          <w:sz w:val="18"/>
          <w:szCs w:val="18"/>
        </w:rPr>
        <w:t>3—</w:t>
      </w:r>
      <w:r>
        <w:rPr>
          <w:rFonts w:hint="eastAsia" w:ascii="宋体" w:hAnsi="宋体"/>
          <w:sz w:val="18"/>
          <w:szCs w:val="18"/>
        </w:rPr>
        <w:t>拟打入钢板桩</w:t>
      </w:r>
    </w:p>
    <w:p>
      <w:pPr>
        <w:spacing w:line="300" w:lineRule="auto"/>
        <w:jc w:val="center"/>
        <w:rPr>
          <w:rFonts w:ascii="宋体" w:hAnsi="宋体"/>
          <w:szCs w:val="21"/>
        </w:rPr>
      </w:pPr>
      <w:r>
        <w:rPr>
          <w:rFonts w:hint="eastAsia" w:ascii="宋体" w:hAnsi="宋体"/>
          <w:szCs w:val="21"/>
        </w:rPr>
        <w:t>图4 采用异形桩纠倾示意图</w:t>
      </w:r>
    </w:p>
    <w:p>
      <w:pPr>
        <w:autoSpaceDN w:val="0"/>
        <w:spacing w:line="360" w:lineRule="auto"/>
        <w:ind w:firstLine="480" w:firstLineChars="200"/>
        <w:rPr>
          <w:rFonts w:ascii="宋体" w:hAnsi="宋体"/>
          <w:color w:val="2B05EB"/>
          <w:szCs w:val="24"/>
        </w:rPr>
      </w:pPr>
      <w:r>
        <w:rPr>
          <w:rFonts w:ascii="宋体" w:hAnsi="宋体"/>
          <w:szCs w:val="24"/>
        </w:rPr>
        <w:t>钢板桩</w:t>
      </w:r>
      <w:r>
        <w:rPr>
          <w:rFonts w:hint="eastAsia" w:ascii="宋体" w:hAnsi="宋体"/>
          <w:szCs w:val="24"/>
        </w:rPr>
        <w:t>墙</w:t>
      </w:r>
      <w:r>
        <w:rPr>
          <w:rFonts w:ascii="宋体" w:hAnsi="宋体"/>
          <w:szCs w:val="24"/>
        </w:rPr>
        <w:t>转角处</w:t>
      </w:r>
      <w:r>
        <w:rPr>
          <w:rFonts w:hint="eastAsia" w:ascii="宋体" w:hAnsi="宋体"/>
          <w:szCs w:val="24"/>
        </w:rPr>
        <w:t>发生</w:t>
      </w:r>
      <w:r>
        <w:rPr>
          <w:rFonts w:ascii="宋体" w:hAnsi="宋体"/>
          <w:szCs w:val="24"/>
        </w:rPr>
        <w:t>漏水、流泥现象比较普遍，往往容易造成工程事故</w:t>
      </w:r>
      <w:r>
        <w:rPr>
          <w:rFonts w:hint="eastAsia" w:ascii="宋体" w:hAnsi="宋体"/>
          <w:szCs w:val="24"/>
        </w:rPr>
        <w:t>。其原因</w:t>
      </w:r>
      <w:r>
        <w:rPr>
          <w:rFonts w:ascii="宋体" w:hAnsi="宋体"/>
          <w:szCs w:val="24"/>
        </w:rPr>
        <w:t>除了施工精度控制不严外，主要是对转角桩使用要求不高</w:t>
      </w:r>
      <w:r>
        <w:rPr>
          <w:rFonts w:hint="eastAsia" w:ascii="宋体" w:hAnsi="宋体"/>
          <w:szCs w:val="24"/>
        </w:rPr>
        <w:t>。</w:t>
      </w:r>
      <w:r>
        <w:rPr>
          <w:rFonts w:ascii="宋体" w:hAnsi="宋体"/>
          <w:szCs w:val="24"/>
        </w:rPr>
        <w:t>本条文对此作了要求，目前常用的转角桩形式</w:t>
      </w:r>
      <w:r>
        <w:rPr>
          <w:rFonts w:ascii="宋体" w:hAnsi="宋体"/>
          <w:color w:val="000000"/>
          <w:szCs w:val="24"/>
        </w:rPr>
        <w:t>可参考图</w:t>
      </w:r>
      <w:r>
        <w:rPr>
          <w:rFonts w:hint="eastAsia" w:ascii="宋体" w:hAnsi="宋体"/>
          <w:color w:val="000000"/>
          <w:szCs w:val="24"/>
        </w:rPr>
        <w:t>5</w:t>
      </w:r>
      <w:r>
        <w:rPr>
          <w:rFonts w:ascii="宋体" w:hAnsi="宋体"/>
          <w:color w:val="000000"/>
          <w:szCs w:val="24"/>
        </w:rPr>
        <w:t>。</w:t>
      </w:r>
    </w:p>
    <w:p>
      <w:pPr>
        <w:spacing w:line="360" w:lineRule="auto"/>
        <w:rPr>
          <w:szCs w:val="21"/>
        </w:rPr>
      </w:pPr>
      <w:r>
        <w:rPr>
          <w:i/>
          <w:color w:val="0000FF"/>
          <w:szCs w:val="21"/>
        </w:rPr>
        <w:drawing>
          <wp:inline distT="0" distB="0" distL="0" distR="0">
            <wp:extent cx="1004570" cy="934720"/>
            <wp:effectExtent l="0" t="0" r="1270" b="10160"/>
            <wp:docPr id="754" name="图片 7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true" noChangeArrowheads="true"/>
                    </pic:cNvPicPr>
                  </pic:nvPicPr>
                  <pic:blipFill>
                    <a:blip r:embed="rId849">
                      <a:extLst>
                        <a:ext uri="{28A0092B-C50C-407E-A947-70E740481C1C}">
                          <a14:useLocalDpi xmlns:a14="http://schemas.microsoft.com/office/drawing/2010/main" val="false"/>
                        </a:ext>
                      </a:extLst>
                    </a:blip>
                    <a:srcRect l="11069"/>
                    <a:stretch>
                      <a:fillRect/>
                    </a:stretch>
                  </pic:blipFill>
                  <pic:spPr>
                    <a:xfrm>
                      <a:off x="0" y="0"/>
                      <a:ext cx="1004570" cy="934720"/>
                    </a:xfrm>
                    <a:prstGeom prst="rect">
                      <a:avLst/>
                    </a:prstGeom>
                    <a:noFill/>
                    <a:ln>
                      <a:noFill/>
                    </a:ln>
                  </pic:spPr>
                </pic:pic>
              </a:graphicData>
            </a:graphic>
          </wp:inline>
        </w:drawing>
      </w:r>
      <w:r>
        <w:rPr>
          <w:i/>
          <w:color w:val="0000FF"/>
          <w:szCs w:val="21"/>
        </w:rPr>
        <w:drawing>
          <wp:inline distT="0" distB="0" distL="0" distR="0">
            <wp:extent cx="1266190" cy="1075055"/>
            <wp:effectExtent l="0" t="0" r="0" b="0"/>
            <wp:docPr id="755" name="图片 7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5" name="图片 755"/>
                    <pic:cNvPicPr>
                      <a:picLocks noChangeAspect="true" noChangeArrowheads="true"/>
                    </pic:cNvPicPr>
                  </pic:nvPicPr>
                  <pic:blipFill>
                    <a:blip r:embed="rId850" cstate="print">
                      <a:extLst>
                        <a:ext uri="{28A0092B-C50C-407E-A947-70E740481C1C}">
                          <a14:useLocalDpi xmlns:a14="http://schemas.microsoft.com/office/drawing/2010/main" val="false"/>
                        </a:ext>
                      </a:extLst>
                    </a:blip>
                    <a:srcRect t="59618" r="61086"/>
                    <a:stretch>
                      <a:fillRect/>
                    </a:stretch>
                  </pic:blipFill>
                  <pic:spPr>
                    <a:xfrm>
                      <a:off x="0" y="0"/>
                      <a:ext cx="1266190" cy="1075055"/>
                    </a:xfrm>
                    <a:prstGeom prst="rect">
                      <a:avLst/>
                    </a:prstGeom>
                    <a:noFill/>
                    <a:ln>
                      <a:noFill/>
                    </a:ln>
                  </pic:spPr>
                </pic:pic>
              </a:graphicData>
            </a:graphic>
          </wp:inline>
        </w:drawing>
      </w:r>
      <w:r>
        <w:rPr>
          <w:i/>
          <w:color w:val="0000FF"/>
          <w:szCs w:val="21"/>
        </w:rPr>
        <w:drawing>
          <wp:inline distT="0" distB="0" distL="0" distR="0">
            <wp:extent cx="1205865" cy="1075055"/>
            <wp:effectExtent l="0" t="0" r="13335" b="0"/>
            <wp:docPr id="756" name="图片 7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6" name="图片 756"/>
                    <pic:cNvPicPr>
                      <a:picLocks noChangeAspect="true" noChangeArrowheads="true"/>
                    </pic:cNvPicPr>
                  </pic:nvPicPr>
                  <pic:blipFill>
                    <a:blip r:embed="rId850" cstate="print">
                      <a:extLst>
                        <a:ext uri="{28A0092B-C50C-407E-A947-70E740481C1C}">
                          <a14:useLocalDpi xmlns:a14="http://schemas.microsoft.com/office/drawing/2010/main" val="false"/>
                        </a:ext>
                      </a:extLst>
                    </a:blip>
                    <a:srcRect r="61728" b="57143"/>
                    <a:stretch>
                      <a:fillRect/>
                    </a:stretch>
                  </pic:blipFill>
                  <pic:spPr>
                    <a:xfrm>
                      <a:off x="0" y="0"/>
                      <a:ext cx="1205865" cy="1075055"/>
                    </a:xfrm>
                    <a:prstGeom prst="rect">
                      <a:avLst/>
                    </a:prstGeom>
                    <a:noFill/>
                    <a:ln>
                      <a:noFill/>
                    </a:ln>
                  </pic:spPr>
                </pic:pic>
              </a:graphicData>
            </a:graphic>
          </wp:inline>
        </w:drawing>
      </w:r>
      <w:r>
        <w:rPr>
          <w:i/>
          <w:color w:val="0000FF"/>
          <w:szCs w:val="21"/>
        </w:rPr>
        <w:drawing>
          <wp:inline distT="0" distB="0" distL="0" distR="0">
            <wp:extent cx="1055370" cy="1125220"/>
            <wp:effectExtent l="0" t="0" r="11430" b="0"/>
            <wp:docPr id="757" name="图片 7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7" name="图片 757"/>
                    <pic:cNvPicPr>
                      <a:picLocks noChangeAspect="true" noChangeArrowheads="true"/>
                    </pic:cNvPicPr>
                  </pic:nvPicPr>
                  <pic:blipFill>
                    <a:blip r:embed="rId850" cstate="print">
                      <a:extLst>
                        <a:ext uri="{28A0092B-C50C-407E-A947-70E740481C1C}">
                          <a14:useLocalDpi xmlns:a14="http://schemas.microsoft.com/office/drawing/2010/main" val="false"/>
                        </a:ext>
                      </a:extLst>
                    </a:blip>
                    <a:srcRect l="63702" b="55501"/>
                    <a:stretch>
                      <a:fillRect/>
                    </a:stretch>
                  </pic:blipFill>
                  <pic:spPr>
                    <a:xfrm>
                      <a:off x="0" y="0"/>
                      <a:ext cx="1055370" cy="1125220"/>
                    </a:xfrm>
                    <a:prstGeom prst="rect">
                      <a:avLst/>
                    </a:prstGeom>
                    <a:noFill/>
                    <a:ln>
                      <a:noFill/>
                    </a:ln>
                  </pic:spPr>
                </pic:pic>
              </a:graphicData>
            </a:graphic>
          </wp:inline>
        </w:drawing>
      </w:r>
      <w:r>
        <w:rPr>
          <w:i/>
          <w:color w:val="0000FF"/>
          <w:szCs w:val="21"/>
        </w:rPr>
        <w:drawing>
          <wp:inline distT="0" distB="0" distL="0" distR="0">
            <wp:extent cx="1266190" cy="1125220"/>
            <wp:effectExtent l="0" t="0" r="13970" b="2540"/>
            <wp:docPr id="758" name="图片 7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8" name="图片 758"/>
                    <pic:cNvPicPr>
                      <a:picLocks noChangeAspect="true" noChangeArrowheads="true"/>
                    </pic:cNvPicPr>
                  </pic:nvPicPr>
                  <pic:blipFill>
                    <a:blip r:embed="rId850" cstate="print">
                      <a:extLst>
                        <a:ext uri="{28A0092B-C50C-407E-A947-70E740481C1C}">
                          <a14:useLocalDpi xmlns:a14="http://schemas.microsoft.com/office/drawing/2010/main" val="false"/>
                        </a:ext>
                      </a:extLst>
                    </a:blip>
                    <a:srcRect l="62189" t="56602"/>
                    <a:stretch>
                      <a:fillRect/>
                    </a:stretch>
                  </pic:blipFill>
                  <pic:spPr>
                    <a:xfrm>
                      <a:off x="0" y="0"/>
                      <a:ext cx="1266190" cy="1125220"/>
                    </a:xfrm>
                    <a:prstGeom prst="rect">
                      <a:avLst/>
                    </a:prstGeom>
                    <a:noFill/>
                    <a:ln>
                      <a:noFill/>
                    </a:ln>
                  </pic:spPr>
                </pic:pic>
              </a:graphicData>
            </a:graphic>
          </wp:inline>
        </w:drawing>
      </w:r>
    </w:p>
    <w:p>
      <w:pPr>
        <w:spacing w:line="360" w:lineRule="auto"/>
        <w:jc w:val="center"/>
        <w:rPr>
          <w:rFonts w:ascii="宋体" w:hAnsi="宋体"/>
          <w:szCs w:val="21"/>
        </w:rPr>
      </w:pPr>
      <w:r>
        <w:rPr>
          <w:rFonts w:ascii="宋体" w:hAnsi="宋体"/>
          <w:szCs w:val="21"/>
        </w:rPr>
        <w:t>图</w:t>
      </w:r>
      <w:r>
        <w:rPr>
          <w:rFonts w:hint="eastAsia" w:ascii="宋体" w:hAnsi="宋体"/>
          <w:szCs w:val="21"/>
        </w:rPr>
        <w:t xml:space="preserve">5  </w:t>
      </w:r>
      <w:r>
        <w:rPr>
          <w:rFonts w:ascii="宋体" w:hAnsi="宋体"/>
          <w:szCs w:val="21"/>
        </w:rPr>
        <w:t>转角</w:t>
      </w:r>
      <w:r>
        <w:rPr>
          <w:rFonts w:hint="eastAsia" w:ascii="宋体" w:hAnsi="宋体"/>
          <w:szCs w:val="21"/>
        </w:rPr>
        <w:t>桩</w:t>
      </w:r>
      <w:r>
        <w:rPr>
          <w:rFonts w:ascii="宋体" w:hAnsi="宋体"/>
          <w:szCs w:val="21"/>
        </w:rPr>
        <w:t>连接件截面形式示意图</w:t>
      </w:r>
    </w:p>
    <w:p>
      <w:pPr>
        <w:autoSpaceDN w:val="0"/>
        <w:spacing w:line="360" w:lineRule="auto"/>
        <w:rPr>
          <w:rFonts w:ascii="宋体" w:hAnsi="宋体"/>
          <w:szCs w:val="24"/>
        </w:rPr>
      </w:pPr>
      <w:r>
        <w:rPr>
          <w:rFonts w:hint="eastAsia" w:ascii="宋体" w:hAnsi="宋体"/>
          <w:szCs w:val="24"/>
        </w:rPr>
        <w:t>8.2.29 钢板桩支护结构最后要将打入的钢板桩拔除，在拔桩前应认真研究分析拔桩需要满足的条件。由于施工过程是动态的，虽然在前期钢板桩支护结构设计时就已经考虑了拔桩的可行性，但在后期会发生很多不确定因素。最明显的就是施工场地的变化，后期新建建（构）筑物基础已建成，场地就变小了很多，如果周围空间狭小，就要考虑拔桩设备上到新建基础上去作业，重点是新建基础顶板强度是否能满足拔桩设备作业条件。常用拔桩设备机械手自重加上拔桩施加力将近40~50吨，机械手拔桩最大作业跨度一般为6~10m，如果新建基础顶板的强度经设计人员确认不能承受拔桩设备机械手上去作业，机械手最大作业跨度又不能伸到最远拔桩部位，可以考虑在新建基础上面设置钢路基箱进行拔桩。钢路基箱一般采用H型钢加工制作成井字框架，上面铺设钢板，成型后的平面尺寸宽度4~6m、长度8~10m。钢路基箱的原理是将长方向两端放置在新建基础墙壁或柱承重结构上，与基础顶板不接触，不让顶板受力，拔桩设备机械手上到钢路基箱上作业。</w:t>
      </w:r>
    </w:p>
    <w:p>
      <w:pPr>
        <w:autoSpaceDN w:val="0"/>
        <w:spacing w:line="360" w:lineRule="auto"/>
        <w:rPr>
          <w:rFonts w:ascii="宋体" w:hAnsi="宋体"/>
          <w:szCs w:val="24"/>
        </w:rPr>
      </w:pPr>
      <w:r>
        <w:rPr>
          <w:rFonts w:hint="eastAsia" w:ascii="宋体" w:hAnsi="宋体"/>
          <w:szCs w:val="24"/>
        </w:rPr>
        <w:t>8.2.30</w:t>
      </w:r>
      <w:r>
        <w:rPr>
          <w:rFonts w:ascii="宋体" w:hAnsi="宋体"/>
          <w:b/>
          <w:color w:val="000000"/>
          <w:szCs w:val="24"/>
        </w:rPr>
        <w:t>～</w:t>
      </w:r>
      <w:r>
        <w:rPr>
          <w:rFonts w:hint="eastAsia" w:ascii="宋体" w:hAnsi="宋体"/>
          <w:szCs w:val="24"/>
        </w:rPr>
        <w:t>8.2.31 拔桩过程中，一般或多或少都会形成桩孔，容易造成相邻地面沉降和出现裂缝，因此，如果拔桩部位邻近有保护要求严格的建（构）筑物、地下管线或道路等，应引起特别重视，加强沉降观测，并对桩孔及时采取有效处理措施。拔桩顺序一般从基坑变形较小的部位开始，宜分次、分段、间隔拔桩，尽量不要采用一次连续拔桩的方法，并控制拔桩速度。</w:t>
      </w:r>
    </w:p>
    <w:p>
      <w:pPr>
        <w:autoSpaceDN w:val="0"/>
        <w:spacing w:line="360" w:lineRule="auto"/>
        <w:rPr>
          <w:rFonts w:ascii="宋体" w:hAnsi="宋体"/>
        </w:rPr>
      </w:pPr>
      <w:r>
        <w:rPr>
          <w:rFonts w:hint="eastAsia" w:ascii="宋体" w:hAnsi="宋体"/>
          <w:szCs w:val="24"/>
        </w:rPr>
        <w:t>8.2.32 钢板桩支护结构在基坑土方挖开后，应对桩墙成型质量进行检验与验收，按现行验收标准相关规定，钢板桩支护结构</w:t>
      </w:r>
      <w:r>
        <w:rPr>
          <w:rFonts w:hint="eastAsia"/>
          <w:color w:val="0D0D0D"/>
          <w:szCs w:val="24"/>
        </w:rPr>
        <w:t>应属于“地基与基础”分部工程中“基坑支护”子分部工程中的“板桩围护墙”分项工程</w:t>
      </w:r>
      <w:r>
        <w:rPr>
          <w:rFonts w:hint="eastAsia"/>
          <w:szCs w:val="24"/>
        </w:rPr>
        <w:t>，钢板桩施工数量较大时应分批验收，每批重量60t可划分为一个检验批。</w:t>
      </w:r>
    </w:p>
    <w:p>
      <w:pPr>
        <w:pStyle w:val="3"/>
        <w:bidi w:val="0"/>
      </w:pPr>
      <w:r>
        <w:rPr>
          <w:rFonts w:hint="eastAsia"/>
        </w:rPr>
        <w:t>8.</w:t>
      </w:r>
      <w:r>
        <w:rPr>
          <w:rFonts w:hint="eastAsia"/>
          <w:lang w:eastAsia="zh-CN"/>
        </w:rPr>
        <w:t>3</w:t>
      </w:r>
      <w:r>
        <w:rPr>
          <w:rFonts w:hint="eastAsia"/>
        </w:rPr>
        <w:t xml:space="preserve">  型钢水泥土搅拌墙</w:t>
      </w:r>
    </w:p>
    <w:p>
      <w:pPr>
        <w:bidi w:val="0"/>
        <w:jc w:val="center"/>
        <w:outlineLvl w:val="9"/>
        <w:rPr>
          <w:rFonts w:hint="eastAsia"/>
          <w:b/>
          <w:bCs/>
          <w:sz w:val="28"/>
          <w:szCs w:val="24"/>
          <w:lang w:val="en-US" w:eastAsia="zh-CN"/>
        </w:rPr>
      </w:pPr>
      <w:r>
        <w:rPr>
          <w:rFonts w:hint="eastAsia" w:ascii="Calibri" w:eastAsia="宋体"/>
          <w:b/>
          <w:bCs/>
          <w:sz w:val="28"/>
          <w:szCs w:val="24"/>
          <w:lang w:val="en-US" w:eastAsia="zh-CN"/>
        </w:rPr>
        <w:t>Ⅰ 一般规定</w:t>
      </w:r>
    </w:p>
    <w:p>
      <w:pPr>
        <w:pStyle w:val="46"/>
        <w:spacing w:after="0" w:line="360" w:lineRule="auto"/>
        <w:ind w:left="0" w:firstLine="481" w:firstLineChars="20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8.3.1</w:t>
      </w:r>
      <w:r>
        <w:rPr>
          <w:rFonts w:hint="eastAsia" w:cs="Times New Roman"/>
          <w:color w:val="0000FF"/>
          <w:sz w:val="24"/>
          <w:szCs w:val="22"/>
          <w:lang w:val="en-US" w:eastAsia="zh-CN" w:bidi="ar-SA"/>
        </w:rPr>
        <w:t>本条规定明确了规程的适用范围，型钢水泥土搅拌墙一 般适用于填土、淤泥质土、黏性土、粉土、砂性土、饱和黄土等地层。对于杂填土地层，施工前需清除地下障碍物；对于粗砂、 砂砾等粗粒砂性土地层，应注意有无明显的流动地下水，以防止固化剂尚未硬化时流失而影响工程质量。</w:t>
      </w:r>
    </w:p>
    <w:p>
      <w:pPr>
        <w:pStyle w:val="46"/>
        <w:spacing w:after="0" w:line="360" w:lineRule="auto"/>
        <w:ind w:left="0" w:firstLine="480" w:firstLineChars="200"/>
        <w:rPr>
          <w:rFonts w:cs="Times New Roman"/>
          <w:color w:val="0000FF"/>
          <w:sz w:val="24"/>
          <w:szCs w:val="22"/>
          <w:lang w:val="en-US" w:eastAsia="zh-CN" w:bidi="ar-SA"/>
        </w:rPr>
      </w:pPr>
      <w:r>
        <w:rPr>
          <w:rFonts w:hint="eastAsia" w:cs="Times New Roman"/>
          <w:color w:val="0000FF"/>
          <w:sz w:val="24"/>
          <w:szCs w:val="22"/>
          <w:lang w:val="en-US" w:eastAsia="zh-CN" w:bidi="ar-SA"/>
        </w:rPr>
        <w:t>在无工程经验及特殊地层地区，必须通过现场试验确定型钢水泥土搅拌墙的适用性。淤泥、泥炭土、有机质土、地下水具有腐蚀性的地层中含有影响搅拌桩固化剂硬化的成分，会对搅拌桩 的质量造成不利的影响，因此，须通过现场试验确定型钢水泥土搅拌墙的可行性和适用性；对湿陷性土、冻土、膨胀土、盐渍土等特殊土，本规程尚不能考虑其固有的特殊性质的影响，其特殊性质的影响需根据地区经验加以考虑，并通过现场试验确定型钢水泥土搅拌墙的适用性后，方可按本规程的相关内容进行设计与施工。</w:t>
      </w:r>
    </w:p>
    <w:p>
      <w:pPr>
        <w:widowControl w:val="0"/>
        <w:autoSpaceDE w:val="0"/>
        <w:autoSpaceDN w:val="0"/>
        <w:adjustRightInd w:val="0"/>
        <w:spacing w:line="480" w:lineRule="exact"/>
        <w:ind w:firstLine="481" w:firstLineChars="200"/>
        <w:rPr>
          <w:rFonts w:ascii="宋体" w:hAnsi="宋体"/>
          <w:color w:val="0000FF"/>
        </w:rPr>
      </w:pPr>
      <w:r>
        <w:rPr>
          <w:rFonts w:hint="eastAsia" w:ascii="Times New Roman" w:hAnsi="Times New Roman"/>
          <w:b/>
          <w:color w:val="0000FF"/>
        </w:rPr>
        <w:t>8.</w:t>
      </w:r>
      <w:r>
        <w:rPr>
          <w:rFonts w:hint="eastAsia" w:ascii="Times New Roman" w:hAnsi="Times New Roman"/>
          <w:b/>
          <w:color w:val="0000FF"/>
          <w:lang w:eastAsia="zh-CN"/>
        </w:rPr>
        <w:t>3</w:t>
      </w:r>
      <w:r>
        <w:rPr>
          <w:rFonts w:hint="eastAsia" w:ascii="Times New Roman" w:hAnsi="Times New Roman"/>
          <w:b/>
          <w:color w:val="0000FF"/>
        </w:rPr>
        <w:t xml:space="preserve">.2 </w:t>
      </w:r>
      <w:r>
        <w:rPr>
          <w:rFonts w:hint="eastAsia" w:ascii="宋体" w:hAnsi="宋体"/>
          <w:color w:val="0000FF"/>
        </w:rPr>
        <w:t>型钢水泥土搅拌墙仅为基坑工程中的一个分项，其设计、施工和质量检查与验收应纳入整个基坑工程的范畴中，必须与基坑工程的其他分项（包括地基加固、基坑降水、支护体系和土方开挖等）相结合，并结合工程地方经验，综合考虑工程地质条件、水文地质条件、主体结构与基坑情况、周边环境条件与要求、工程造价等因素，切实做到精心设计、精心施工，确保基坑工程和主体结构的施工安全，满足周边环境保护的要求。</w:t>
      </w:r>
    </w:p>
    <w:p>
      <w:pPr>
        <w:bidi w:val="0"/>
        <w:jc w:val="center"/>
        <w:rPr>
          <w:rFonts w:hint="eastAsia"/>
          <w:b/>
          <w:bCs/>
          <w:sz w:val="28"/>
          <w:szCs w:val="24"/>
          <w:lang w:val="en-US" w:eastAsia="zh-CN"/>
        </w:rPr>
      </w:pPr>
      <w:r>
        <w:rPr>
          <w:rFonts w:hint="eastAsia" w:ascii="Calibri" w:eastAsia="宋体"/>
          <w:b/>
          <w:bCs/>
          <w:sz w:val="28"/>
          <w:szCs w:val="24"/>
          <w:lang w:val="en-US" w:eastAsia="zh-CN"/>
        </w:rPr>
        <w:t>Ⅱ 设 计</w:t>
      </w:r>
    </w:p>
    <w:p>
      <w:pPr>
        <w:pStyle w:val="46"/>
        <w:spacing w:after="0" w:line="360" w:lineRule="auto"/>
        <w:ind w:left="0" w:firstLine="481" w:firstLineChars="200"/>
        <w:rPr>
          <w:rFonts w:ascii="Calibri" w:hAnsi="Calibri"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 xml:space="preserve">8.3.4 </w:t>
      </w:r>
      <w:r>
        <w:rPr>
          <w:rFonts w:ascii="Calibri" w:hAnsi="Calibri" w:cs="Times New Roman"/>
          <w:color w:val="0000FF"/>
          <w:sz w:val="24"/>
          <w:szCs w:val="22"/>
          <w:lang w:val="en-US" w:eastAsia="zh-CN" w:bidi="ar-SA"/>
        </w:rPr>
        <w:t>目前，工程中多釆用普通硅酸盐水泥进行三轴水泥土搅拌桩的施工，相关经验积累都是建立在此基础上的。</w:t>
      </w:r>
    </w:p>
    <w:p>
      <w:pPr>
        <w:widowControl w:val="0"/>
        <w:autoSpaceDE w:val="0"/>
        <w:autoSpaceDN w:val="0"/>
        <w:adjustRightInd w:val="0"/>
        <w:spacing w:line="360" w:lineRule="auto"/>
        <w:ind w:firstLine="480" w:firstLineChars="200"/>
        <w:rPr>
          <w:rFonts w:ascii="宋体" w:hAnsi="宋体"/>
          <w:color w:val="0000FF"/>
        </w:rPr>
      </w:pPr>
      <w:r>
        <w:rPr>
          <w:color w:val="0000FF"/>
        </w:rPr>
        <w:t>内插型钢多采用标准型号的型钢，也有工程中采用非标准的焊接型钢，但需要通过设计计算来确定非标准型钢的具体参数,并满足各种工况下型钢受力、变形计算和相关规范的要求。</w:t>
      </w:r>
    </w:p>
    <w:p>
      <w:pPr>
        <w:pStyle w:val="46"/>
        <w:spacing w:after="0" w:line="360" w:lineRule="auto"/>
        <w:ind w:left="0" w:firstLine="480" w:firstLineChars="200"/>
        <w:rPr>
          <w:rFonts w:cs="Times New Roman"/>
          <w:color w:val="0000FF"/>
          <w:sz w:val="24"/>
          <w:szCs w:val="22"/>
          <w:lang w:val="en-US" w:eastAsia="zh-CN" w:bidi="ar-SA"/>
        </w:rPr>
      </w:pPr>
      <w:r>
        <w:rPr>
          <w:rFonts w:hint="eastAsia" w:cs="Times New Roman"/>
          <w:color w:val="0000FF"/>
          <w:sz w:val="24"/>
          <w:szCs w:val="22"/>
          <w:lang w:val="en-US" w:eastAsia="zh-CN" w:bidi="ar-SA"/>
        </w:rPr>
        <w:t>国内引进的机械设备多为直径650mm和850mm两种，经过改进，还有施工直径达到1000mm的国产化机械设备，目前国内工程中大量应用的多为650mm、850mm和1000mm 三种。</w:t>
      </w:r>
    </w:p>
    <w:p>
      <w:pPr>
        <w:pStyle w:val="46"/>
        <w:spacing w:after="0" w:line="360" w:lineRule="auto"/>
        <w:ind w:left="0" w:firstLine="0"/>
        <w:rPr>
          <w:rFonts w:cs="Times New Roman"/>
          <w:color w:val="0000FF"/>
          <w:sz w:val="24"/>
          <w:szCs w:val="22"/>
          <w:lang w:val="en-US" w:eastAsia="zh-CN" w:bidi="ar-SA"/>
        </w:rPr>
      </w:pPr>
      <w:r>
        <w:rPr>
          <w:rFonts w:hint="eastAsia" w:cs="Times New Roman"/>
          <w:color w:val="0000FF"/>
          <w:sz w:val="24"/>
          <w:szCs w:val="22"/>
          <w:lang w:val="en-US" w:eastAsia="zh-CN" w:bidi="ar-SA"/>
        </w:rPr>
        <w:t xml:space="preserve">    型钢水泥土搅拌墙中三轴水泥土搅拌桩和内插型钢都应根据设计要求和工艺特点确定相应的材料及其合理用量。</w:t>
      </w:r>
    </w:p>
    <w:p>
      <w:pPr>
        <w:pStyle w:val="46"/>
        <w:spacing w:after="0" w:line="360" w:lineRule="auto"/>
        <w:ind w:left="0" w:firstLine="480" w:firstLineChars="200"/>
        <w:outlineLvl w:val="9"/>
        <w:rPr>
          <w:rFonts w:hint="eastAsia" w:cs="Times New Roman"/>
          <w:color w:val="0000FF"/>
          <w:sz w:val="24"/>
          <w:szCs w:val="22"/>
          <w:lang w:val="en-US" w:eastAsia="zh-CN" w:bidi="ar-SA"/>
        </w:rPr>
      </w:pPr>
      <w:r>
        <w:rPr>
          <w:rFonts w:hint="eastAsia" w:cs="Times New Roman"/>
          <w:color w:val="0000FF"/>
          <w:sz w:val="24"/>
          <w:szCs w:val="22"/>
          <w:lang w:val="en-US" w:eastAsia="zh-CN" w:bidi="ar-SA"/>
        </w:rPr>
        <w:t>1水泥土搅拌桩的桩身强度</w:t>
      </w:r>
    </w:p>
    <w:p>
      <w:pPr>
        <w:pStyle w:val="46"/>
        <w:spacing w:after="0" w:line="360" w:lineRule="auto"/>
        <w:ind w:left="0" w:firstLine="440"/>
        <w:rPr>
          <w:rFonts w:cs="Times New Roman"/>
          <w:color w:val="0000FF"/>
          <w:sz w:val="24"/>
          <w:szCs w:val="22"/>
          <w:lang w:val="en-US" w:eastAsia="zh-CN" w:bidi="ar-SA"/>
        </w:rPr>
      </w:pPr>
      <w:r>
        <w:rPr>
          <w:rFonts w:hint="eastAsia" w:cs="Times New Roman"/>
          <w:color w:val="0000FF"/>
          <w:sz w:val="24"/>
          <w:szCs w:val="22"/>
          <w:lang w:val="en-US" w:eastAsia="zh-CN" w:bidi="ar-SA"/>
        </w:rPr>
        <w:t>型钢水泥土搅拌墙应进行素水泥土段的错动受剪承载力和薄弱面局部受剪承载力计算，通过对本规程编制过程中收集到的46项工程实例进行计算，得到了水泥土的受剪承载力要求；根据水泥土的抗压强度和抗剪强度的换算关系，可以得出水泥土的最小抗压强度指标；经过三维有限元分析复核，得出在开挖深度10m左右的基坑工程中，水泥土搅拌桩的桩身强度不宜低于0.5MPa。</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从设计、施工和检测角度可以得出，软弱土层中开挖深度10m左右的基坑工程，水泥土的无侧限抗压强度不宜低于0.5MPa。在实际工程设计中，特别是在基坑开挖深度较深、土层较为软弱的情况下，设计人员应根据土层条件、开挖深度和型 钢间距进行素水泥土段的受剪承载力计算，依据设计计算的结果提出具体的水泥土搅拌桩的强度要求。</w:t>
      </w:r>
    </w:p>
    <w:p>
      <w:pPr>
        <w:pStyle w:val="46"/>
        <w:spacing w:after="0" w:line="360" w:lineRule="auto"/>
        <w:ind w:left="0" w:firstLine="480" w:firstLineChars="200"/>
        <w:outlineLvl w:val="9"/>
        <w:rPr>
          <w:rFonts w:hint="eastAsia" w:cs="Times New Roman"/>
          <w:color w:val="0000FF"/>
          <w:sz w:val="24"/>
          <w:szCs w:val="22"/>
          <w:lang w:val="en-US" w:eastAsia="zh-CN" w:bidi="ar-SA"/>
        </w:rPr>
      </w:pPr>
      <w:r>
        <w:rPr>
          <w:rFonts w:hint="eastAsia" w:cs="Times New Roman"/>
          <w:color w:val="0000FF"/>
          <w:sz w:val="24"/>
          <w:szCs w:val="22"/>
          <w:lang w:val="en-US" w:eastAsia="zh-CN" w:bidi="ar-SA"/>
        </w:rPr>
        <w:t>2水泥土搅拌桩釆用的水泥</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我国的工程实践中三轴水泥土搅拌桩施工多采用P • 042. 5级普 通硅酸盐水泥。当土层软弱、开挖较深或对三轴水泥土搅拌桩的 桩身强度有较高要求时，也可以釆用更高强度等级的水泥。</w:t>
      </w:r>
    </w:p>
    <w:p>
      <w:pPr>
        <w:pStyle w:val="46"/>
        <w:spacing w:after="0" w:line="360" w:lineRule="auto"/>
        <w:ind w:left="0" w:firstLine="480" w:firstLineChars="200"/>
        <w:outlineLvl w:val="9"/>
        <w:rPr>
          <w:rFonts w:hint="eastAsia" w:cs="Times New Roman"/>
          <w:color w:val="0000FF"/>
          <w:sz w:val="24"/>
          <w:szCs w:val="22"/>
          <w:lang w:val="en-US" w:eastAsia="zh-CN" w:bidi="ar-SA"/>
        </w:rPr>
      </w:pPr>
      <w:r>
        <w:rPr>
          <w:rFonts w:hint="eastAsia" w:cs="Times New Roman"/>
          <w:color w:val="0000FF"/>
          <w:sz w:val="24"/>
          <w:szCs w:val="22"/>
          <w:lang w:val="en-US" w:eastAsia="zh-CN" w:bidi="ar-SA"/>
        </w:rPr>
        <w:t>3水泥土搅拌桩中的水泥用量、水灰比控制和膨润土</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三轴水泥土搅拌桩的水泥用量和水灰比直接关系到三轴水泥土搅拌桩的桩身强度和施工质量。对于不同的土层条件，三轴水泥土搅拌桩的水泥用量和水灰比控制都不尽相同。水泥用量宜根据不同的土质条件、施工效率及型钢的插入综合确定，当土质条件存在差异时，水泥用量也应有所差别。当水泥用量相同时，淤泥质黏土的加固强度明显低于砂性土。目前，国内以黏性土为主的地区，三轴水泥土搅拌桩多采用20%的水泥掺入比，被搅拌土体的质量按照1800kg/m3计算，单位加固土体的水泥用 量即为360kg。由于施工机械的原因，当在较硬的土层中施工时，钻进速度较慢，需要适当提高水泥浆液用量保证搅拌桩机的正常运作。当水泥浆液注入量过多时，由于水泥土搅拌桩中的含水量增多，反而会降低强度和防水性能。</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水泥浆应根据地质条件、施工条件不同确定合适的配合比。水泥浆液的水灰比不仅影响水泥土搅拌桩的强度和防水性能，也影响到注浆泵的压送能力以及黏性土中水泥土搅拌桩的均一性和 工作效率。在施工条件允许范围内，水灰比越小，搅拌桩的强度及防水性能越好。膨润土的加入可以改善水泥浆液的黏稠度，有助于提高水泥土搅拌桩的搅拌均匀性，增强成桩后的桩体抗渗透性能。</w:t>
      </w:r>
    </w:p>
    <w:p>
      <w:pPr>
        <w:pStyle w:val="46"/>
        <w:spacing w:after="0" w:line="360" w:lineRule="auto"/>
        <w:ind w:left="0" w:firstLine="480" w:firstLineChars="200"/>
        <w:outlineLvl w:val="9"/>
        <w:rPr>
          <w:rFonts w:hint="eastAsia" w:cs="Times New Roman"/>
          <w:color w:val="0000FF"/>
          <w:sz w:val="24"/>
          <w:szCs w:val="22"/>
          <w:lang w:val="en-US" w:eastAsia="zh-CN" w:bidi="ar-SA"/>
        </w:rPr>
      </w:pPr>
      <w:r>
        <w:rPr>
          <w:rFonts w:hint="eastAsia" w:cs="Times New Roman"/>
          <w:color w:val="0000FF"/>
          <w:sz w:val="24"/>
          <w:szCs w:val="22"/>
          <w:lang w:val="en-US" w:eastAsia="zh-CN" w:bidi="ar-SA"/>
        </w:rPr>
        <w:t>4水泥用量的计算</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三轴水泥土搅拌桩单幅桩由3个圆形截面搭接组成。对于首开幅，单幅桩的被搅拌土体体积应为3个圆形截面面积与深度的乘积；釆用套接一孔法连续施工时，后续单幅桩的被搅拌土体体积应为2个圆形截面面积与深度的乘积，圆形相互搭接的部分应重复计算。</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w:t>
      </w:r>
      <w:r>
        <w:rPr>
          <w:rFonts w:hint="eastAsia" w:ascii="Times New Roman" w:hAnsi="Times New Roman" w:cs="Times New Roman"/>
          <w:b/>
          <w:color w:val="0000FF"/>
          <w:sz w:val="24"/>
          <w:szCs w:val="22"/>
          <w:lang w:val="zh-CN" w:eastAsia="zh-CN" w:bidi="ar-SA"/>
        </w:rPr>
        <w:t>6</w:t>
      </w:r>
      <w:r>
        <w:rPr>
          <w:rFonts w:hint="eastAsia" w:cs="Times New Roman"/>
          <w:color w:val="0000FF"/>
          <w:sz w:val="24"/>
          <w:szCs w:val="22"/>
          <w:lang w:val="en-US" w:eastAsia="zh-CN" w:bidi="ar-SA"/>
        </w:rPr>
        <w:t>三轴水泥土搅拌桩除作为型钢水泥土搅拌墙的一部分外, 也可以单独用作与其他支护结构结合的截水帷幕、水利工程中永 久性截水帷幕以及地基加固等，其设计要求应分别遵照相应规范 的规定，一般情况下渗透系数宜达到1 xlO</w:t>
      </w:r>
      <w:r>
        <w:rPr>
          <w:rFonts w:hint="eastAsia" w:cs="Times New Roman"/>
          <w:color w:val="0000FF"/>
          <w:sz w:val="24"/>
          <w:szCs w:val="22"/>
          <w:vertAlign w:val="superscript"/>
          <w:lang w:val="en-US" w:eastAsia="zh-CN" w:bidi="ar-SA"/>
        </w:rPr>
        <w:t>7</w:t>
      </w:r>
      <w:r>
        <w:rPr>
          <w:rFonts w:hint="eastAsia" w:cs="Times New Roman"/>
          <w:color w:val="0000FF"/>
          <w:sz w:val="24"/>
          <w:szCs w:val="22"/>
          <w:lang w:val="en-US" w:eastAsia="zh-CN" w:bidi="ar-SA"/>
        </w:rPr>
        <w:t>cm/s。一般情况下基坑工程中不进行截水帷幕渗透系数的专项检测，根据工程实践 经验，当水泥土搅拌桩桩体搅拌均匀且满足设计强度要求时，其 抗渗能力也可以达到要求。对于重大工程和永久性截水帷幕，应 根据设计要求进行渗透性试验，确定截水效果。</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8.3.7</w:t>
      </w:r>
      <w:r>
        <w:rPr>
          <w:rFonts w:hint="eastAsia" w:cs="Times New Roman"/>
          <w:color w:val="0000FF"/>
          <w:sz w:val="24"/>
          <w:szCs w:val="22"/>
          <w:lang w:val="en-US" w:eastAsia="zh-CN" w:bidi="ar-SA"/>
        </w:rPr>
        <w:t>型钢水泥土搅拌墙中的内插型钢应均匀布置，工程实践 中内插型钢的间距不宜超过2们即</w:t>
      </w:r>
      <w:r>
        <w:rPr>
          <w:rFonts w:hint="eastAsia" w:cs="Times New Roman"/>
          <w:color w:val="0000FF"/>
          <w:sz w:val="24"/>
          <w:szCs w:val="22"/>
          <w:lang w:val="zh-CN" w:eastAsia="zh-CN" w:bidi="ar-SA"/>
        </w:rPr>
        <w:t>“跳</w:t>
      </w:r>
      <w:r>
        <w:rPr>
          <w:rFonts w:hint="eastAsia" w:cs="Times New Roman"/>
          <w:color w:val="0000FF"/>
          <w:sz w:val="24"/>
          <w:szCs w:val="22"/>
          <w:lang w:val="en-US" w:eastAsia="zh-CN" w:bidi="ar-SA"/>
        </w:rPr>
        <w:t>一”布置。当出现特殊 情况，需要增大内插型钢间距时，应验算水泥土搅拌桩的局部受剪承载力。</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8.3.8</w:t>
      </w:r>
      <w:r>
        <w:rPr>
          <w:rFonts w:hint="eastAsia" w:cs="Times New Roman"/>
          <w:color w:val="0000FF"/>
          <w:sz w:val="24"/>
          <w:szCs w:val="22"/>
          <w:lang w:val="en-US" w:eastAsia="zh-CN" w:bidi="ar-SA"/>
        </w:rPr>
        <w:t>型钢水泥土搅拌墙作为基坑支护结构，其设计计算方法 应遵照现行行业标准《建筑基坑支护技术规程》JGJ 120中的相关规定。有经验时，土体变形估算也可以釆用有限元数值模拟的方法进行。</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8.3.9</w:t>
      </w:r>
      <w:r>
        <w:rPr>
          <w:rFonts w:hint="eastAsia" w:cs="Times New Roman"/>
          <w:color w:val="0000FF"/>
          <w:sz w:val="24"/>
          <w:szCs w:val="22"/>
          <w:lang w:val="en-US" w:eastAsia="zh-CN" w:bidi="ar-SA"/>
        </w:rPr>
        <w:t>型钢水泥土搅拌墙是由三轴水泥土搅拌桩和内插型钢组成的，起到既挡土又截水的双重功效，在型钢水泥土搅拌墙的设计中型钢和水泥土的相互作用是个值得探讨的问题。我国型钢水泥土搅拌墙之所以能够在大量工程中广泛采用，其中很重要的原因就是内插型钢在基坑工程结束后可以回收重复利用，大大降低了工程造价。但需要回收的型钢表面要涂上减摩材料以降低型钢与水泥土间的粘结力，这直接影响了型钢与水泥土之间的相互作用。</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针对型钢与水泥土的组合刚度问题，编制组采用不同截面和含钢量的水泥土结合型钢的组合梁进行了室内模型试验，试验中釆用不同的加载方式对涂减摩材料和不涂减摩材料的组合梁分别 进行了试验，通过量测挠度的方式，得出组合梁的刚度，并与单 独型钢的刚度进行对比分析。主要试验研究成果如下：</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1在正常工作条件下，当墙体变位较小时，水泥土对墙体 的刚度提高作用是显著的，水泥土对型钢水泥土搅拌墙的刚度有 提高作用。按照不考虑水泥土刚度提高作用求得的墙体变位值比适当考虑水泥土刚度提高作用求得的墙体变位值大。</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2墙体趋于弯曲破坏时，在弯曲破坏发生处，型钢与水泥土的粘结会完全破坏，此时，型钢单独受力，当在型钢上涂刷减摩材料时，型钢与水泥土的粘结破坏现象更为明显。故验算承载能力极限状态下型钢水泥土搅拌墙的受弯承载力时，不应考虑水泥土的贡献。</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3不同含钢量的型钢水泥土组合梁其破坏模式有所不同， 含钢量较低的大截面组合梁由于有水泥土的约束，其破坏形式为加载平面内的弯曲破坏；相反，含钢量较高的小截面梁中水泥土的约束则相对较弱，其破坏模式更多为加载平面外的失稳破坏， 因此加载过程中水泥土的约束对型钢水泥土搅拌墙刚度的发挥及 稳定性有着重要作用。</w:t>
      </w:r>
    </w:p>
    <w:p>
      <w:pPr>
        <w:pStyle w:val="46"/>
        <w:spacing w:after="0" w:line="360" w:lineRule="auto"/>
        <w:ind w:left="0"/>
        <w:rPr>
          <w:rFonts w:cs="Times New Roman"/>
          <w:color w:val="0000FF"/>
          <w:sz w:val="24"/>
          <w:szCs w:val="22"/>
          <w:lang w:val="en-US" w:eastAsia="zh-CN" w:bidi="ar-SA"/>
        </w:rPr>
      </w:pPr>
      <w:r>
        <w:rPr>
          <w:rFonts w:hint="eastAsia" w:cs="Times New Roman"/>
          <w:color w:val="0000FF"/>
          <w:sz w:val="24"/>
          <w:szCs w:val="22"/>
          <w:lang w:val="en-US" w:eastAsia="zh-CN" w:bidi="ar-SA"/>
        </w:rPr>
        <w:t>根据本次试验工作和国内外研究成果，从基坑工程安全角度出发，釆用承载能力极限状态进行型钢水泥土搅拌墙的受力计算中不考虑水泥土的作用。</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8.3.10</w:t>
      </w:r>
      <w:r>
        <w:rPr>
          <w:rFonts w:hint="eastAsia" w:cs="Times New Roman"/>
          <w:color w:val="0000FF"/>
          <w:sz w:val="24"/>
          <w:szCs w:val="22"/>
          <w:lang w:val="en-US" w:eastAsia="zh-CN" w:bidi="ar-SA"/>
        </w:rPr>
        <w:t>型钢水泥土搅拌墙是复合挡土截水结构，水泥土搅拌桩 作为截水体系应深入到基底以下一定深度。当基坑工程遇到承压 水问题时，水泥土搅拌桩除应满足基坑开挖到底时基坑抗渗流稳 定性外，还应结合基坑工程总体设计满足承压水处理的要求，截 断或部分截断承压含水层。当截断承压水需要加深三轴水泥土搅 拌桩时，深度宜控制在30m以内；超过30m时，宜采用接钻杆 的方式进行施工。</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8.3.11</w:t>
      </w:r>
      <w:r>
        <w:rPr>
          <w:rFonts w:hint="eastAsia" w:cs="Times New Roman"/>
          <w:color w:val="0000FF"/>
          <w:sz w:val="24"/>
          <w:szCs w:val="22"/>
          <w:lang w:val="en-US" w:eastAsia="zh-CN" w:bidi="ar-SA"/>
        </w:rPr>
        <w:t>型钢水泥土搅拌墙作为支护结构的一种，其内力与变形 设计应遵照现行行业标准《建筑基坑支护技术规程》JGJ 120中 的有关规定，</w:t>
      </w:r>
      <w:r>
        <w:rPr>
          <w:rFonts w:hint="eastAsia" w:cs="Times New Roman"/>
          <w:i/>
          <w:iCs/>
          <w:color w:val="0000FF"/>
          <w:sz w:val="24"/>
          <w:szCs w:val="22"/>
          <w:lang w:val="en-US" w:eastAsia="zh-CN" w:bidi="ar-SA"/>
        </w:rPr>
        <w:t>M</w:t>
      </w:r>
      <w:r>
        <w:rPr>
          <w:rFonts w:hint="eastAsia" w:cs="Times New Roman"/>
          <w:color w:val="0000FF"/>
          <w:sz w:val="24"/>
          <w:szCs w:val="22"/>
          <w:vertAlign w:val="subscript"/>
          <w:lang w:val="en-US" w:eastAsia="zh-CN" w:bidi="ar-SA"/>
        </w:rPr>
        <w:t>K</w:t>
      </w:r>
      <w:r>
        <w:rPr>
          <w:rFonts w:hint="eastAsia" w:cs="Times New Roman"/>
          <w:color w:val="0000FF"/>
          <w:sz w:val="24"/>
          <w:szCs w:val="22"/>
          <w:lang w:val="en-US" w:eastAsia="zh-CN" w:bidi="ar-SA"/>
        </w:rPr>
        <w:t>、</w:t>
      </w:r>
      <w:r>
        <w:rPr>
          <w:rFonts w:hint="eastAsia" w:cs="Times New Roman"/>
          <w:i/>
          <w:iCs/>
          <w:color w:val="0000FF"/>
          <w:sz w:val="24"/>
          <w:szCs w:val="22"/>
          <w:lang w:val="en-US" w:eastAsia="zh-CN" w:bidi="ar-SA"/>
        </w:rPr>
        <w:t>V</w:t>
      </w:r>
      <w:r>
        <w:rPr>
          <w:rFonts w:hint="eastAsia" w:cs="Times New Roman"/>
          <w:color w:val="0000FF"/>
          <w:sz w:val="24"/>
          <w:szCs w:val="22"/>
          <w:vertAlign w:val="subscript"/>
          <w:lang w:val="en-US" w:eastAsia="zh-CN" w:bidi="ar-SA"/>
        </w:rPr>
        <w:t>k</w:t>
      </w:r>
      <w:r>
        <w:rPr>
          <w:rFonts w:hint="eastAsia" w:cs="Times New Roman"/>
          <w:color w:val="0000FF"/>
          <w:sz w:val="24"/>
          <w:szCs w:val="22"/>
          <w:lang w:val="en-US" w:eastAsia="zh-CN" w:bidi="ar-SA"/>
        </w:rPr>
        <w:t>分别是釆用弹性支点法进行计算得到的作用于型钢水泥土搅拌墙的弯矩和剪力。进行承载力计算时，可根据包络图取最大值，作用内力应分别乘以支护结构重要性系数 (</w:t>
      </w:r>
      <w:r>
        <w:rPr>
          <w:rFonts w:hint="eastAsia"/>
          <w:color w:val="0000FF"/>
          <w:sz w:val="24"/>
          <w:szCs w:val="22"/>
          <w:lang w:val="en-US" w:eastAsia="en-US" w:bidi="ar-SA"/>
        </w:rPr>
        <w:t>γ</w:t>
      </w:r>
      <w:r>
        <w:rPr>
          <w:rFonts w:hint="eastAsia"/>
          <w:color w:val="0000FF"/>
          <w:sz w:val="24"/>
          <w:szCs w:val="22"/>
          <w:vertAlign w:val="subscript"/>
          <w:lang w:val="en-US" w:eastAsia="zh-CN" w:bidi="ar-SA"/>
        </w:rPr>
        <w:t>0</w:t>
      </w:r>
      <w:r>
        <w:rPr>
          <w:rFonts w:hint="eastAsia" w:cs="Times New Roman"/>
          <w:color w:val="0000FF"/>
          <w:sz w:val="24"/>
          <w:szCs w:val="22"/>
          <w:lang w:val="en-US" w:eastAsia="zh-CN" w:bidi="ar-SA"/>
        </w:rPr>
        <w:t>)和设计分项系数(</w:t>
      </w:r>
      <w:r>
        <w:rPr>
          <w:rFonts w:hint="eastAsia" w:cs="Times New Roman"/>
          <w:color w:val="0000FF"/>
          <w:sz w:val="24"/>
          <w:szCs w:val="22"/>
          <w:u w:val="single"/>
          <w:lang w:val="en-US" w:eastAsia="zh-CN" w:bidi="ar-SA"/>
        </w:rPr>
        <w:t>1.25</w:t>
      </w:r>
      <w:r>
        <w:rPr>
          <w:rFonts w:hint="eastAsia" w:cs="Times New Roman"/>
          <w:color w:val="0000FF"/>
          <w:sz w:val="24"/>
          <w:szCs w:val="22"/>
          <w:lang w:val="en-US" w:eastAsia="zh-CN" w:bidi="ar-SA"/>
        </w:rPr>
        <w:t>)。</w:t>
      </w:r>
    </w:p>
    <w:p>
      <w:pPr>
        <w:pStyle w:val="46"/>
        <w:spacing w:after="0" w:line="360" w:lineRule="auto"/>
        <w:ind w:left="0"/>
        <w:rPr>
          <w:rFonts w:cs="Times New Roman"/>
          <w:color w:val="0000FF"/>
          <w:sz w:val="24"/>
          <w:szCs w:val="22"/>
          <w:lang w:val="en-US" w:eastAsia="zh-CN" w:bidi="ar-SA"/>
        </w:rPr>
      </w:pPr>
      <w:r>
        <w:rPr>
          <w:rFonts w:hint="eastAsia" w:ascii="Times New Roman" w:hAnsi="Times New Roman" w:cs="Times New Roman"/>
          <w:b/>
          <w:color w:val="0000FF"/>
          <w:sz w:val="24"/>
          <w:szCs w:val="22"/>
          <w:lang w:val="en-US" w:eastAsia="zh-CN" w:bidi="ar-SA"/>
        </w:rPr>
        <w:t>8.3.12</w:t>
      </w:r>
      <w:r>
        <w:rPr>
          <w:rFonts w:hint="eastAsia" w:cs="Times New Roman"/>
          <w:color w:val="0000FF"/>
          <w:sz w:val="24"/>
          <w:szCs w:val="22"/>
          <w:lang w:val="en-US" w:eastAsia="zh-CN" w:bidi="ar-SA"/>
        </w:rPr>
        <w:t>基坑外侧水土压力作用下，型钢水泥土搅拌墙的素水泥土段需要承担局部剪应力，应进行型钢边缘之间素水泥土段的错动受剪承载力和受剪截面面积最小的最薄弱面受剪承载力验算。 根据型钢间水泥土抗剪破坏模式，最大剪应力出现在坑外水土压力最大的区域，一般位于开挖面位置。</w:t>
      </w:r>
    </w:p>
    <w:p>
      <w:pPr>
        <w:pStyle w:val="46"/>
        <w:spacing w:after="0" w:line="360" w:lineRule="auto"/>
        <w:ind w:left="0"/>
        <w:rPr>
          <w:color w:val="0000FF"/>
          <w:sz w:val="24"/>
          <w:szCs w:val="24"/>
        </w:rPr>
      </w:pPr>
      <w:r>
        <w:rPr>
          <w:rFonts w:hint="eastAsia" w:cs="Times New Roman"/>
          <w:color w:val="0000FF"/>
          <w:sz w:val="24"/>
          <w:szCs w:val="22"/>
          <w:lang w:val="en-US" w:eastAsia="zh-CN" w:bidi="ar-SA"/>
        </w:rPr>
        <w:t>在大多数工程中的局部受剪承载力验算时，型钢与水泥土之间</w:t>
      </w:r>
      <w:r>
        <w:rPr>
          <w:color w:val="0000FF"/>
          <w:sz w:val="24"/>
          <w:szCs w:val="24"/>
        </w:rPr>
        <w:t xml:space="preserve">的错动受剪承载力作为控制指标，水泥土最薄弱面受剪承载力 验算作为校核。在进行型钢与水泥土间错动受剪承载力计算时， </w:t>
      </w:r>
      <w:r>
        <w:rPr>
          <w:i/>
          <w:iCs/>
          <w:color w:val="0000FF"/>
          <w:sz w:val="24"/>
          <w:szCs w:val="24"/>
          <w:lang w:val="en-US" w:eastAsia="zh-CN" w:bidi="en-US"/>
        </w:rPr>
        <w:t>d</w:t>
      </w:r>
      <w:r>
        <w:rPr>
          <w:color w:val="0000FF"/>
          <w:sz w:val="24"/>
          <w:szCs w:val="24"/>
          <w:vertAlign w:val="subscript"/>
          <w:lang w:val="en-US" w:eastAsia="zh-CN" w:bidi="en-US"/>
        </w:rPr>
        <w:t>el</w:t>
      </w:r>
      <w:r>
        <w:rPr>
          <w:color w:val="0000FF"/>
          <w:sz w:val="24"/>
          <w:szCs w:val="24"/>
        </w:rPr>
        <w:t>应取迎坑面型钢边缘至迎土面水泥土搅拌桩边缘的距离，基坑开挖过程中为避免迎坑面水泥土掉落伤人，多将型钢外侧的水泥土剥落。</w:t>
      </w:r>
    </w:p>
    <w:p>
      <w:pPr>
        <w:pStyle w:val="46"/>
        <w:spacing w:after="0" w:line="360" w:lineRule="auto"/>
        <w:ind w:left="0"/>
        <w:rPr>
          <w:color w:val="0000FF"/>
          <w:sz w:val="24"/>
          <w:szCs w:val="24"/>
        </w:rPr>
      </w:pPr>
      <w:r>
        <w:rPr>
          <w:color w:val="0000FF"/>
          <w:sz w:val="24"/>
          <w:szCs w:val="24"/>
        </w:rPr>
        <w:t>虽然目前工程中搅拌桩的取芯强度普遍不高，但从实际应用情况来看，工程均可以安全实施，并未因为局部抗剪不足而发生破坏。综合以上国内外的研究成果以及型钢水泥土搅拌墙技术的实际应用情况，水泥土抗剪强度标准值</w:t>
      </w:r>
      <w:r>
        <w:rPr>
          <w:rFonts w:ascii="Times New Roman" w:hAnsi="Times New Roman" w:eastAsia="Times New Roman" w:cs="Times New Roman"/>
          <w:i/>
          <w:iCs/>
          <w:color w:val="0000FF"/>
          <w:sz w:val="24"/>
          <w:szCs w:val="24"/>
          <w:lang w:val="en-US" w:eastAsia="en-US" w:bidi="en-US"/>
        </w:rPr>
        <w:t>τ</w:t>
      </w:r>
      <w:r>
        <w:rPr>
          <w:rFonts w:hint="eastAsia" w:ascii="Times New Roman" w:hAnsi="Times New Roman" w:cs="Times New Roman"/>
          <w:i/>
          <w:iCs/>
          <w:color w:val="0000FF"/>
          <w:sz w:val="24"/>
          <w:szCs w:val="24"/>
          <w:vertAlign w:val="subscript"/>
          <w:lang w:val="en-US" w:eastAsia="zh-CN" w:bidi="en-US"/>
        </w:rPr>
        <w:t>c</w:t>
      </w:r>
      <w:r>
        <w:rPr>
          <w:color w:val="0000FF"/>
          <w:sz w:val="24"/>
          <w:szCs w:val="24"/>
        </w:rPr>
        <w:t>取</w:t>
      </w:r>
      <w:r>
        <w:rPr>
          <w:rFonts w:ascii="Times New Roman" w:hAnsi="Times New Roman" w:eastAsia="Times New Roman" w:cs="Times New Roman"/>
          <w:i/>
          <w:iCs/>
          <w:color w:val="0000FF"/>
          <w:sz w:val="24"/>
          <w:szCs w:val="24"/>
          <w:lang w:val="en-US" w:eastAsia="zh-CN" w:bidi="en-US"/>
        </w:rPr>
        <w:t>q</w:t>
      </w:r>
      <w:r>
        <w:rPr>
          <w:rFonts w:hint="eastAsia" w:ascii="Times New Roman" w:hAnsi="Times New Roman" w:cs="Times New Roman"/>
          <w:i/>
          <w:iCs/>
          <w:color w:val="0000FF"/>
          <w:sz w:val="24"/>
          <w:szCs w:val="24"/>
          <w:vertAlign w:val="subscript"/>
          <w:lang w:val="en-US" w:eastAsia="zh-CN" w:bidi="en-US"/>
        </w:rPr>
        <w:t>u</w:t>
      </w:r>
      <w:r>
        <w:rPr>
          <w:color w:val="0000FF"/>
          <w:sz w:val="24"/>
          <w:szCs w:val="24"/>
        </w:rPr>
        <w:t>/3是合理的。与行业标准《建筑基坑支护技术规程》</w:t>
      </w:r>
      <w:r>
        <w:rPr>
          <w:color w:val="0000FF"/>
          <w:sz w:val="24"/>
          <w:szCs w:val="24"/>
          <w:lang w:val="en-US" w:eastAsia="zh-CN" w:bidi="en-US"/>
        </w:rPr>
        <w:t xml:space="preserve">JGJ </w:t>
      </w:r>
      <w:r>
        <w:rPr>
          <w:color w:val="0000FF"/>
          <w:sz w:val="24"/>
          <w:szCs w:val="24"/>
        </w:rPr>
        <w:t>120中对于支护结构的设计安全水准的相关规定相统一，在确保总安全系数为2的前提下，进行水泥土的抗剪计算时考虑</w:t>
      </w:r>
      <w:r>
        <w:rPr>
          <w:rFonts w:hint="eastAsia"/>
          <w:color w:val="0000FF"/>
          <w:sz w:val="24"/>
          <w:szCs w:val="24"/>
          <w:lang w:val="en-US" w:eastAsia="zh-CN" w:bidi="en-US"/>
        </w:rPr>
        <w:t>1.6</w:t>
      </w:r>
      <w:r>
        <w:rPr>
          <w:color w:val="0000FF"/>
          <w:sz w:val="24"/>
          <w:szCs w:val="24"/>
        </w:rPr>
        <w:t xml:space="preserve">的材料抗力分项系数以及 </w:t>
      </w:r>
      <w:r>
        <w:rPr>
          <w:color w:val="0000FF"/>
          <w:sz w:val="24"/>
          <w:szCs w:val="24"/>
          <w:lang w:val="en-US" w:eastAsia="zh-CN" w:bidi="en-US"/>
        </w:rPr>
        <w:t>1.25</w:t>
      </w:r>
      <w:r>
        <w:rPr>
          <w:color w:val="0000FF"/>
          <w:sz w:val="24"/>
          <w:szCs w:val="24"/>
        </w:rPr>
        <w:t>的荷载分项系数。</w:t>
      </w:r>
    </w:p>
    <w:p>
      <w:pPr>
        <w:bidi w:val="0"/>
        <w:jc w:val="center"/>
        <w:outlineLvl w:val="9"/>
        <w:rPr>
          <w:rFonts w:hint="eastAsia"/>
          <w:b/>
          <w:bCs/>
          <w:sz w:val="28"/>
          <w:szCs w:val="24"/>
        </w:rPr>
      </w:pPr>
      <w:r>
        <w:rPr>
          <w:rFonts w:hint="eastAsia"/>
          <w:b/>
          <w:bCs/>
          <w:sz w:val="28"/>
          <w:szCs w:val="24"/>
        </w:rPr>
        <w:t>Ⅲ 构造</w:t>
      </w:r>
    </w:p>
    <w:p>
      <w:pPr>
        <w:pStyle w:val="46"/>
        <w:spacing w:after="14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8.3.13</w:t>
      </w:r>
      <w:r>
        <w:rPr>
          <w:color w:val="0000FF"/>
          <w:sz w:val="24"/>
          <w:szCs w:val="24"/>
        </w:rPr>
        <w:t>当在工期紧张等情况下满足不了水泥土搅拌墙龄期达到</w:t>
      </w:r>
      <w:r>
        <w:rPr>
          <w:color w:val="0000FF"/>
          <w:sz w:val="24"/>
          <w:szCs w:val="24"/>
          <w:lang w:val="en-US" w:eastAsia="zh-CN" w:bidi="en-US"/>
        </w:rPr>
        <w:t>28d</w:t>
      </w:r>
      <w:r>
        <w:rPr>
          <w:color w:val="0000FF"/>
          <w:sz w:val="24"/>
          <w:szCs w:val="24"/>
        </w:rPr>
        <w:t>要求时，可通过加早强剂等特殊措施保证水泥土搅拌墙在土方开挖时的强度满足设计要求。</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8.3.14</w:t>
      </w:r>
      <w:r>
        <w:rPr>
          <w:color w:val="0000FF"/>
          <w:sz w:val="24"/>
          <w:szCs w:val="24"/>
        </w:rPr>
        <w:t xml:space="preserve">型钢水泥土搅拌墙是水泥土与型钢等劲性芯材的组合结构，芯材宜采用型钢等抗弯强度较高的劲性材料。工程中常用 </w:t>
      </w:r>
      <w:r>
        <w:rPr>
          <w:color w:val="0000FF"/>
          <w:sz w:val="24"/>
          <w:szCs w:val="24"/>
          <w:lang w:val="en-US" w:eastAsia="zh-CN" w:bidi="en-US"/>
        </w:rPr>
        <w:t xml:space="preserve">H488X300X11X18, H500X200X10X </w:t>
      </w:r>
      <w:r>
        <w:rPr>
          <w:color w:val="0000FF"/>
          <w:sz w:val="24"/>
          <w:szCs w:val="24"/>
        </w:rPr>
        <w:t>16、</w:t>
      </w:r>
      <w:r>
        <w:rPr>
          <w:color w:val="0000FF"/>
          <w:sz w:val="24"/>
          <w:szCs w:val="24"/>
          <w:lang w:val="en-US" w:eastAsia="zh-CN" w:bidi="en-US"/>
        </w:rPr>
        <w:t>H700X300X13X</w:t>
      </w:r>
      <w:r>
        <w:rPr>
          <w:color w:val="0000FF"/>
          <w:sz w:val="24"/>
          <w:szCs w:val="24"/>
        </w:rPr>
        <w:t>24、</w:t>
      </w:r>
      <w:r>
        <w:rPr>
          <w:color w:val="0000FF"/>
          <w:sz w:val="24"/>
          <w:szCs w:val="24"/>
          <w:lang w:val="en-US" w:eastAsia="zh-CN" w:bidi="en-US"/>
        </w:rPr>
        <w:t>H800X300X14X26</w:t>
      </w:r>
      <w:r>
        <w:rPr>
          <w:color w:val="0000FF"/>
          <w:sz w:val="24"/>
          <w:szCs w:val="24"/>
        </w:rPr>
        <w:t>的标准</w:t>
      </w:r>
      <w:r>
        <w:rPr>
          <w:color w:val="0000FF"/>
          <w:sz w:val="24"/>
          <w:szCs w:val="24"/>
          <w:lang w:val="en-US" w:eastAsia="zh-CN" w:bidi="en-US"/>
        </w:rPr>
        <w:t>H</w:t>
      </w:r>
      <w:r>
        <w:rPr>
          <w:color w:val="0000FF"/>
          <w:sz w:val="24"/>
          <w:szCs w:val="24"/>
        </w:rPr>
        <w:t xml:space="preserve">型钢，经过计算也有采用如 </w:t>
      </w:r>
      <w:r>
        <w:rPr>
          <w:color w:val="0000FF"/>
          <w:sz w:val="24"/>
          <w:szCs w:val="24"/>
          <w:lang w:val="en-US" w:eastAsia="zh-CN" w:bidi="en-US"/>
        </w:rPr>
        <w:t xml:space="preserve">H700X300X12X14、H850X300X16X24 </w:t>
      </w:r>
      <w:r>
        <w:rPr>
          <w:color w:val="0000FF"/>
          <w:sz w:val="24"/>
          <w:szCs w:val="24"/>
        </w:rPr>
        <w:t>的非标准型钢。目前也有个别工程采用了钢管、拉森板桩、混凝土</w:t>
      </w:r>
      <w:r>
        <w:rPr>
          <w:rFonts w:hint="eastAsia"/>
          <w:color w:val="0000FF"/>
          <w:sz w:val="24"/>
          <w:szCs w:val="24"/>
          <w:lang w:eastAsia="zh-CN"/>
        </w:rPr>
        <w:t>预制</w:t>
      </w:r>
      <w:r>
        <w:rPr>
          <w:color w:val="0000FF"/>
          <w:sz w:val="24"/>
          <w:szCs w:val="24"/>
        </w:rPr>
        <w:t>桩等作内插劲性材料。</w:t>
      </w:r>
    </w:p>
    <w:p>
      <w:pPr>
        <w:pStyle w:val="46"/>
        <w:spacing w:after="0" w:line="360" w:lineRule="auto"/>
        <w:ind w:left="0" w:firstLine="140"/>
        <w:rPr>
          <w:color w:val="0000FF"/>
          <w:sz w:val="24"/>
          <w:szCs w:val="24"/>
        </w:rPr>
      </w:pPr>
      <w:r>
        <w:rPr>
          <w:rFonts w:hint="eastAsia" w:ascii="Times New Roman" w:hAnsi="Times New Roman" w:cs="Times New Roman"/>
          <w:b/>
          <w:color w:val="0000FF"/>
          <w:sz w:val="24"/>
          <w:szCs w:val="24"/>
          <w:lang w:val="en-US" w:eastAsia="zh-CN" w:bidi="ar-SA"/>
        </w:rPr>
        <w:t>8.3.15</w:t>
      </w:r>
      <w:r>
        <w:rPr>
          <w:b/>
          <w:bCs/>
          <w:color w:val="0000FF"/>
          <w:sz w:val="24"/>
          <w:szCs w:val="24"/>
          <w:lang w:val="en-US" w:eastAsia="zh-CN" w:bidi="en-US"/>
        </w:rPr>
        <w:t xml:space="preserve"> </w:t>
      </w:r>
      <w:r>
        <w:rPr>
          <w:color w:val="0000FF"/>
          <w:sz w:val="24"/>
          <w:szCs w:val="24"/>
        </w:rPr>
        <w:t>不同开挖深度的基坑，设计对型钢规格和长度要求不尽相同。一般情况下，内插型钢宜采用整材，当特定条件下型钢需采用分段焊接时，为达到分段型钢焊接质量的可控性以及施工的规范化，确保支护结构的安全，本规程规定分段型钢焊接应采用坡口焊接，焊接等级不低于二级。考虑到型钢现场焊接以及二级焊 缝抽检率仅为20%的因素，本条文另外对型钢焊接作了具体要求。单根型钢中焊接接头数量、焊接位置，以及相邻型钢的接头竖向位置错开等要求由设计人员根据工程的实际情况确定，焊接接头的位置应避免在型钢受力较大处（如支撑位置或开挖面附近）设置。</w:t>
      </w:r>
    </w:p>
    <w:p>
      <w:pPr>
        <w:pStyle w:val="46"/>
        <w:spacing w:after="8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8.3.16</w:t>
      </w:r>
      <w:r>
        <w:rPr>
          <w:color w:val="0000FF"/>
          <w:sz w:val="24"/>
          <w:szCs w:val="24"/>
        </w:rPr>
        <w:t>在板式支护体系中，冠梁对提高围护体系的整体性，并使围护桩和支撑体系形成共同受力的稳定结构体系具有重要作用。当采用型钢水泥土搅拌墙时，由于桩身由两种刚度相差较大的材料组成，冠梁作用的重要性更加突出。</w:t>
      </w:r>
    </w:p>
    <w:p>
      <w:pPr>
        <w:pStyle w:val="46"/>
        <w:spacing w:after="80" w:line="360" w:lineRule="auto"/>
        <w:ind w:left="140"/>
        <w:rPr>
          <w:color w:val="0000FF"/>
          <w:sz w:val="24"/>
          <w:szCs w:val="24"/>
        </w:rPr>
      </w:pPr>
      <w:r>
        <w:rPr>
          <w:b/>
          <w:bCs/>
          <w:color w:val="0000FF"/>
          <w:sz w:val="24"/>
          <w:szCs w:val="24"/>
        </w:rPr>
        <w:t>1</w:t>
      </w:r>
      <w:r>
        <w:rPr>
          <w:rFonts w:hint="eastAsia"/>
          <w:b/>
          <w:bCs/>
          <w:color w:val="0000FF"/>
          <w:sz w:val="24"/>
          <w:szCs w:val="24"/>
          <w:lang w:val="en-US" w:eastAsia="zh-CN"/>
        </w:rPr>
        <w:t xml:space="preserve"> </w:t>
      </w:r>
      <w:r>
        <w:rPr>
          <w:color w:val="0000FF"/>
          <w:sz w:val="24"/>
          <w:szCs w:val="24"/>
        </w:rPr>
        <w:t>为便于型钢拔除，型钢需锚入冠梁，并高于冠梁顶部一定高度。一般该高度值不应小于</w:t>
      </w:r>
      <w:r>
        <w:rPr>
          <w:color w:val="0000FF"/>
          <w:sz w:val="24"/>
          <w:szCs w:val="24"/>
          <w:lang w:val="en-US" w:eastAsia="zh-CN" w:bidi="en-US"/>
        </w:rPr>
        <w:t>500mm,</w:t>
      </w:r>
      <w:r>
        <w:rPr>
          <w:color w:val="0000FF"/>
          <w:sz w:val="24"/>
          <w:szCs w:val="24"/>
        </w:rPr>
        <w:t>根据具体情况略有差异；</w:t>
      </w:r>
    </w:p>
    <w:p>
      <w:pPr>
        <w:pStyle w:val="46"/>
        <w:spacing w:after="80" w:line="360" w:lineRule="auto"/>
        <w:ind w:left="0" w:firstLine="481" w:firstLineChars="200"/>
        <w:rPr>
          <w:color w:val="0000FF"/>
          <w:sz w:val="24"/>
          <w:szCs w:val="24"/>
        </w:rPr>
      </w:pPr>
      <w:r>
        <w:rPr>
          <w:b/>
          <w:bCs/>
          <w:color w:val="0000FF"/>
          <w:sz w:val="24"/>
          <w:szCs w:val="24"/>
        </w:rPr>
        <w:t>2</w:t>
      </w:r>
      <w:r>
        <w:rPr>
          <w:color w:val="0000FF"/>
          <w:sz w:val="24"/>
          <w:szCs w:val="24"/>
        </w:rPr>
        <w:t>型钢整个截面锚入冠梁，为便于今后拔除，冠梁和型钢 之间采用一定的材料隔离，因此型钢对冠梁截面的削弱是不能忽 略的。</w:t>
      </w:r>
    </w:p>
    <w:p>
      <w:pPr>
        <w:pStyle w:val="46"/>
        <w:spacing w:after="0" w:line="360" w:lineRule="auto"/>
        <w:ind w:left="0"/>
        <w:rPr>
          <w:color w:val="0000FF"/>
          <w:sz w:val="24"/>
          <w:szCs w:val="24"/>
        </w:rPr>
      </w:pPr>
      <w:r>
        <w:rPr>
          <w:color w:val="0000FF"/>
          <w:sz w:val="24"/>
          <w:szCs w:val="24"/>
        </w:rPr>
        <w:t>综合上述两个方面的因素，对于型钢水泥土搅拌墙的冠梁, 必须保证一定的宽度和咼度，同时在构造上也应有一定的加强措施。</w:t>
      </w:r>
    </w:p>
    <w:p>
      <w:pPr>
        <w:pStyle w:val="46"/>
        <w:spacing w:after="0" w:line="360" w:lineRule="auto"/>
        <w:ind w:left="0"/>
        <w:rPr>
          <w:color w:val="0000FF"/>
          <w:sz w:val="24"/>
          <w:szCs w:val="24"/>
        </w:rPr>
      </w:pPr>
      <w:r>
        <w:rPr>
          <w:color w:val="0000FF"/>
          <w:sz w:val="24"/>
          <w:szCs w:val="24"/>
        </w:rPr>
        <w:t>冠梁与型钢的接触处，一般需采用一定的隔离材料。若隔离 材料在围护受力后产生较大的压缩变形，对控制基坑总的变形量是不利的。因此，一般釆用不易压缩的材料如油毡等。</w:t>
      </w:r>
    </w:p>
    <w:p>
      <w:pPr>
        <w:pStyle w:val="46"/>
        <w:spacing w:after="80" w:line="360" w:lineRule="auto"/>
        <w:ind w:left="140"/>
        <w:rPr>
          <w:color w:val="0000FF"/>
          <w:sz w:val="24"/>
          <w:szCs w:val="24"/>
        </w:rPr>
      </w:pPr>
      <w:r>
        <w:rPr>
          <w:color w:val="0000FF"/>
          <w:sz w:val="24"/>
          <w:szCs w:val="24"/>
        </w:rPr>
        <w:t>冠梁的箍筋直径和间距由计算确定，一般采用四肢箍。对于因内插型钢导致箍筋不能封闭的部位，宜在型钢翼缘部位外侧设置小封闭箍筋构成小边梁予以加强。</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8.3.17</w:t>
      </w:r>
      <w:r>
        <w:rPr>
          <w:color w:val="0000FF"/>
          <w:sz w:val="24"/>
          <w:szCs w:val="24"/>
        </w:rPr>
        <w:t>在型钢水泥土搅拌墙基坑的支撑体系中，支撑与腰梁的连接、腰梁与型钢的连接以及钢腰梁的拼接，特别是后两者是保 证整个腰梁支撑体系的整体性的关键。应对节点的构造充分重视，节点构造应严格按设计图纸施工。钢支撑杆件的拼接一般应 满足等强度的要求，但在实际工程中钢腰梁的拼接受现场施工条 件限制，很难达到这一要求，应在构造上对拼接方式予以加强， 如附加缀板、设置加劲肋板等。同时，应尽量减少钢腰梁的接头数量，拼接位置也尽量放在腰梁受力较小的部位。</w:t>
      </w:r>
    </w:p>
    <w:p>
      <w:pPr>
        <w:pStyle w:val="46"/>
        <w:spacing w:after="0" w:line="360" w:lineRule="auto"/>
        <w:ind w:left="0" w:firstLine="480" w:firstLineChars="200"/>
        <w:rPr>
          <w:color w:val="0000FF"/>
          <w:sz w:val="24"/>
          <w:szCs w:val="24"/>
        </w:rPr>
      </w:pPr>
      <w:r>
        <w:rPr>
          <w:color w:val="0000FF"/>
          <w:sz w:val="24"/>
          <w:szCs w:val="24"/>
        </w:rPr>
        <w:t>支撑腰梁应与型钢水泥土搅拌墙进行可靠连接。</w:t>
      </w:r>
    </w:p>
    <w:p>
      <w:pPr>
        <w:pStyle w:val="46"/>
        <w:spacing w:after="0" w:line="360" w:lineRule="auto"/>
        <w:ind w:left="0" w:firstLine="480" w:firstLineChars="200"/>
        <w:rPr>
          <w:color w:val="0000FF"/>
          <w:sz w:val="24"/>
          <w:szCs w:val="24"/>
        </w:rPr>
      </w:pPr>
      <w:r>
        <w:rPr>
          <w:color w:val="0000FF"/>
          <w:sz w:val="24"/>
          <w:szCs w:val="24"/>
        </w:rPr>
        <w:t xml:space="preserve">当基坑面积较大，需分块开挖，或在市政工程狭长形基坑中，常碰到腰梁不能统一形成整体就需部分先开挖的情况（所谓 </w:t>
      </w:r>
      <w:r>
        <w:rPr>
          <w:color w:val="0000FF"/>
          <w:sz w:val="24"/>
          <w:szCs w:val="24"/>
          <w:lang w:val="zh-CN" w:eastAsia="zh-CN"/>
        </w:rPr>
        <w:t>“开</w:t>
      </w:r>
      <w:r>
        <w:rPr>
          <w:color w:val="0000FF"/>
          <w:sz w:val="24"/>
          <w:szCs w:val="24"/>
        </w:rPr>
        <w:t>口基坑”），这时对于支撑体系尤其是钢腰梁的设置有一些需要特别注意的地方：</w:t>
      </w:r>
    </w:p>
    <w:p>
      <w:pPr>
        <w:pStyle w:val="46"/>
        <w:spacing w:after="0" w:line="360" w:lineRule="auto"/>
        <w:ind w:left="0" w:firstLine="480" w:firstLineChars="200"/>
        <w:rPr>
          <w:color w:val="0000FF"/>
          <w:sz w:val="24"/>
          <w:szCs w:val="24"/>
        </w:rPr>
      </w:pPr>
      <w:r>
        <w:rPr>
          <w:color w:val="0000FF"/>
          <w:sz w:val="24"/>
          <w:szCs w:val="24"/>
        </w:rPr>
        <w:t>1当釆用水平斜支撑体系时，应考虑沿腰梁长度方向的水平力作用对型钢水泥土搅拌墙的影响，一般不应直接利用墙体型 传递水平力，以免造成型钢和水泥土之间的纵向拉裂，对墙体抗渗产生不利影响。应根据设计计算结果在型钢和腰梁之间设置抗剪构件。</w:t>
      </w:r>
    </w:p>
    <w:p>
      <w:pPr>
        <w:pStyle w:val="46"/>
        <w:spacing w:after="0" w:line="360" w:lineRule="auto"/>
        <w:ind w:left="0" w:firstLine="480" w:firstLineChars="200"/>
        <w:rPr>
          <w:color w:val="0000FF"/>
          <w:sz w:val="24"/>
          <w:szCs w:val="24"/>
        </w:rPr>
      </w:pPr>
      <w:r>
        <w:rPr>
          <w:color w:val="0000FF"/>
          <w:sz w:val="24"/>
          <w:szCs w:val="24"/>
        </w:rPr>
        <w:t>2当基坑转角处支撑体系釆用水平斜撑时，需考虑双向水平力对支撑体系的作用，应采取加强措施防止腰梁和支撑的移位失稳。腰梁在转角处应设在同一水平面上，并有可靠的构造措施连成整体。腰梁与墙体的接触面宜用钢楔块或高强度的细石混凝土嵌填密实，使腰梁与墙体型钢间可以均匀传递水平剪切力。当 与斜撑相连的腰梁长度不足以传递计算水平力时，除在腰梁和型钢间设置抗剪构件外，还应结合釆用合理的基坑开挖措施，以确保支撑水平分力的可靠传递。</w:t>
      </w:r>
    </w:p>
    <w:p>
      <w:pPr>
        <w:pStyle w:val="46"/>
        <w:spacing w:after="0" w:line="360" w:lineRule="auto"/>
        <w:ind w:left="0" w:firstLine="481" w:firstLineChars="200"/>
        <w:rPr>
          <w:color w:val="0000FF"/>
          <w:sz w:val="24"/>
          <w:szCs w:val="24"/>
        </w:rPr>
      </w:pPr>
      <w:r>
        <w:rPr>
          <w:b/>
          <w:bCs/>
          <w:color w:val="0000FF"/>
          <w:sz w:val="24"/>
          <w:szCs w:val="24"/>
        </w:rPr>
        <w:t>3</w:t>
      </w:r>
      <w:r>
        <w:rPr>
          <w:color w:val="0000FF"/>
          <w:sz w:val="24"/>
          <w:szCs w:val="24"/>
        </w:rPr>
        <w:t>当内支撑釆用钢支撑且需要预加轴力时，应按计算确定 预加的轴力大小，防止预加轴力过大引起型钢水泥土搅拌墙向基 坑外侧变形而影响周边环境安全。</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8.3.18</w:t>
      </w:r>
      <w:r>
        <w:rPr>
          <w:color w:val="0000FF"/>
          <w:sz w:val="24"/>
          <w:szCs w:val="24"/>
        </w:rPr>
        <w:t>当基坑内支撑体系中采用斜撑时，需考虑支撑竖向分力 产生的冠梁沿型钢向上的剪力，并在型钢与冠梁之间设置抗剪构 件（如抗剪角钢、栓钉等）。</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8.3.19</w:t>
      </w:r>
      <w:r>
        <w:rPr>
          <w:color w:val="0000FF"/>
          <w:sz w:val="24"/>
          <w:szCs w:val="24"/>
        </w:rPr>
        <w:t>当型钢水泥土搅拌墙中搅拌桩桩径发生变化，或型钢插 入密度发生改变，为防止支护结构刚度的突变对整体支护结构受 力不利，宜将较大直径的搅拌桩或型钢插入密度较大的区段作适 当延伸过渡。</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8.3.20</w:t>
      </w:r>
      <w:r>
        <w:rPr>
          <w:color w:val="0000FF"/>
          <w:sz w:val="24"/>
          <w:szCs w:val="24"/>
        </w:rPr>
        <w:t>当采用型钢水泥土搅拌墙与其他支护结构（如地下连续墙等）共同作为支护结构时，在两种支护结构连接处应采取高压喷射注浆等截水措施。</w:t>
      </w:r>
    </w:p>
    <w:p>
      <w:pPr>
        <w:bidi w:val="0"/>
        <w:jc w:val="center"/>
        <w:outlineLvl w:val="9"/>
        <w:rPr>
          <w:rFonts w:hint="eastAsia"/>
          <w:b/>
          <w:bCs/>
          <w:sz w:val="28"/>
          <w:szCs w:val="24"/>
          <w:lang w:val="en-US" w:eastAsia="zh-CN"/>
        </w:rPr>
      </w:pPr>
      <w:r>
        <w:rPr>
          <w:rFonts w:hint="eastAsia"/>
          <w:b/>
          <w:bCs/>
          <w:sz w:val="28"/>
          <w:szCs w:val="24"/>
          <w:lang w:val="en-US" w:eastAsia="zh-CN"/>
        </w:rPr>
        <w:t>Ⅳ 施工</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8.3.21</w:t>
      </w:r>
      <w:r>
        <w:rPr>
          <w:color w:val="0000FF"/>
          <w:sz w:val="24"/>
          <w:szCs w:val="24"/>
        </w:rPr>
        <w:t>三轴搅拌机有螺旋式和螺旋叶片式两种搅拌机头，搅拌转速也有高低两挡转速(高速挡</w:t>
      </w:r>
      <w:r>
        <w:rPr>
          <w:color w:val="0000FF"/>
          <w:sz w:val="24"/>
          <w:szCs w:val="24"/>
          <w:lang w:val="en-US" w:eastAsia="zh-CN" w:bidi="en-US"/>
        </w:rPr>
        <w:t>35r/min~40r/min</w:t>
      </w:r>
      <w:r>
        <w:rPr>
          <w:color w:val="0000FF"/>
          <w:sz w:val="24"/>
          <w:szCs w:val="24"/>
        </w:rPr>
        <w:t>和低速挡</w:t>
      </w:r>
      <w:r>
        <w:rPr>
          <w:color w:val="0000FF"/>
          <w:sz w:val="24"/>
          <w:szCs w:val="24"/>
          <w:lang w:val="en-US" w:eastAsia="zh-CN" w:bidi="en-US"/>
        </w:rPr>
        <w:t>16r/min)</w:t>
      </w:r>
      <w:r>
        <w:rPr>
          <w:color w:val="0000FF"/>
          <w:sz w:val="24"/>
          <w:szCs w:val="24"/>
        </w:rPr>
        <w:t>。砂性土及砂砾性土中施工时宜采用螺旋式搅拌机头</w:t>
      </w:r>
      <w:r>
        <w:rPr>
          <w:rFonts w:hint="eastAsia"/>
          <w:color w:val="0000FF"/>
          <w:sz w:val="24"/>
          <w:szCs w:val="24"/>
          <w:lang w:eastAsia="zh-CN"/>
        </w:rPr>
        <w:t>，</w:t>
      </w:r>
      <w:r>
        <w:rPr>
          <w:color w:val="0000FF"/>
          <w:sz w:val="24"/>
          <w:szCs w:val="24"/>
        </w:rPr>
        <w:t>黏性土中施工时宜采用螺旋叶片式搅拌机头。</w:t>
      </w:r>
    </w:p>
    <w:p>
      <w:pPr>
        <w:pStyle w:val="46"/>
        <w:spacing w:after="160" w:line="360" w:lineRule="auto"/>
        <w:ind w:left="0"/>
        <w:rPr>
          <w:color w:val="0000FF"/>
          <w:sz w:val="24"/>
          <w:szCs w:val="24"/>
          <w:lang w:eastAsia="zh-CN"/>
        </w:rPr>
      </w:pPr>
      <w:r>
        <w:rPr>
          <w:color w:val="0000FF"/>
          <w:sz w:val="24"/>
          <w:szCs w:val="24"/>
        </w:rPr>
        <w:t>在实际工程施工中，型钢水泥土搅拌墙的施工深度取决于三轴搅拌桩机的施工能力，一般情况下施工深度不超过</w:t>
      </w:r>
      <w:r>
        <w:rPr>
          <w:color w:val="0000FF"/>
          <w:sz w:val="24"/>
          <w:szCs w:val="24"/>
          <w:lang w:val="en-US" w:eastAsia="zh-CN" w:bidi="en-US"/>
        </w:rPr>
        <w:t>45m。</w:t>
      </w:r>
      <w:r>
        <w:rPr>
          <w:color w:val="0000FF"/>
          <w:sz w:val="24"/>
          <w:szCs w:val="24"/>
        </w:rPr>
        <w:t>为了保证施工安全，当搅拌深度超过</w:t>
      </w:r>
      <w:r>
        <w:rPr>
          <w:color w:val="0000FF"/>
          <w:sz w:val="24"/>
          <w:szCs w:val="24"/>
          <w:lang w:val="en-US" w:eastAsia="zh-CN" w:bidi="en-US"/>
        </w:rPr>
        <w:t>30m</w:t>
      </w:r>
      <w:r>
        <w:rPr>
          <w:color w:val="0000FF"/>
          <w:sz w:val="24"/>
          <w:szCs w:val="24"/>
        </w:rPr>
        <w:t>时，宜釆用钻杆连接方法施工(加接长杆施工的搅拌桩水泥用量可根据试验确定)。</w:t>
      </w:r>
    </w:p>
    <w:p>
      <w:pPr>
        <w:pStyle w:val="46"/>
        <w:spacing w:after="8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8.3.24</w:t>
      </w:r>
      <w:r>
        <w:rPr>
          <w:color w:val="0000FF"/>
          <w:sz w:val="24"/>
          <w:szCs w:val="24"/>
        </w:rPr>
        <w:t>定位型钢设置应牢固，搅拌桩位置和型钢插入位置标志要清晰。导向沟开挖和定位型钢设置见图</w:t>
      </w:r>
      <w:r>
        <w:rPr>
          <w:rFonts w:hint="eastAsia"/>
          <w:color w:val="0000FF"/>
          <w:sz w:val="24"/>
          <w:szCs w:val="24"/>
          <w:lang w:val="en-US" w:eastAsia="zh-CN"/>
        </w:rPr>
        <w:t>8.3.24</w:t>
      </w:r>
      <w:r>
        <w:rPr>
          <w:color w:val="0000FF"/>
          <w:sz w:val="24"/>
          <w:szCs w:val="24"/>
        </w:rPr>
        <w:t>和表</w:t>
      </w:r>
      <w:r>
        <w:rPr>
          <w:rFonts w:hint="eastAsia"/>
          <w:color w:val="0000FF"/>
          <w:sz w:val="24"/>
          <w:szCs w:val="24"/>
          <w:lang w:val="en-US" w:eastAsia="zh-CN"/>
        </w:rPr>
        <w:t>8.3.24</w:t>
      </w:r>
      <w:r>
        <w:rPr>
          <w:color w:val="0000FF"/>
          <w:sz w:val="24"/>
          <w:szCs w:val="24"/>
        </w:rPr>
        <w:t>。</w:t>
      </w:r>
    </w:p>
    <w:p>
      <w:pPr>
        <w:pStyle w:val="46"/>
        <w:spacing w:after="0" w:line="360" w:lineRule="auto"/>
        <w:ind w:left="0" w:firstLine="0"/>
        <w:rPr>
          <w:color w:val="0000FF"/>
          <w:sz w:val="24"/>
          <w:szCs w:val="24"/>
        </w:rPr>
      </w:pPr>
      <w:r>
        <w:rPr>
          <w:rFonts w:hint="eastAsia"/>
          <w:color w:val="0000FF"/>
          <w:lang w:val="en-US" w:eastAsia="zh-CN"/>
        </w:rPr>
        <w:t xml:space="preserve">                          </w:t>
      </w:r>
      <w:r>
        <w:rPr>
          <w:color w:val="0000FF"/>
          <w:lang w:val="en-US" w:eastAsia="zh-CN" w:bidi="ar-SA"/>
        </w:rPr>
        <w:drawing>
          <wp:inline distT="0" distB="0" distL="114300" distR="114300">
            <wp:extent cx="2395855" cy="1694815"/>
            <wp:effectExtent l="0" t="0" r="4445" b="6985"/>
            <wp:docPr id="759" name="Picutre 46"/>
            <wp:cNvGraphicFramePr/>
            <a:graphic xmlns:a="http://schemas.openxmlformats.org/drawingml/2006/main">
              <a:graphicData uri="http://schemas.openxmlformats.org/drawingml/2006/picture">
                <pic:pic xmlns:pic="http://schemas.openxmlformats.org/drawingml/2006/picture">
                  <pic:nvPicPr>
                    <pic:cNvPr id="759" name="Picutre 46"/>
                    <pic:cNvPicPr/>
                  </pic:nvPicPr>
                  <pic:blipFill>
                    <a:blip r:embed="rId851"/>
                    <a:stretch>
                      <a:fillRect/>
                    </a:stretch>
                  </pic:blipFill>
                  <pic:spPr>
                    <a:xfrm>
                      <a:off x="0" y="0"/>
                      <a:ext cx="2395855" cy="1694815"/>
                    </a:xfrm>
                    <a:prstGeom prst="rect">
                      <a:avLst/>
                    </a:prstGeom>
                  </pic:spPr>
                </pic:pic>
              </a:graphicData>
            </a:graphic>
          </wp:inline>
        </w:drawing>
      </w:r>
    </w:p>
    <w:p>
      <w:pPr>
        <w:pStyle w:val="49"/>
        <w:spacing w:after="60"/>
        <w:rPr>
          <w:color w:val="0000FF"/>
          <w:sz w:val="16"/>
          <w:szCs w:val="16"/>
        </w:rPr>
      </w:pPr>
      <w:r>
        <w:rPr>
          <w:color w:val="0000FF"/>
          <w:sz w:val="16"/>
          <w:szCs w:val="16"/>
        </w:rPr>
        <w:t>图</w:t>
      </w:r>
      <w:r>
        <w:rPr>
          <w:rFonts w:hint="eastAsia" w:cs="Times New Roman"/>
          <w:color w:val="0000FF"/>
          <w:sz w:val="13"/>
          <w:szCs w:val="13"/>
          <w:lang w:val="en-US" w:eastAsia="zh-CN"/>
        </w:rPr>
        <w:t>8.3.24</w:t>
      </w:r>
      <w:r>
        <w:rPr>
          <w:color w:val="0000FF"/>
          <w:sz w:val="16"/>
          <w:szCs w:val="16"/>
        </w:rPr>
        <w:t>导向沟开挖和定位型钢设置参考</w:t>
      </w:r>
    </w:p>
    <w:p>
      <w:pPr>
        <w:pStyle w:val="49"/>
        <w:rPr>
          <w:color w:val="0000FF"/>
          <w:sz w:val="16"/>
          <w:szCs w:val="16"/>
        </w:rPr>
      </w:pPr>
      <w:r>
        <w:rPr>
          <w:rFonts w:ascii="Times New Roman" w:hAnsi="Times New Roman" w:eastAsia="Times New Roman" w:cs="Times New Roman"/>
          <w:color w:val="0000FF"/>
          <w:sz w:val="13"/>
          <w:szCs w:val="13"/>
          <w:lang w:val="en-US" w:eastAsia="zh-CN" w:bidi="en-US"/>
        </w:rPr>
        <w:t>1—</w:t>
      </w:r>
      <w:r>
        <w:rPr>
          <w:color w:val="0000FF"/>
          <w:sz w:val="16"/>
          <w:szCs w:val="16"/>
        </w:rPr>
        <w:t>上定位型钢,</w:t>
      </w:r>
      <w:r>
        <w:rPr>
          <w:rFonts w:ascii="Times New Roman" w:hAnsi="Times New Roman" w:eastAsia="Times New Roman" w:cs="Times New Roman"/>
          <w:color w:val="0000FF"/>
          <w:sz w:val="13"/>
          <w:szCs w:val="13"/>
        </w:rPr>
        <w:t>2</w:t>
      </w:r>
      <w:r>
        <w:rPr>
          <w:color w:val="0000FF"/>
          <w:sz w:val="16"/>
          <w:szCs w:val="16"/>
        </w:rPr>
        <w:t>一下定位型钢</w:t>
      </w:r>
    </w:p>
    <w:p>
      <w:pPr>
        <w:widowControl w:val="0"/>
        <w:spacing w:after="179" w:line="1" w:lineRule="exact"/>
        <w:rPr>
          <w:color w:val="0000FF"/>
        </w:rPr>
      </w:pPr>
    </w:p>
    <w:p>
      <w:pPr>
        <w:pStyle w:val="46"/>
        <w:spacing w:after="0" w:line="360" w:lineRule="auto"/>
        <w:ind w:left="0" w:firstLine="2890" w:firstLineChars="1700"/>
        <w:rPr>
          <w:color w:val="0000FF"/>
          <w:sz w:val="17"/>
          <w:szCs w:val="17"/>
        </w:rPr>
      </w:pPr>
      <w:r>
        <w:rPr>
          <w:color w:val="0000FF"/>
          <w:sz w:val="17"/>
          <w:szCs w:val="17"/>
        </w:rPr>
        <w:t>表</w:t>
      </w:r>
      <w:r>
        <w:rPr>
          <w:rFonts w:hint="eastAsia" w:ascii="Times New Roman" w:hAnsi="Times New Roman" w:cs="Times New Roman"/>
          <w:b/>
          <w:bCs/>
          <w:color w:val="0000FF"/>
          <w:sz w:val="16"/>
          <w:szCs w:val="16"/>
          <w:lang w:val="en-US" w:eastAsia="zh-CN"/>
        </w:rPr>
        <w:t>8.3.24</w:t>
      </w:r>
      <w:r>
        <w:rPr>
          <w:color w:val="0000FF"/>
          <w:sz w:val="17"/>
          <w:szCs w:val="17"/>
        </w:rPr>
        <w:t>搅拌桩直径与各参数关系参考表</w:t>
      </w:r>
    </w:p>
    <w:tbl>
      <w:tblPr>
        <w:tblStyle w:val="32"/>
        <w:tblW w:w="0" w:type="auto"/>
        <w:jc w:val="center"/>
        <w:tblLayout w:type="fixed"/>
        <w:tblCellMar>
          <w:top w:w="0" w:type="dxa"/>
          <w:left w:w="10" w:type="dxa"/>
          <w:bottom w:w="0" w:type="dxa"/>
          <w:right w:w="10" w:type="dxa"/>
        </w:tblCellMar>
      </w:tblPr>
      <w:tblGrid>
        <w:gridCol w:w="970"/>
        <w:gridCol w:w="797"/>
        <w:gridCol w:w="475"/>
        <w:gridCol w:w="955"/>
        <w:gridCol w:w="955"/>
        <w:gridCol w:w="960"/>
        <w:gridCol w:w="792"/>
      </w:tblGrid>
      <w:tr>
        <w:tblPrEx>
          <w:tblCellMar>
            <w:top w:w="0" w:type="dxa"/>
            <w:left w:w="10" w:type="dxa"/>
            <w:bottom w:w="0" w:type="dxa"/>
            <w:right w:w="10" w:type="dxa"/>
          </w:tblCellMar>
        </w:tblPrEx>
        <w:trPr>
          <w:trHeight w:val="490" w:hRule="exact"/>
          <w:jc w:val="center"/>
        </w:trPr>
        <w:tc>
          <w:tcPr>
            <w:tcW w:w="970" w:type="dxa"/>
            <w:vMerge w:val="restart"/>
            <w:tcBorders>
              <w:top w:val="single" w:color="auto" w:sz="4" w:space="0"/>
              <w:left w:val="single" w:color="auto" w:sz="4" w:space="0"/>
            </w:tcBorders>
            <w:shd w:val="clear" w:color="auto" w:fill="FFFFFF"/>
            <w:vAlign w:val="center"/>
          </w:tcPr>
          <w:p>
            <w:pPr>
              <w:pStyle w:val="47"/>
              <w:spacing w:after="100" w:line="240" w:lineRule="auto"/>
              <w:rPr>
                <w:color w:val="0000FF"/>
                <w:sz w:val="16"/>
                <w:szCs w:val="16"/>
              </w:rPr>
            </w:pPr>
            <w:r>
              <w:rPr>
                <w:color w:val="0000FF"/>
                <w:sz w:val="16"/>
                <w:szCs w:val="16"/>
              </w:rPr>
              <w:t>搅拌桩直径</w:t>
            </w:r>
          </w:p>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（mm）</w:t>
            </w:r>
          </w:p>
        </w:tc>
        <w:tc>
          <w:tcPr>
            <w:tcW w:w="797" w:type="dxa"/>
            <w:vMerge w:val="restart"/>
            <w:tcBorders>
              <w:top w:val="single" w:color="auto" w:sz="4" w:space="0"/>
              <w:left w:val="single" w:color="auto" w:sz="4" w:space="0"/>
            </w:tcBorders>
            <w:shd w:val="clear" w:color="auto" w:fill="FFFFFF"/>
            <w:vAlign w:val="center"/>
          </w:tcPr>
          <w:p>
            <w:pPr>
              <w:pStyle w:val="47"/>
              <w:spacing w:after="100" w:line="240" w:lineRule="auto"/>
              <w:rPr>
                <w:color w:val="0000FF"/>
                <w:sz w:val="16"/>
                <w:szCs w:val="16"/>
              </w:rPr>
            </w:pPr>
            <w:r>
              <w:rPr>
                <w:rFonts w:ascii="Times New Roman" w:hAnsi="Times New Roman" w:eastAsia="Times New Roman"/>
                <w:i/>
                <w:iCs/>
                <w:color w:val="0000FF"/>
                <w:sz w:val="16"/>
                <w:szCs w:val="16"/>
                <w:lang w:val="en-US" w:eastAsia="en-US" w:bidi="en-US"/>
              </w:rPr>
              <w:t>h</w:t>
            </w:r>
          </w:p>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(m)</w:t>
            </w:r>
          </w:p>
        </w:tc>
        <w:tc>
          <w:tcPr>
            <w:tcW w:w="475" w:type="dxa"/>
            <w:vMerge w:val="restart"/>
            <w:tcBorders>
              <w:top w:val="single" w:color="auto" w:sz="4" w:space="0"/>
              <w:left w:val="single" w:color="auto" w:sz="4" w:space="0"/>
            </w:tcBorders>
            <w:shd w:val="clear" w:color="auto" w:fill="FFFFFF"/>
            <w:vAlign w:val="center"/>
          </w:tcPr>
          <w:p>
            <w:pPr>
              <w:pStyle w:val="47"/>
              <w:spacing w:after="100" w:line="240" w:lineRule="auto"/>
              <w:rPr>
                <w:color w:val="0000FF"/>
                <w:sz w:val="16"/>
                <w:szCs w:val="16"/>
              </w:rPr>
            </w:pPr>
            <w:r>
              <w:rPr>
                <w:rFonts w:ascii="Times New Roman" w:hAnsi="Times New Roman" w:eastAsia="Times New Roman"/>
                <w:i/>
                <w:iCs/>
                <w:color w:val="0000FF"/>
                <w:sz w:val="16"/>
                <w:szCs w:val="16"/>
                <w:lang w:val="en-US" w:eastAsia="en-US" w:bidi="en-US"/>
              </w:rPr>
              <w:t>L</w:t>
            </w:r>
          </w:p>
          <w:p>
            <w:pPr>
              <w:pStyle w:val="47"/>
              <w:spacing w:line="240" w:lineRule="auto"/>
              <w:jc w:val="left"/>
              <w:rPr>
                <w:color w:val="0000FF"/>
                <w:sz w:val="13"/>
                <w:szCs w:val="13"/>
              </w:rPr>
            </w:pPr>
            <w:r>
              <w:rPr>
                <w:rFonts w:ascii="Times New Roman" w:hAnsi="Times New Roman" w:eastAsia="Times New Roman"/>
                <w:color w:val="0000FF"/>
                <w:sz w:val="13"/>
                <w:szCs w:val="13"/>
                <w:lang w:val="en-US" w:eastAsia="en-US" w:bidi="en-US"/>
              </w:rPr>
              <w:t>(m)</w:t>
            </w:r>
          </w:p>
        </w:tc>
        <w:tc>
          <w:tcPr>
            <w:tcW w:w="1910" w:type="dxa"/>
            <w:gridSpan w:val="2"/>
            <w:tcBorders>
              <w:top w:val="single" w:color="auto" w:sz="4" w:space="0"/>
              <w:left w:val="single" w:color="auto" w:sz="4" w:space="0"/>
            </w:tcBorders>
            <w:shd w:val="clear" w:color="auto" w:fill="FFFFFF"/>
            <w:vAlign w:val="center"/>
          </w:tcPr>
          <w:p>
            <w:pPr>
              <w:pStyle w:val="47"/>
              <w:spacing w:line="240" w:lineRule="auto"/>
              <w:rPr>
                <w:color w:val="0000FF"/>
                <w:sz w:val="16"/>
                <w:szCs w:val="16"/>
              </w:rPr>
            </w:pPr>
            <w:r>
              <w:rPr>
                <w:color w:val="0000FF"/>
                <w:sz w:val="16"/>
                <w:szCs w:val="16"/>
              </w:rPr>
              <w:t>上定位型钢</w:t>
            </w:r>
          </w:p>
        </w:tc>
        <w:tc>
          <w:tcPr>
            <w:tcW w:w="1752" w:type="dxa"/>
            <w:gridSpan w:val="2"/>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0000FF"/>
                <w:sz w:val="16"/>
                <w:szCs w:val="16"/>
              </w:rPr>
            </w:pPr>
            <w:r>
              <w:rPr>
                <w:color w:val="0000FF"/>
                <w:sz w:val="16"/>
                <w:szCs w:val="16"/>
              </w:rPr>
              <w:t>下定位型钢</w:t>
            </w:r>
          </w:p>
        </w:tc>
      </w:tr>
      <w:tr>
        <w:tblPrEx>
          <w:tblCellMar>
            <w:top w:w="0" w:type="dxa"/>
            <w:left w:w="10" w:type="dxa"/>
            <w:bottom w:w="0" w:type="dxa"/>
            <w:right w:w="10" w:type="dxa"/>
          </w:tblCellMar>
        </w:tblPrEx>
        <w:trPr>
          <w:trHeight w:val="480" w:hRule="exact"/>
          <w:jc w:val="center"/>
        </w:trPr>
        <w:tc>
          <w:tcPr>
            <w:tcW w:w="970" w:type="dxa"/>
            <w:vMerge w:val="continue"/>
            <w:tcBorders>
              <w:left w:val="single" w:color="auto" w:sz="4" w:space="0"/>
            </w:tcBorders>
            <w:shd w:val="clear" w:color="auto" w:fill="FFFFFF"/>
            <w:vAlign w:val="center"/>
          </w:tcPr>
          <w:p>
            <w:pPr>
              <w:rPr>
                <w:color w:val="0000FF"/>
              </w:rPr>
            </w:pPr>
          </w:p>
        </w:tc>
        <w:tc>
          <w:tcPr>
            <w:tcW w:w="797" w:type="dxa"/>
            <w:vMerge w:val="continue"/>
            <w:tcBorders>
              <w:left w:val="single" w:color="auto" w:sz="4" w:space="0"/>
            </w:tcBorders>
            <w:shd w:val="clear" w:color="auto" w:fill="FFFFFF"/>
            <w:vAlign w:val="center"/>
          </w:tcPr>
          <w:p>
            <w:pPr>
              <w:rPr>
                <w:color w:val="0000FF"/>
              </w:rPr>
            </w:pPr>
          </w:p>
        </w:tc>
        <w:tc>
          <w:tcPr>
            <w:tcW w:w="475" w:type="dxa"/>
            <w:vMerge w:val="continue"/>
            <w:tcBorders>
              <w:left w:val="single" w:color="auto" w:sz="4" w:space="0"/>
            </w:tcBorders>
            <w:shd w:val="clear" w:color="auto" w:fill="FFFFFF"/>
            <w:vAlign w:val="center"/>
          </w:tcPr>
          <w:p>
            <w:pPr>
              <w:rPr>
                <w:color w:val="0000FF"/>
              </w:rPr>
            </w:pPr>
          </w:p>
        </w:tc>
        <w:tc>
          <w:tcPr>
            <w:tcW w:w="955" w:type="dxa"/>
            <w:tcBorders>
              <w:top w:val="single" w:color="auto" w:sz="4" w:space="0"/>
              <w:left w:val="single" w:color="auto" w:sz="4" w:space="0"/>
            </w:tcBorders>
            <w:shd w:val="clear" w:color="auto" w:fill="FFFFFF"/>
            <w:vAlign w:val="center"/>
          </w:tcPr>
          <w:p>
            <w:pPr>
              <w:pStyle w:val="47"/>
              <w:spacing w:line="240" w:lineRule="auto"/>
              <w:rPr>
                <w:color w:val="0000FF"/>
                <w:sz w:val="16"/>
                <w:szCs w:val="16"/>
              </w:rPr>
            </w:pPr>
            <w:r>
              <w:rPr>
                <w:color w:val="0000FF"/>
                <w:sz w:val="16"/>
                <w:szCs w:val="16"/>
              </w:rPr>
              <w:t>规格</w:t>
            </w:r>
          </w:p>
        </w:tc>
        <w:tc>
          <w:tcPr>
            <w:tcW w:w="955"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color w:val="0000FF"/>
                <w:sz w:val="16"/>
                <w:szCs w:val="16"/>
              </w:rPr>
              <w:t>长度</w:t>
            </w:r>
            <w:r>
              <w:rPr>
                <w:color w:val="0000FF"/>
                <w:sz w:val="13"/>
                <w:szCs w:val="13"/>
                <w:lang w:val="en-US" w:eastAsia="en-US" w:bidi="en-US"/>
              </w:rPr>
              <w:t>（</w:t>
            </w:r>
            <w:r>
              <w:rPr>
                <w:rFonts w:ascii="Times New Roman" w:hAnsi="Times New Roman" w:eastAsia="Times New Roman"/>
                <w:color w:val="0000FF"/>
                <w:sz w:val="13"/>
                <w:szCs w:val="13"/>
                <w:lang w:val="en-US" w:eastAsia="en-US" w:bidi="en-US"/>
              </w:rPr>
              <w:t>m）</w:t>
            </w:r>
          </w:p>
        </w:tc>
        <w:tc>
          <w:tcPr>
            <w:tcW w:w="960" w:type="dxa"/>
            <w:tcBorders>
              <w:top w:val="single" w:color="auto" w:sz="4" w:space="0"/>
              <w:left w:val="single" w:color="auto" w:sz="4" w:space="0"/>
            </w:tcBorders>
            <w:shd w:val="clear" w:color="auto" w:fill="FFFFFF"/>
            <w:vAlign w:val="center"/>
          </w:tcPr>
          <w:p>
            <w:pPr>
              <w:pStyle w:val="47"/>
              <w:spacing w:line="240" w:lineRule="auto"/>
              <w:rPr>
                <w:color w:val="0000FF"/>
                <w:sz w:val="16"/>
                <w:szCs w:val="16"/>
              </w:rPr>
            </w:pPr>
            <w:r>
              <w:rPr>
                <w:color w:val="0000FF"/>
                <w:sz w:val="16"/>
                <w:szCs w:val="16"/>
              </w:rPr>
              <w:t>规格</w:t>
            </w:r>
          </w:p>
        </w:tc>
        <w:tc>
          <w:tcPr>
            <w:tcW w:w="792"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0000FF"/>
                <w:sz w:val="13"/>
                <w:szCs w:val="13"/>
              </w:rPr>
            </w:pPr>
            <w:r>
              <w:rPr>
                <w:color w:val="0000FF"/>
                <w:sz w:val="16"/>
                <w:szCs w:val="16"/>
              </w:rPr>
              <w:t>长度</w:t>
            </w:r>
            <w:r>
              <w:rPr>
                <w:color w:val="0000FF"/>
                <w:sz w:val="13"/>
                <w:szCs w:val="13"/>
                <w:lang w:val="en-US" w:eastAsia="en-US" w:bidi="en-US"/>
              </w:rPr>
              <w:t>（</w:t>
            </w:r>
            <w:r>
              <w:rPr>
                <w:rFonts w:ascii="Times New Roman" w:hAnsi="Times New Roman" w:eastAsia="Times New Roman"/>
                <w:color w:val="0000FF"/>
                <w:sz w:val="13"/>
                <w:szCs w:val="13"/>
                <w:lang w:val="en-US" w:eastAsia="en-US" w:bidi="en-US"/>
              </w:rPr>
              <w:t>m）</w:t>
            </w:r>
          </w:p>
        </w:tc>
      </w:tr>
      <w:tr>
        <w:tblPrEx>
          <w:tblCellMar>
            <w:top w:w="0" w:type="dxa"/>
            <w:left w:w="10" w:type="dxa"/>
            <w:bottom w:w="0" w:type="dxa"/>
            <w:right w:w="10" w:type="dxa"/>
          </w:tblCellMar>
        </w:tblPrEx>
        <w:trPr>
          <w:trHeight w:val="480" w:hRule="exact"/>
          <w:jc w:val="center"/>
        </w:trPr>
        <w:tc>
          <w:tcPr>
            <w:tcW w:w="970"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650</w:t>
            </w:r>
          </w:p>
        </w:tc>
        <w:tc>
          <w:tcPr>
            <w:tcW w:w="797"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 xml:space="preserve">1 </w:t>
            </w:r>
            <w:r>
              <w:rPr>
                <w:color w:val="0000FF"/>
                <w:sz w:val="13"/>
                <w:szCs w:val="13"/>
              </w:rPr>
              <w:t>〜</w:t>
            </w:r>
            <w:r>
              <w:rPr>
                <w:rFonts w:ascii="Times New Roman" w:hAnsi="Times New Roman" w:eastAsia="Times New Roman"/>
                <w:color w:val="0000FF"/>
                <w:sz w:val="13"/>
                <w:szCs w:val="13"/>
                <w:lang w:val="en-US" w:eastAsia="en-US" w:bidi="en-US"/>
              </w:rPr>
              <w:t xml:space="preserve">1. </w:t>
            </w:r>
            <w:r>
              <w:rPr>
                <w:rFonts w:ascii="Times New Roman" w:hAnsi="Times New Roman" w:eastAsia="Times New Roman"/>
                <w:color w:val="0000FF"/>
                <w:sz w:val="13"/>
                <w:szCs w:val="13"/>
              </w:rPr>
              <w:t>5</w:t>
            </w:r>
          </w:p>
        </w:tc>
        <w:tc>
          <w:tcPr>
            <w:tcW w:w="475" w:type="dxa"/>
            <w:tcBorders>
              <w:top w:val="single" w:color="auto" w:sz="4" w:space="0"/>
              <w:left w:val="single" w:color="auto" w:sz="4" w:space="0"/>
            </w:tcBorders>
            <w:shd w:val="clear" w:color="auto" w:fill="FFFFFF"/>
            <w:vAlign w:val="center"/>
          </w:tcPr>
          <w:p>
            <w:pPr>
              <w:pStyle w:val="47"/>
              <w:spacing w:line="240" w:lineRule="auto"/>
              <w:jc w:val="left"/>
              <w:rPr>
                <w:color w:val="0000FF"/>
                <w:sz w:val="13"/>
                <w:szCs w:val="13"/>
              </w:rPr>
            </w:pPr>
            <w:r>
              <w:rPr>
                <w:rFonts w:ascii="Times New Roman" w:hAnsi="Times New Roman" w:eastAsia="Times New Roman"/>
                <w:color w:val="0000FF"/>
                <w:sz w:val="13"/>
                <w:szCs w:val="13"/>
                <w:lang w:val="en-US" w:eastAsia="en-US" w:bidi="en-US"/>
              </w:rPr>
              <w:t>1.0</w:t>
            </w:r>
          </w:p>
        </w:tc>
        <w:tc>
          <w:tcPr>
            <w:tcW w:w="955"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H300X300</w:t>
            </w:r>
          </w:p>
        </w:tc>
        <w:tc>
          <w:tcPr>
            <w:tcW w:w="955"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8</w:t>
            </w:r>
            <w:r>
              <w:rPr>
                <w:color w:val="0000FF"/>
                <w:sz w:val="13"/>
                <w:szCs w:val="13"/>
              </w:rPr>
              <w:t>〜</w:t>
            </w:r>
            <w:r>
              <w:rPr>
                <w:rFonts w:ascii="Times New Roman" w:hAnsi="Times New Roman" w:eastAsia="Times New Roman"/>
                <w:color w:val="0000FF"/>
                <w:sz w:val="13"/>
                <w:szCs w:val="13"/>
              </w:rPr>
              <w:t>12</w:t>
            </w:r>
          </w:p>
        </w:tc>
        <w:tc>
          <w:tcPr>
            <w:tcW w:w="960"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H200X200</w:t>
            </w:r>
          </w:p>
        </w:tc>
        <w:tc>
          <w:tcPr>
            <w:tcW w:w="792"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 xml:space="preserve">2. </w:t>
            </w:r>
            <w:r>
              <w:rPr>
                <w:rFonts w:ascii="Times New Roman" w:hAnsi="Times New Roman" w:eastAsia="Times New Roman"/>
                <w:color w:val="0000FF"/>
                <w:sz w:val="13"/>
                <w:szCs w:val="13"/>
              </w:rPr>
              <w:t>5</w:t>
            </w:r>
          </w:p>
        </w:tc>
      </w:tr>
      <w:tr>
        <w:tblPrEx>
          <w:tblCellMar>
            <w:top w:w="0" w:type="dxa"/>
            <w:left w:w="10" w:type="dxa"/>
            <w:bottom w:w="0" w:type="dxa"/>
            <w:right w:w="10" w:type="dxa"/>
          </w:tblCellMar>
        </w:tblPrEx>
        <w:trPr>
          <w:trHeight w:val="475" w:hRule="exact"/>
          <w:jc w:val="center"/>
        </w:trPr>
        <w:tc>
          <w:tcPr>
            <w:tcW w:w="970"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850</w:t>
            </w:r>
          </w:p>
        </w:tc>
        <w:tc>
          <w:tcPr>
            <w:tcW w:w="797"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 xml:space="preserve">1-1. </w:t>
            </w:r>
            <w:r>
              <w:rPr>
                <w:rFonts w:ascii="Times New Roman" w:hAnsi="Times New Roman" w:eastAsia="Times New Roman"/>
                <w:color w:val="0000FF"/>
                <w:sz w:val="13"/>
                <w:szCs w:val="13"/>
              </w:rPr>
              <w:t>5</w:t>
            </w:r>
          </w:p>
        </w:tc>
        <w:tc>
          <w:tcPr>
            <w:tcW w:w="475" w:type="dxa"/>
            <w:tcBorders>
              <w:top w:val="single" w:color="auto" w:sz="4" w:space="0"/>
              <w:left w:val="single" w:color="auto" w:sz="4" w:space="0"/>
            </w:tcBorders>
            <w:shd w:val="clear" w:color="auto" w:fill="FFFFFF"/>
            <w:vAlign w:val="center"/>
          </w:tcPr>
          <w:p>
            <w:pPr>
              <w:pStyle w:val="47"/>
              <w:spacing w:line="240" w:lineRule="auto"/>
              <w:jc w:val="left"/>
              <w:rPr>
                <w:color w:val="0000FF"/>
                <w:sz w:val="13"/>
                <w:szCs w:val="13"/>
              </w:rPr>
            </w:pPr>
            <w:r>
              <w:rPr>
                <w:rFonts w:ascii="Times New Roman" w:hAnsi="Times New Roman" w:eastAsia="Times New Roman"/>
                <w:color w:val="0000FF"/>
                <w:sz w:val="13"/>
                <w:szCs w:val="13"/>
                <w:lang w:val="en-US" w:eastAsia="en-US" w:bidi="en-US"/>
              </w:rPr>
              <w:t>1. 2</w:t>
            </w:r>
          </w:p>
        </w:tc>
        <w:tc>
          <w:tcPr>
            <w:tcW w:w="955"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H350X350</w:t>
            </w:r>
          </w:p>
        </w:tc>
        <w:tc>
          <w:tcPr>
            <w:tcW w:w="955"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8</w:t>
            </w:r>
            <w:r>
              <w:rPr>
                <w:color w:val="0000FF"/>
                <w:sz w:val="13"/>
                <w:szCs w:val="13"/>
              </w:rPr>
              <w:t>〜</w:t>
            </w:r>
            <w:r>
              <w:rPr>
                <w:rFonts w:ascii="Times New Roman" w:hAnsi="Times New Roman" w:eastAsia="Times New Roman"/>
                <w:color w:val="0000FF"/>
                <w:sz w:val="13"/>
                <w:szCs w:val="13"/>
              </w:rPr>
              <w:t>12</w:t>
            </w:r>
          </w:p>
        </w:tc>
        <w:tc>
          <w:tcPr>
            <w:tcW w:w="960" w:type="dxa"/>
            <w:tcBorders>
              <w:top w:val="single" w:color="auto" w:sz="4" w:space="0"/>
              <w:lef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H200X200</w:t>
            </w:r>
          </w:p>
        </w:tc>
        <w:tc>
          <w:tcPr>
            <w:tcW w:w="792"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 xml:space="preserve">2. </w:t>
            </w:r>
            <w:r>
              <w:rPr>
                <w:rFonts w:ascii="Times New Roman" w:hAnsi="Times New Roman" w:eastAsia="Times New Roman"/>
                <w:color w:val="0000FF"/>
                <w:sz w:val="13"/>
                <w:szCs w:val="13"/>
              </w:rPr>
              <w:t>5</w:t>
            </w:r>
          </w:p>
        </w:tc>
      </w:tr>
      <w:tr>
        <w:tblPrEx>
          <w:tblCellMar>
            <w:top w:w="0" w:type="dxa"/>
            <w:left w:w="10" w:type="dxa"/>
            <w:bottom w:w="0" w:type="dxa"/>
            <w:right w:w="10" w:type="dxa"/>
          </w:tblCellMar>
        </w:tblPrEx>
        <w:trPr>
          <w:trHeight w:val="490" w:hRule="exact"/>
          <w:jc w:val="center"/>
        </w:trPr>
        <w:tc>
          <w:tcPr>
            <w:tcW w:w="970"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1000</w:t>
            </w:r>
          </w:p>
        </w:tc>
        <w:tc>
          <w:tcPr>
            <w:tcW w:w="797"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1-1.5</w:t>
            </w:r>
          </w:p>
        </w:tc>
        <w:tc>
          <w:tcPr>
            <w:tcW w:w="475" w:type="dxa"/>
            <w:tcBorders>
              <w:top w:val="single" w:color="auto" w:sz="4" w:space="0"/>
              <w:left w:val="single" w:color="auto" w:sz="4" w:space="0"/>
              <w:bottom w:val="single" w:color="auto" w:sz="4" w:space="0"/>
            </w:tcBorders>
            <w:shd w:val="clear" w:color="auto" w:fill="FFFFFF"/>
            <w:vAlign w:val="center"/>
          </w:tcPr>
          <w:p>
            <w:pPr>
              <w:pStyle w:val="47"/>
              <w:spacing w:line="240" w:lineRule="auto"/>
              <w:jc w:val="left"/>
              <w:rPr>
                <w:color w:val="0000FF"/>
                <w:sz w:val="13"/>
                <w:szCs w:val="13"/>
              </w:rPr>
            </w:pPr>
            <w:r>
              <w:rPr>
                <w:rFonts w:ascii="Times New Roman" w:hAnsi="Times New Roman" w:eastAsia="Times New Roman"/>
                <w:color w:val="0000FF"/>
                <w:sz w:val="13"/>
                <w:szCs w:val="13"/>
                <w:lang w:val="en-US" w:eastAsia="en-US" w:bidi="en-US"/>
              </w:rPr>
              <w:t>1.4</w:t>
            </w:r>
          </w:p>
        </w:tc>
        <w:tc>
          <w:tcPr>
            <w:tcW w:w="955"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H400X400</w:t>
            </w:r>
          </w:p>
        </w:tc>
        <w:tc>
          <w:tcPr>
            <w:tcW w:w="955"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rPr>
              <w:t>8</w:t>
            </w:r>
            <w:r>
              <w:rPr>
                <w:color w:val="0000FF"/>
                <w:sz w:val="13"/>
                <w:szCs w:val="13"/>
              </w:rPr>
              <w:t>〜</w:t>
            </w:r>
            <w:r>
              <w:rPr>
                <w:rFonts w:ascii="Times New Roman" w:hAnsi="Times New Roman" w:eastAsia="Times New Roman"/>
                <w:color w:val="0000FF"/>
                <w:sz w:val="13"/>
                <w:szCs w:val="13"/>
              </w:rPr>
              <w:t>12</w:t>
            </w:r>
          </w:p>
        </w:tc>
        <w:tc>
          <w:tcPr>
            <w:tcW w:w="960" w:type="dxa"/>
            <w:tcBorders>
              <w:top w:val="single" w:color="auto" w:sz="4" w:space="0"/>
              <w:left w:val="single" w:color="auto" w:sz="4" w:space="0"/>
              <w:bottom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H200X200</w:t>
            </w:r>
          </w:p>
        </w:tc>
        <w:tc>
          <w:tcPr>
            <w:tcW w:w="7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spacing w:line="240" w:lineRule="auto"/>
              <w:rPr>
                <w:color w:val="0000FF"/>
                <w:sz w:val="13"/>
                <w:szCs w:val="13"/>
              </w:rPr>
            </w:pPr>
            <w:r>
              <w:rPr>
                <w:rFonts w:ascii="Times New Roman" w:hAnsi="Times New Roman" w:eastAsia="Times New Roman"/>
                <w:color w:val="0000FF"/>
                <w:sz w:val="13"/>
                <w:szCs w:val="13"/>
                <w:lang w:val="en-US" w:eastAsia="en-US" w:bidi="en-US"/>
              </w:rPr>
              <w:t xml:space="preserve">2. </w:t>
            </w:r>
            <w:r>
              <w:rPr>
                <w:rFonts w:ascii="Times New Roman" w:hAnsi="Times New Roman" w:eastAsia="Times New Roman"/>
                <w:color w:val="0000FF"/>
                <w:sz w:val="13"/>
                <w:szCs w:val="13"/>
              </w:rPr>
              <w:t>5</w:t>
            </w:r>
          </w:p>
        </w:tc>
      </w:tr>
    </w:tbl>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8.3.26</w:t>
      </w:r>
      <w:r>
        <w:rPr>
          <w:color w:val="0000FF"/>
          <w:sz w:val="24"/>
          <w:szCs w:val="24"/>
        </w:rPr>
        <w:t>在正式施工前，按施工组织设计中的水泥浆液配合比与水泥土搅拌桩成墙工艺进行试成桩，是确定不同地质条件下适合的成桩工艺，确保工程质量的重要途径。通过试成桩确定实际成桩步骤、水泥浆液的水灰比、注浆泵工作流量、三轴搅拌机头下沉或提升速度及复搅速度，对地质条件复杂或重要工程是必需的。</w:t>
      </w:r>
    </w:p>
    <w:p>
      <w:pPr>
        <w:pStyle w:val="46"/>
        <w:spacing w:after="0" w:line="360" w:lineRule="auto"/>
        <w:ind w:left="0" w:firstLine="0"/>
        <w:outlineLvl w:val="9"/>
        <w:rPr>
          <w:rFonts w:hint="eastAsia" w:ascii="Times New Roman" w:hAnsi="Times New Roman" w:cs="Times New Roman"/>
          <w:b w:val="0"/>
          <w:bCs/>
          <w:color w:val="0000FF"/>
          <w:sz w:val="24"/>
          <w:szCs w:val="24"/>
          <w:lang w:val="en-US" w:eastAsia="zh-CN" w:bidi="ar-SA"/>
        </w:rPr>
      </w:pPr>
      <w:r>
        <w:rPr>
          <w:rFonts w:hint="eastAsia" w:ascii="Times New Roman" w:hAnsi="Times New Roman" w:cs="Times New Roman"/>
          <w:b/>
          <w:bCs w:val="0"/>
          <w:color w:val="0000FF"/>
          <w:sz w:val="24"/>
          <w:szCs w:val="24"/>
          <w:lang w:val="en-US" w:eastAsia="zh-CN" w:bidi="ar-SA"/>
        </w:rPr>
        <w:t>8.3.27</w:t>
      </w:r>
      <w:r>
        <w:rPr>
          <w:rFonts w:hint="eastAsia" w:ascii="Times New Roman" w:hAnsi="Times New Roman" w:cs="Times New Roman"/>
          <w:b w:val="0"/>
          <w:bCs/>
          <w:color w:val="0000FF"/>
          <w:sz w:val="24"/>
          <w:szCs w:val="24"/>
          <w:lang w:val="en-US" w:eastAsia="zh-CN" w:bidi="ar-SA"/>
        </w:rPr>
        <w:t xml:space="preserve">  H型钢定位装置详见图8.3.27。</w:t>
      </w:r>
    </w:p>
    <w:p>
      <w:pPr>
        <w:pStyle w:val="46"/>
        <w:spacing w:after="0" w:line="360" w:lineRule="auto"/>
        <w:ind w:left="0" w:firstLine="0"/>
        <w:rPr>
          <w:color w:val="0000FF"/>
        </w:rPr>
      </w:pPr>
      <w:r>
        <w:rPr>
          <w:rFonts w:hint="eastAsia"/>
          <w:color w:val="0000FF"/>
          <w:lang w:val="en-US" w:eastAsia="zh-CN"/>
        </w:rPr>
        <w:t xml:space="preserve">                     </w:t>
      </w:r>
      <w:r>
        <w:rPr>
          <w:color w:val="0000FF"/>
          <w:lang w:val="en-US" w:eastAsia="zh-CN" w:bidi="ar-SA"/>
        </w:rPr>
        <w:drawing>
          <wp:inline distT="0" distB="0" distL="114300" distR="114300">
            <wp:extent cx="2731135" cy="1115695"/>
            <wp:effectExtent l="0" t="0" r="12065" b="1905"/>
            <wp:docPr id="760" name="Picutre 53"/>
            <wp:cNvGraphicFramePr/>
            <a:graphic xmlns:a="http://schemas.openxmlformats.org/drawingml/2006/main">
              <a:graphicData uri="http://schemas.openxmlformats.org/drawingml/2006/picture">
                <pic:pic xmlns:pic="http://schemas.openxmlformats.org/drawingml/2006/picture">
                  <pic:nvPicPr>
                    <pic:cNvPr id="760" name="Picutre 53"/>
                    <pic:cNvPicPr/>
                  </pic:nvPicPr>
                  <pic:blipFill>
                    <a:blip r:embed="rId852"/>
                    <a:stretch>
                      <a:fillRect/>
                    </a:stretch>
                  </pic:blipFill>
                  <pic:spPr>
                    <a:xfrm>
                      <a:off x="0" y="0"/>
                      <a:ext cx="2731135" cy="1115695"/>
                    </a:xfrm>
                    <a:prstGeom prst="rect">
                      <a:avLst/>
                    </a:prstGeom>
                  </pic:spPr>
                </pic:pic>
              </a:graphicData>
            </a:graphic>
          </wp:inline>
        </w:drawing>
      </w:r>
    </w:p>
    <w:p>
      <w:pPr>
        <w:pStyle w:val="46"/>
        <w:spacing w:after="0" w:line="360" w:lineRule="auto"/>
        <w:ind w:left="0" w:firstLine="0"/>
        <w:rPr>
          <w:color w:val="0000FF"/>
        </w:rPr>
      </w:pPr>
    </w:p>
    <w:p>
      <w:pPr>
        <w:pStyle w:val="49"/>
        <w:spacing w:after="60"/>
        <w:rPr>
          <w:color w:val="0000FF"/>
          <w:sz w:val="18"/>
          <w:szCs w:val="18"/>
        </w:rPr>
      </w:pPr>
      <w:r>
        <w:rPr>
          <w:color w:val="0000FF"/>
          <w:sz w:val="18"/>
          <w:szCs w:val="18"/>
        </w:rPr>
        <w:t>图</w:t>
      </w:r>
      <w:r>
        <w:rPr>
          <w:rFonts w:hint="eastAsia" w:cs="Times New Roman"/>
          <w:color w:val="0000FF"/>
          <w:sz w:val="15"/>
          <w:szCs w:val="15"/>
          <w:lang w:val="en-US" w:eastAsia="zh-CN" w:bidi="zh-CN"/>
        </w:rPr>
        <w:t>8.3.27</w:t>
      </w:r>
      <w:r>
        <w:rPr>
          <w:rFonts w:ascii="Times New Roman" w:hAnsi="Times New Roman" w:eastAsia="Times New Roman" w:cs="Times New Roman"/>
          <w:color w:val="0000FF"/>
          <w:sz w:val="15"/>
          <w:szCs w:val="15"/>
          <w:lang w:val="zh-CN" w:eastAsia="zh-CN" w:bidi="zh-CN"/>
        </w:rPr>
        <w:t xml:space="preserve"> </w:t>
      </w:r>
      <w:r>
        <w:rPr>
          <w:rFonts w:ascii="Times New Roman" w:hAnsi="Times New Roman" w:eastAsia="Times New Roman" w:cs="Times New Roman"/>
          <w:color w:val="0000FF"/>
          <w:sz w:val="15"/>
          <w:szCs w:val="15"/>
          <w:lang w:val="en-US" w:eastAsia="zh-CN" w:bidi="en-US"/>
        </w:rPr>
        <w:t>H</w:t>
      </w:r>
      <w:r>
        <w:rPr>
          <w:color w:val="0000FF"/>
          <w:sz w:val="18"/>
          <w:szCs w:val="18"/>
        </w:rPr>
        <w:t>型钢定位装置参考</w:t>
      </w:r>
    </w:p>
    <w:p>
      <w:pPr>
        <w:pStyle w:val="49"/>
        <w:rPr>
          <w:color w:val="0000FF"/>
        </w:rPr>
      </w:pPr>
      <w:r>
        <w:rPr>
          <w:rFonts w:ascii="Times New Roman" w:hAnsi="Times New Roman" w:eastAsia="Times New Roman" w:cs="Times New Roman"/>
          <w:color w:val="0000FF"/>
          <w:sz w:val="13"/>
          <w:szCs w:val="13"/>
        </w:rPr>
        <w:t xml:space="preserve">1 </w:t>
      </w:r>
      <w:r>
        <w:rPr>
          <w:color w:val="0000FF"/>
          <w:sz w:val="16"/>
          <w:szCs w:val="16"/>
        </w:rPr>
        <w:t>•定位型钢；</w:t>
      </w:r>
      <w:r>
        <w:rPr>
          <w:rFonts w:ascii="Times New Roman" w:hAnsi="Times New Roman" w:eastAsia="Times New Roman" w:cs="Times New Roman"/>
          <w:color w:val="0000FF"/>
          <w:sz w:val="13"/>
          <w:szCs w:val="13"/>
        </w:rPr>
        <w:t>2</w:t>
      </w:r>
      <w:r>
        <w:rPr>
          <w:color w:val="0000FF"/>
          <w:sz w:val="16"/>
          <w:szCs w:val="16"/>
        </w:rPr>
        <w:t>-型钢定位卡</w:t>
      </w:r>
    </w:p>
    <w:p>
      <w:pPr>
        <w:pStyle w:val="46"/>
        <w:spacing w:after="0" w:line="360" w:lineRule="auto"/>
        <w:ind w:left="0" w:firstLine="0"/>
        <w:outlineLvl w:val="9"/>
        <w:rPr>
          <w:rFonts w:hint="eastAsia" w:ascii="Times New Roman" w:hAnsi="Times New Roman" w:cs="Times New Roman"/>
          <w:b w:val="0"/>
          <w:bCs/>
          <w:color w:val="0000FF"/>
          <w:sz w:val="24"/>
          <w:szCs w:val="24"/>
          <w:lang w:val="en-US" w:eastAsia="zh-CN" w:bidi="ar-SA"/>
        </w:rPr>
      </w:pPr>
      <w:r>
        <w:rPr>
          <w:rFonts w:hint="eastAsia" w:ascii="Times New Roman" w:hAnsi="Times New Roman" w:cs="Times New Roman"/>
          <w:b/>
          <w:bCs w:val="0"/>
          <w:color w:val="0000FF"/>
          <w:sz w:val="24"/>
          <w:szCs w:val="24"/>
          <w:lang w:val="en-US" w:eastAsia="zh-CN" w:bidi="ar-SA"/>
        </w:rPr>
        <w:t>8.3.28</w:t>
      </w:r>
      <w:r>
        <w:rPr>
          <w:rFonts w:hint="eastAsia" w:ascii="Times New Roman" w:hAnsi="Times New Roman" w:cs="Times New Roman"/>
          <w:b w:val="0"/>
          <w:bCs/>
          <w:color w:val="0000FF"/>
          <w:sz w:val="24"/>
          <w:szCs w:val="24"/>
          <w:lang w:val="en-US" w:eastAsia="zh-CN" w:bidi="ar-SA"/>
        </w:rPr>
        <w:t>桩架垂直度的控制主要是为了保证搅拌桩的垂直度。</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8.3.29~8.3.30</w:t>
      </w:r>
      <w:r>
        <w:rPr>
          <w:color w:val="0000FF"/>
          <w:sz w:val="24"/>
          <w:szCs w:val="24"/>
        </w:rPr>
        <w:t>对于相同性能的三轴搅拌机，降低下沉速度或提升速度 能增加水泥土的搅拌次数并提高水泥土的强度，但延长了施工时 间，降低了施工功效。在实际操作过程中，应根据不同的土性来确定搅拌下沉与提升速度。</w:t>
      </w:r>
    </w:p>
    <w:p>
      <w:pPr>
        <w:pStyle w:val="46"/>
        <w:spacing w:after="0" w:line="323" w:lineRule="exact"/>
        <w:ind w:left="0" w:firstLine="480" w:firstLineChars="200"/>
        <w:rPr>
          <w:color w:val="0000FF"/>
          <w:sz w:val="24"/>
          <w:szCs w:val="24"/>
        </w:rPr>
      </w:pPr>
      <w:r>
        <w:rPr>
          <w:color w:val="0000FF"/>
          <w:sz w:val="24"/>
          <w:szCs w:val="24"/>
        </w:rPr>
        <w:t>三轴搅拌桩施工一般有跳打方式、单侧挤压方式和先行钻孔套打方式。</w:t>
      </w:r>
    </w:p>
    <w:p>
      <w:pPr>
        <w:pStyle w:val="46"/>
        <w:spacing w:after="0" w:line="360" w:lineRule="auto"/>
        <w:ind w:left="0" w:firstLine="480" w:firstLineChars="200"/>
        <w:outlineLvl w:val="9"/>
        <w:rPr>
          <w:rFonts w:hint="eastAsia" w:ascii="Times New Roman" w:hAnsi="Times New Roman" w:cs="Times New Roman"/>
          <w:b w:val="0"/>
          <w:bCs/>
          <w:color w:val="0000FF"/>
          <w:sz w:val="24"/>
          <w:szCs w:val="24"/>
          <w:lang w:val="en-US" w:eastAsia="zh-CN" w:bidi="ar-SA"/>
        </w:rPr>
      </w:pPr>
      <w:r>
        <w:rPr>
          <w:rFonts w:hint="eastAsia" w:ascii="Times New Roman" w:hAnsi="Times New Roman" w:cs="Times New Roman"/>
          <w:b w:val="0"/>
          <w:bCs/>
          <w:color w:val="0000FF"/>
          <w:sz w:val="24"/>
          <w:szCs w:val="24"/>
          <w:lang w:val="en-US" w:eastAsia="zh-CN" w:bidi="ar-SA"/>
        </w:rPr>
        <w:t>1跳打方式</w:t>
      </w:r>
    </w:p>
    <w:p>
      <w:pPr>
        <w:pStyle w:val="46"/>
        <w:spacing w:after="0" w:line="360" w:lineRule="auto"/>
        <w:ind w:left="0" w:firstLine="480" w:firstLineChars="200"/>
        <w:rPr>
          <w:color w:val="0000FF"/>
          <w:sz w:val="24"/>
          <w:szCs w:val="24"/>
        </w:rPr>
      </w:pPr>
      <w:r>
        <w:rPr>
          <w:color w:val="0000FF"/>
          <w:sz w:val="24"/>
          <w:szCs w:val="24"/>
        </w:rPr>
        <w:t>该方式适用于</w:t>
      </w:r>
      <w:r>
        <w:rPr>
          <w:color w:val="0000FF"/>
          <w:sz w:val="24"/>
          <w:szCs w:val="24"/>
          <w:lang w:val="en-US" w:eastAsia="zh-CN" w:bidi="en-US"/>
        </w:rPr>
        <w:t xml:space="preserve">N </w:t>
      </w:r>
      <w:r>
        <w:rPr>
          <w:color w:val="0000FF"/>
          <w:sz w:val="24"/>
          <w:szCs w:val="24"/>
        </w:rPr>
        <w:t>（标贯基数）值30以下的土层，是常用的施工顺序（图</w:t>
      </w:r>
      <w:r>
        <w:rPr>
          <w:rFonts w:hint="eastAsia"/>
          <w:color w:val="0000FF"/>
          <w:sz w:val="24"/>
          <w:szCs w:val="24"/>
          <w:lang w:val="en-US" w:eastAsia="zh-CN"/>
        </w:rPr>
        <w:t>8.3.29.1</w:t>
      </w:r>
      <w:r>
        <w:rPr>
          <w:color w:val="0000FF"/>
          <w:sz w:val="24"/>
          <w:szCs w:val="24"/>
        </w:rPr>
        <w:t>）。先施工第一单元，然后施工第二单元，第三单元的</w:t>
      </w:r>
      <w:r>
        <w:rPr>
          <w:color w:val="0000FF"/>
          <w:sz w:val="24"/>
          <w:szCs w:val="24"/>
          <w:lang w:val="en-US" w:eastAsia="zh-CN" w:bidi="en-US"/>
        </w:rPr>
        <w:t>A</w:t>
      </w:r>
      <w:r>
        <w:rPr>
          <w:color w:val="0000FF"/>
          <w:sz w:val="24"/>
          <w:szCs w:val="24"/>
        </w:rPr>
        <w:t>轴和</w:t>
      </w:r>
      <w:r>
        <w:rPr>
          <w:color w:val="0000FF"/>
          <w:sz w:val="24"/>
          <w:szCs w:val="24"/>
          <w:lang w:val="en-US" w:eastAsia="zh-CN" w:bidi="en-US"/>
        </w:rPr>
        <w:t>C</w:t>
      </w:r>
      <w:r>
        <w:rPr>
          <w:color w:val="0000FF"/>
          <w:sz w:val="24"/>
          <w:szCs w:val="24"/>
        </w:rPr>
        <w:t>轴插入到第一单元的</w:t>
      </w:r>
      <w:r>
        <w:rPr>
          <w:color w:val="0000FF"/>
          <w:sz w:val="24"/>
          <w:szCs w:val="24"/>
          <w:lang w:val="en-US" w:eastAsia="zh-CN" w:bidi="en-US"/>
        </w:rPr>
        <w:t>C</w:t>
      </w:r>
      <w:r>
        <w:rPr>
          <w:color w:val="0000FF"/>
          <w:sz w:val="24"/>
          <w:szCs w:val="24"/>
        </w:rPr>
        <w:t>轴及第二单元的</w:t>
      </w:r>
      <w:r>
        <w:rPr>
          <w:color w:val="0000FF"/>
          <w:sz w:val="24"/>
          <w:szCs w:val="24"/>
          <w:lang w:val="en-US" w:eastAsia="zh-CN" w:bidi="en-US"/>
        </w:rPr>
        <w:t>A</w:t>
      </w:r>
      <w:r>
        <w:rPr>
          <w:color w:val="0000FF"/>
          <w:sz w:val="24"/>
          <w:szCs w:val="24"/>
        </w:rPr>
        <w:t>轴孔中，两端完全重叠。依此类推，施工完成水泥土搅拌桩。</w:t>
      </w:r>
    </w:p>
    <w:p>
      <w:pPr>
        <w:pStyle w:val="46"/>
        <w:spacing w:after="0" w:line="360" w:lineRule="auto"/>
        <w:ind w:left="0" w:firstLine="0"/>
        <w:rPr>
          <w:color w:val="0000FF"/>
          <w:sz w:val="24"/>
          <w:szCs w:val="24"/>
          <w:lang w:eastAsia="zh-CN"/>
        </w:rPr>
      </w:pPr>
      <w:r>
        <w:rPr>
          <w:rFonts w:hint="eastAsia"/>
          <w:color w:val="0000FF"/>
          <w:sz w:val="24"/>
          <w:szCs w:val="24"/>
          <w:lang w:val="en-US" w:eastAsia="zh-CN"/>
        </w:rPr>
        <w:t xml:space="preserve">           </w:t>
      </w:r>
      <w:r>
        <w:rPr>
          <w:rFonts w:hint="eastAsia"/>
          <w:color w:val="0000FF"/>
          <w:sz w:val="24"/>
          <w:szCs w:val="24"/>
          <w:lang w:val="en-US" w:eastAsia="zh-CN" w:bidi="ar-SA"/>
        </w:rPr>
        <w:drawing>
          <wp:inline distT="0" distB="0" distL="114300" distR="114300">
            <wp:extent cx="3975735" cy="1498600"/>
            <wp:effectExtent l="0" t="0" r="12065" b="0"/>
            <wp:docPr id="761" name="图片 761" descr="16828443958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1" name="图片 761" descr="1682844395812"/>
                    <pic:cNvPicPr>
                      <a:picLocks noChangeAspect="true"/>
                    </pic:cNvPicPr>
                  </pic:nvPicPr>
                  <pic:blipFill>
                    <a:blip r:embed="rId853"/>
                    <a:stretch>
                      <a:fillRect/>
                    </a:stretch>
                  </pic:blipFill>
                  <pic:spPr>
                    <a:xfrm>
                      <a:off x="0" y="0"/>
                      <a:ext cx="3975735" cy="1498600"/>
                    </a:xfrm>
                    <a:prstGeom prst="rect">
                      <a:avLst/>
                    </a:prstGeom>
                  </pic:spPr>
                </pic:pic>
              </a:graphicData>
            </a:graphic>
          </wp:inline>
        </w:drawing>
      </w:r>
    </w:p>
    <w:p>
      <w:pPr>
        <w:pStyle w:val="46"/>
        <w:spacing w:after="0" w:line="360" w:lineRule="auto"/>
        <w:ind w:left="0" w:firstLine="0"/>
        <w:rPr>
          <w:color w:val="0000FF"/>
          <w:sz w:val="24"/>
          <w:szCs w:val="24"/>
          <w:lang w:val="en-US" w:eastAsia="zh-CN"/>
        </w:rPr>
      </w:pPr>
      <w:r>
        <w:rPr>
          <w:rFonts w:hint="eastAsia"/>
          <w:color w:val="0000FF"/>
          <w:sz w:val="24"/>
          <w:szCs w:val="24"/>
          <w:lang w:val="en-US" w:eastAsia="zh-CN"/>
        </w:rPr>
        <w:t xml:space="preserve">                       图8.3.29.1 跳打方式施工顺序</w:t>
      </w:r>
    </w:p>
    <w:p>
      <w:pPr>
        <w:pStyle w:val="46"/>
        <w:spacing w:after="0" w:line="360" w:lineRule="auto"/>
        <w:ind w:left="0" w:firstLine="480" w:firstLineChars="200"/>
        <w:outlineLvl w:val="9"/>
        <w:rPr>
          <w:rFonts w:hint="eastAsia" w:ascii="Times New Roman" w:hAnsi="Times New Roman" w:cs="Times New Roman"/>
          <w:b w:val="0"/>
          <w:bCs/>
          <w:color w:val="0000FF"/>
          <w:sz w:val="24"/>
          <w:szCs w:val="24"/>
          <w:lang w:val="en-US" w:eastAsia="zh-CN" w:bidi="ar-SA"/>
        </w:rPr>
      </w:pPr>
      <w:r>
        <w:rPr>
          <w:rFonts w:hint="eastAsia" w:ascii="Times New Roman" w:hAnsi="Times New Roman" w:cs="Times New Roman"/>
          <w:b w:val="0"/>
          <w:bCs/>
          <w:color w:val="0000FF"/>
          <w:sz w:val="24"/>
          <w:szCs w:val="24"/>
          <w:lang w:val="zh-CN" w:eastAsia="zh-CN" w:bidi="ar-SA"/>
        </w:rPr>
        <w:t>2</w:t>
      </w:r>
      <w:r>
        <w:rPr>
          <w:rFonts w:hint="eastAsia" w:ascii="Times New Roman" w:hAnsi="Times New Roman" w:cs="Times New Roman"/>
          <w:b w:val="0"/>
          <w:bCs/>
          <w:color w:val="0000FF"/>
          <w:sz w:val="24"/>
          <w:szCs w:val="24"/>
          <w:lang w:val="en-US" w:eastAsia="zh-CN" w:bidi="ar-SA"/>
        </w:rPr>
        <w:t>单侧挤压方式</w:t>
      </w:r>
    </w:p>
    <w:p>
      <w:pPr>
        <w:pStyle w:val="46"/>
        <w:spacing w:after="80" w:line="360" w:lineRule="auto"/>
        <w:ind w:left="0"/>
        <w:rPr>
          <w:color w:val="0000FF"/>
          <w:sz w:val="24"/>
          <w:szCs w:val="24"/>
        </w:rPr>
      </w:pPr>
      <w:r>
        <w:rPr>
          <w:color w:val="0000FF"/>
          <w:sz w:val="24"/>
          <w:szCs w:val="24"/>
        </w:rPr>
        <w:t>该方式适用于</w:t>
      </w:r>
      <w:r>
        <w:rPr>
          <w:color w:val="0000FF"/>
          <w:sz w:val="24"/>
          <w:szCs w:val="24"/>
          <w:lang w:val="en-US" w:eastAsia="zh-CN" w:bidi="en-US"/>
        </w:rPr>
        <w:t>N</w:t>
      </w:r>
      <w:r>
        <w:rPr>
          <w:color w:val="0000FF"/>
          <w:sz w:val="24"/>
          <w:szCs w:val="24"/>
        </w:rPr>
        <w:t>值30以下的土层。受施工条件的限制，搅 拌桩机无法来回行走或搅拌桩转角处常用这种施工顺序（图</w:t>
      </w:r>
      <w:r>
        <w:rPr>
          <w:rFonts w:hint="eastAsia"/>
          <w:color w:val="0000FF"/>
          <w:sz w:val="24"/>
          <w:szCs w:val="24"/>
          <w:lang w:val="en-US" w:eastAsia="zh-CN"/>
        </w:rPr>
        <w:t>8.3.29.2</w:t>
      </w:r>
      <w:r>
        <w:rPr>
          <w:color w:val="0000FF"/>
          <w:sz w:val="24"/>
          <w:szCs w:val="24"/>
        </w:rPr>
        <w:t>）,先施工第一单元，第二单元的</w:t>
      </w:r>
      <w:r>
        <w:rPr>
          <w:color w:val="0000FF"/>
          <w:sz w:val="24"/>
          <w:szCs w:val="24"/>
          <w:lang w:val="en-US" w:eastAsia="zh-CN" w:bidi="en-US"/>
        </w:rPr>
        <w:t>A</w:t>
      </w:r>
      <w:r>
        <w:rPr>
          <w:color w:val="0000FF"/>
          <w:sz w:val="24"/>
          <w:szCs w:val="24"/>
        </w:rPr>
        <w:t>轴插入第一单元的</w:t>
      </w:r>
      <w:r>
        <w:rPr>
          <w:color w:val="0000FF"/>
          <w:sz w:val="24"/>
          <w:szCs w:val="24"/>
          <w:lang w:val="en-US" w:eastAsia="zh-CN" w:bidi="en-US"/>
        </w:rPr>
        <w:t>C</w:t>
      </w:r>
      <w:r>
        <w:rPr>
          <w:color w:val="0000FF"/>
          <w:sz w:val="24"/>
          <w:szCs w:val="24"/>
        </w:rPr>
        <w:t>轴中，边孔重叠施工，依此类推，施工完成水泥土搅拌桩。</w:t>
      </w:r>
    </w:p>
    <w:p>
      <w:pPr>
        <w:pStyle w:val="46"/>
        <w:spacing w:after="80" w:line="360" w:lineRule="auto"/>
        <w:ind w:left="0"/>
        <w:rPr>
          <w:color w:val="0000FF"/>
          <w:sz w:val="24"/>
          <w:szCs w:val="24"/>
          <w:lang w:eastAsia="zh-CN"/>
        </w:rPr>
      </w:pPr>
      <w:r>
        <w:rPr>
          <w:rFonts w:hint="eastAsia"/>
          <w:color w:val="0000FF"/>
          <w:sz w:val="24"/>
          <w:szCs w:val="24"/>
          <w:lang w:val="en-US" w:eastAsia="zh-CN"/>
        </w:rPr>
        <w:t xml:space="preserve">       </w:t>
      </w:r>
      <w:r>
        <w:rPr>
          <w:rFonts w:hint="eastAsia"/>
          <w:color w:val="0000FF"/>
          <w:sz w:val="24"/>
          <w:szCs w:val="24"/>
          <w:lang w:val="en-US" w:eastAsia="zh-CN" w:bidi="ar-SA"/>
        </w:rPr>
        <w:drawing>
          <wp:inline distT="0" distB="0" distL="114300" distR="114300">
            <wp:extent cx="4250055" cy="1513840"/>
            <wp:effectExtent l="0" t="0" r="4445" b="10160"/>
            <wp:docPr id="762" name="图片 762" descr="16828446812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2" name="图片 762" descr="1682844681235"/>
                    <pic:cNvPicPr>
                      <a:picLocks noChangeAspect="true"/>
                    </pic:cNvPicPr>
                  </pic:nvPicPr>
                  <pic:blipFill>
                    <a:blip r:embed="rId854"/>
                    <a:stretch>
                      <a:fillRect/>
                    </a:stretch>
                  </pic:blipFill>
                  <pic:spPr>
                    <a:xfrm>
                      <a:off x="0" y="0"/>
                      <a:ext cx="4250055" cy="1513840"/>
                    </a:xfrm>
                    <a:prstGeom prst="rect">
                      <a:avLst/>
                    </a:prstGeom>
                  </pic:spPr>
                </pic:pic>
              </a:graphicData>
            </a:graphic>
          </wp:inline>
        </w:drawing>
      </w:r>
    </w:p>
    <w:p>
      <w:pPr>
        <w:pStyle w:val="46"/>
        <w:spacing w:after="0" w:line="360" w:lineRule="auto"/>
        <w:ind w:left="0" w:firstLine="2880" w:firstLineChars="1200"/>
        <w:rPr>
          <w:color w:val="0000FF"/>
          <w:sz w:val="24"/>
          <w:szCs w:val="24"/>
          <w:lang w:val="en-US" w:eastAsia="zh-CN"/>
        </w:rPr>
      </w:pPr>
      <w:r>
        <w:rPr>
          <w:rFonts w:hint="eastAsia"/>
          <w:color w:val="0000FF"/>
          <w:sz w:val="24"/>
          <w:szCs w:val="24"/>
          <w:lang w:val="en-US" w:eastAsia="zh-CN"/>
        </w:rPr>
        <w:t xml:space="preserve">图8.3.29.2 </w:t>
      </w:r>
      <w:r>
        <w:rPr>
          <w:color w:val="0000FF"/>
          <w:sz w:val="24"/>
          <w:szCs w:val="24"/>
        </w:rPr>
        <w:t>单侧挤压方式</w:t>
      </w:r>
      <w:r>
        <w:rPr>
          <w:rFonts w:hint="eastAsia"/>
          <w:color w:val="0000FF"/>
          <w:sz w:val="24"/>
          <w:szCs w:val="24"/>
          <w:lang w:val="en-US" w:eastAsia="zh-CN"/>
        </w:rPr>
        <w:t>施工顺序</w:t>
      </w:r>
    </w:p>
    <w:p>
      <w:pPr>
        <w:pStyle w:val="46"/>
        <w:spacing w:after="0" w:line="360" w:lineRule="auto"/>
        <w:ind w:left="0" w:firstLine="480" w:firstLineChars="200"/>
        <w:outlineLvl w:val="9"/>
        <w:rPr>
          <w:rFonts w:hint="eastAsia" w:ascii="Times New Roman" w:hAnsi="Times New Roman" w:cs="Times New Roman"/>
          <w:b w:val="0"/>
          <w:bCs/>
          <w:color w:val="0000FF"/>
          <w:sz w:val="24"/>
          <w:szCs w:val="24"/>
          <w:lang w:val="en-US" w:eastAsia="zh-CN" w:bidi="ar-SA"/>
        </w:rPr>
      </w:pPr>
      <w:r>
        <w:rPr>
          <w:rFonts w:hint="eastAsia" w:ascii="Times New Roman" w:hAnsi="Times New Roman" w:cs="Times New Roman"/>
          <w:b w:val="0"/>
          <w:bCs/>
          <w:color w:val="0000FF"/>
          <w:sz w:val="24"/>
          <w:szCs w:val="24"/>
          <w:lang w:val="en-US" w:eastAsia="zh-CN" w:bidi="ar-SA"/>
        </w:rPr>
        <w:t>3 先行钻孔套打方式</w:t>
      </w:r>
    </w:p>
    <w:p>
      <w:pPr>
        <w:pStyle w:val="46"/>
        <w:spacing w:after="140" w:line="360" w:lineRule="auto"/>
        <w:ind w:left="0" w:firstLine="480" w:firstLineChars="200"/>
        <w:rPr>
          <w:color w:val="0000FF"/>
          <w:sz w:val="24"/>
          <w:szCs w:val="24"/>
          <w:lang w:eastAsia="zh-CN"/>
        </w:rPr>
      </w:pPr>
      <w:r>
        <w:rPr>
          <w:color w:val="0000FF"/>
          <w:sz w:val="24"/>
          <w:szCs w:val="24"/>
        </w:rPr>
        <w:t>适用于</w:t>
      </w:r>
      <w:r>
        <w:rPr>
          <w:color w:val="0000FF"/>
          <w:sz w:val="24"/>
          <w:szCs w:val="24"/>
          <w:lang w:val="en-US" w:eastAsia="zh-CN" w:bidi="en-US"/>
        </w:rPr>
        <w:t>N</w:t>
      </w:r>
      <w:r>
        <w:rPr>
          <w:color w:val="0000FF"/>
          <w:sz w:val="24"/>
          <w:szCs w:val="24"/>
        </w:rPr>
        <w:t>值30以上的硬质土层，在水泥土搅拌桩施工时</w:t>
      </w:r>
      <w:r>
        <w:rPr>
          <w:rFonts w:hint="eastAsia"/>
          <w:color w:val="0000FF"/>
          <w:sz w:val="24"/>
          <w:szCs w:val="24"/>
          <w:lang w:eastAsia="zh-CN"/>
        </w:rPr>
        <w:t>，</w:t>
      </w:r>
      <w:r>
        <w:rPr>
          <w:color w:val="0000FF"/>
          <w:sz w:val="24"/>
          <w:szCs w:val="24"/>
        </w:rPr>
        <w:t>用装备有大功率减速机的钻孔机，先行施工如图13所示的</w:t>
      </w:r>
      <w:r>
        <w:rPr>
          <w:color w:val="0000FF"/>
          <w:sz w:val="24"/>
          <w:szCs w:val="24"/>
          <w:lang w:val="en-US" w:eastAsia="zh-CN" w:bidi="en-US"/>
        </w:rPr>
        <w:t>al</w:t>
      </w:r>
      <w:r>
        <w:rPr>
          <w:rFonts w:hint="eastAsia"/>
          <w:color w:val="0000FF"/>
          <w:sz w:val="24"/>
          <w:szCs w:val="24"/>
          <w:lang w:val="en-US" w:eastAsia="zh-CN" w:bidi="en-US"/>
        </w:rPr>
        <w:t>、</w:t>
      </w:r>
      <w:r>
        <w:rPr>
          <w:color w:val="0000FF"/>
          <w:sz w:val="24"/>
          <w:szCs w:val="24"/>
          <w:lang w:val="en-US" w:eastAsia="zh-CN" w:bidi="en-US"/>
        </w:rPr>
        <w:t>a2、a3</w:t>
      </w:r>
      <w:r>
        <w:rPr>
          <w:color w:val="0000FF"/>
          <w:sz w:val="24"/>
          <w:szCs w:val="24"/>
        </w:rPr>
        <w:t>等孔，局部松散硬土层。然后用三轴搅拌机用跳打或单 侧挤压方式施工完成水泥土搅拌桩。搅拌桩直径与先行钻孔直径 关系参见表</w:t>
      </w:r>
      <w:r>
        <w:rPr>
          <w:rFonts w:hint="eastAsia"/>
          <w:color w:val="0000FF"/>
          <w:sz w:val="24"/>
          <w:szCs w:val="24"/>
          <w:lang w:val="en-US" w:eastAsia="zh-CN"/>
        </w:rPr>
        <w:t>8.3.29.3</w:t>
      </w:r>
      <w:r>
        <w:rPr>
          <w:color w:val="0000FF"/>
          <w:sz w:val="24"/>
          <w:szCs w:val="24"/>
        </w:rPr>
        <w:t>。先行钻孔施工松动土层时，可加入膨润土等外加剂加强孔壁稳定性。</w:t>
      </w:r>
    </w:p>
    <w:p>
      <w:pPr>
        <w:pStyle w:val="46"/>
        <w:spacing w:after="80" w:line="360" w:lineRule="auto"/>
        <w:ind w:left="0"/>
        <w:rPr>
          <w:color w:val="0000FF"/>
          <w:sz w:val="24"/>
          <w:szCs w:val="24"/>
          <w:lang w:eastAsia="zh-CN"/>
        </w:rPr>
      </w:pPr>
      <w:r>
        <w:rPr>
          <w:rFonts w:hint="eastAsia"/>
          <w:color w:val="0000FF"/>
          <w:sz w:val="24"/>
          <w:szCs w:val="24"/>
          <w:lang w:val="en-US" w:eastAsia="zh-CN" w:bidi="ar-SA"/>
        </w:rPr>
        <w:drawing>
          <wp:inline distT="0" distB="0" distL="114300" distR="114300">
            <wp:extent cx="4397375" cy="4236085"/>
            <wp:effectExtent l="0" t="0" r="9525" b="5715"/>
            <wp:docPr id="763" name="图片 763" descr="1682844750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3" name="图片 763" descr="1682844750138"/>
                    <pic:cNvPicPr>
                      <a:picLocks noChangeAspect="true"/>
                    </pic:cNvPicPr>
                  </pic:nvPicPr>
                  <pic:blipFill>
                    <a:blip r:embed="rId855"/>
                    <a:stretch>
                      <a:fillRect/>
                    </a:stretch>
                  </pic:blipFill>
                  <pic:spPr>
                    <a:xfrm>
                      <a:off x="0" y="0"/>
                      <a:ext cx="4397375" cy="4236085"/>
                    </a:xfrm>
                    <a:prstGeom prst="rect">
                      <a:avLst/>
                    </a:prstGeom>
                  </pic:spPr>
                </pic:pic>
              </a:graphicData>
            </a:graphic>
          </wp:inline>
        </w:drawing>
      </w:r>
    </w:p>
    <w:p>
      <w:pPr>
        <w:pStyle w:val="46"/>
        <w:spacing w:after="0" w:line="360" w:lineRule="auto"/>
        <w:ind w:left="0" w:firstLine="1620" w:firstLineChars="675"/>
        <w:rPr>
          <w:color w:val="0000FF"/>
          <w:sz w:val="24"/>
          <w:szCs w:val="24"/>
          <w:lang w:val="en-US" w:eastAsia="zh-CN"/>
        </w:rPr>
      </w:pPr>
      <w:r>
        <w:rPr>
          <w:rFonts w:hint="eastAsia"/>
          <w:color w:val="0000FF"/>
          <w:sz w:val="24"/>
          <w:szCs w:val="24"/>
          <w:lang w:val="en-US" w:eastAsia="zh-CN"/>
        </w:rPr>
        <w:t xml:space="preserve">图8.3.29.3 </w:t>
      </w:r>
      <w:r>
        <w:rPr>
          <w:rFonts w:hint="eastAsia"/>
          <w:color w:val="0000FF"/>
          <w:sz w:val="24"/>
          <w:szCs w:val="24"/>
          <w:lang w:eastAsia="zh-CN"/>
        </w:rPr>
        <w:t>先行钻孔套打</w:t>
      </w:r>
      <w:r>
        <w:rPr>
          <w:color w:val="0000FF"/>
          <w:sz w:val="24"/>
          <w:szCs w:val="24"/>
        </w:rPr>
        <w:t>方式</w:t>
      </w:r>
      <w:r>
        <w:rPr>
          <w:rFonts w:hint="eastAsia"/>
          <w:color w:val="0000FF"/>
          <w:sz w:val="24"/>
          <w:szCs w:val="24"/>
          <w:lang w:val="en-US" w:eastAsia="zh-CN"/>
        </w:rPr>
        <w:t>施工顺序</w:t>
      </w:r>
    </w:p>
    <w:p>
      <w:pPr>
        <w:pStyle w:val="46"/>
        <w:spacing w:after="80" w:line="360" w:lineRule="auto"/>
        <w:ind w:left="0"/>
        <w:rPr>
          <w:color w:val="0000FF"/>
          <w:sz w:val="24"/>
          <w:szCs w:val="24"/>
          <w:lang w:eastAsia="zh-CN"/>
        </w:rPr>
      </w:pPr>
    </w:p>
    <w:p>
      <w:pPr>
        <w:pStyle w:val="51"/>
        <w:ind w:left="1061" w:firstLine="1700" w:firstLineChars="1000"/>
        <w:jc w:val="left"/>
        <w:rPr>
          <w:color w:val="0000FF"/>
          <w:sz w:val="24"/>
          <w:szCs w:val="24"/>
          <w:lang w:eastAsia="zh-CN"/>
        </w:rPr>
      </w:pPr>
      <w:r>
        <w:rPr>
          <w:color w:val="0000FF"/>
          <w:sz w:val="17"/>
          <w:szCs w:val="17"/>
        </w:rPr>
        <w:t xml:space="preserve">搅拌桩直径与先行钻孔直径关系表 </w:t>
      </w:r>
      <w:r>
        <w:rPr>
          <w:rFonts w:ascii="Times New Roman" w:hAnsi="Times New Roman" w:eastAsia="Times New Roman" w:cs="Times New Roman"/>
          <w:b/>
          <w:bCs/>
          <w:color w:val="0000FF"/>
          <w:sz w:val="16"/>
          <w:szCs w:val="16"/>
          <w:lang w:val="en-US" w:eastAsia="zh-CN" w:bidi="en-US"/>
        </w:rPr>
        <w:t>（mm）</w:t>
      </w:r>
    </w:p>
    <w:tbl>
      <w:tblPr>
        <w:tblStyle w:val="32"/>
        <w:tblW w:w="0" w:type="auto"/>
        <w:jc w:val="center"/>
        <w:tblLayout w:type="fixed"/>
        <w:tblCellMar>
          <w:top w:w="0" w:type="dxa"/>
          <w:left w:w="10" w:type="dxa"/>
          <w:bottom w:w="0" w:type="dxa"/>
          <w:right w:w="10" w:type="dxa"/>
        </w:tblCellMar>
      </w:tblPr>
      <w:tblGrid>
        <w:gridCol w:w="1567"/>
        <w:gridCol w:w="1556"/>
        <w:gridCol w:w="1551"/>
        <w:gridCol w:w="1723"/>
      </w:tblGrid>
      <w:tr>
        <w:tblPrEx>
          <w:tblCellMar>
            <w:top w:w="0" w:type="dxa"/>
            <w:left w:w="10" w:type="dxa"/>
            <w:bottom w:w="0" w:type="dxa"/>
            <w:right w:w="10" w:type="dxa"/>
          </w:tblCellMar>
        </w:tblPrEx>
        <w:trPr>
          <w:trHeight w:val="597" w:hRule="exact"/>
          <w:jc w:val="center"/>
        </w:trPr>
        <w:tc>
          <w:tcPr>
            <w:tcW w:w="1567" w:type="dxa"/>
            <w:tcBorders>
              <w:top w:val="single" w:color="auto" w:sz="4" w:space="0"/>
              <w:left w:val="single" w:color="auto" w:sz="4" w:space="0"/>
            </w:tcBorders>
            <w:shd w:val="clear" w:color="auto" w:fill="FFFFFF"/>
            <w:vAlign w:val="center"/>
          </w:tcPr>
          <w:p>
            <w:pPr>
              <w:pStyle w:val="47"/>
              <w:spacing w:line="240" w:lineRule="auto"/>
              <w:rPr>
                <w:color w:val="0000FF"/>
                <w:sz w:val="18"/>
                <w:szCs w:val="18"/>
              </w:rPr>
            </w:pPr>
            <w:r>
              <w:rPr>
                <w:color w:val="0000FF"/>
                <w:sz w:val="18"/>
                <w:szCs w:val="18"/>
              </w:rPr>
              <w:t>搅拌桩直径</w:t>
            </w:r>
          </w:p>
        </w:tc>
        <w:tc>
          <w:tcPr>
            <w:tcW w:w="1556" w:type="dxa"/>
            <w:tcBorders>
              <w:top w:val="single" w:color="auto" w:sz="4" w:space="0"/>
              <w:left w:val="single" w:color="auto" w:sz="4" w:space="0"/>
            </w:tcBorders>
            <w:shd w:val="clear" w:color="auto" w:fill="FFFFFF"/>
            <w:vAlign w:val="center"/>
          </w:tcPr>
          <w:p>
            <w:pPr>
              <w:pStyle w:val="47"/>
              <w:spacing w:line="240" w:lineRule="auto"/>
              <w:rPr>
                <w:color w:val="0000FF"/>
                <w:sz w:val="18"/>
                <w:szCs w:val="18"/>
              </w:rPr>
            </w:pPr>
            <w:r>
              <w:rPr>
                <w:rFonts w:ascii="Times New Roman" w:hAnsi="Times New Roman" w:eastAsia="Times New Roman"/>
                <w:color w:val="0000FF"/>
                <w:sz w:val="18"/>
                <w:szCs w:val="18"/>
              </w:rPr>
              <w:t>650</w:t>
            </w:r>
          </w:p>
        </w:tc>
        <w:tc>
          <w:tcPr>
            <w:tcW w:w="1551" w:type="dxa"/>
            <w:tcBorders>
              <w:top w:val="single" w:color="auto" w:sz="4" w:space="0"/>
              <w:left w:val="single" w:color="auto" w:sz="4" w:space="0"/>
            </w:tcBorders>
            <w:shd w:val="clear" w:color="auto" w:fill="FFFFFF"/>
            <w:vAlign w:val="center"/>
          </w:tcPr>
          <w:p>
            <w:pPr>
              <w:pStyle w:val="47"/>
              <w:spacing w:line="240" w:lineRule="auto"/>
              <w:rPr>
                <w:color w:val="0000FF"/>
                <w:sz w:val="18"/>
                <w:szCs w:val="18"/>
              </w:rPr>
            </w:pPr>
            <w:r>
              <w:rPr>
                <w:rFonts w:ascii="Times New Roman" w:hAnsi="Times New Roman" w:eastAsia="Times New Roman"/>
                <w:color w:val="0000FF"/>
                <w:sz w:val="18"/>
                <w:szCs w:val="18"/>
              </w:rPr>
              <w:t>850</w:t>
            </w:r>
          </w:p>
        </w:tc>
        <w:tc>
          <w:tcPr>
            <w:tcW w:w="1723" w:type="dxa"/>
            <w:tcBorders>
              <w:top w:val="single" w:color="auto" w:sz="4" w:space="0"/>
              <w:left w:val="single" w:color="auto" w:sz="4" w:space="0"/>
              <w:right w:val="single" w:color="auto" w:sz="4" w:space="0"/>
            </w:tcBorders>
            <w:shd w:val="clear" w:color="auto" w:fill="FFFFFF"/>
            <w:vAlign w:val="center"/>
          </w:tcPr>
          <w:p>
            <w:pPr>
              <w:pStyle w:val="47"/>
              <w:spacing w:line="240" w:lineRule="auto"/>
              <w:rPr>
                <w:color w:val="0000FF"/>
                <w:sz w:val="18"/>
                <w:szCs w:val="18"/>
              </w:rPr>
            </w:pPr>
            <w:r>
              <w:rPr>
                <w:rFonts w:ascii="Times New Roman" w:hAnsi="Times New Roman" w:eastAsia="Times New Roman"/>
                <w:color w:val="0000FF"/>
                <w:sz w:val="18"/>
                <w:szCs w:val="18"/>
              </w:rPr>
              <w:t>1000</w:t>
            </w:r>
          </w:p>
        </w:tc>
      </w:tr>
      <w:tr>
        <w:tblPrEx>
          <w:tblCellMar>
            <w:top w:w="0" w:type="dxa"/>
            <w:left w:w="10" w:type="dxa"/>
            <w:bottom w:w="0" w:type="dxa"/>
            <w:right w:w="10" w:type="dxa"/>
          </w:tblCellMar>
        </w:tblPrEx>
        <w:trPr>
          <w:trHeight w:val="615" w:hRule="exact"/>
          <w:jc w:val="center"/>
        </w:trPr>
        <w:tc>
          <w:tcPr>
            <w:tcW w:w="1567" w:type="dxa"/>
            <w:tcBorders>
              <w:top w:val="single" w:color="auto" w:sz="4" w:space="0"/>
              <w:left w:val="single" w:color="auto" w:sz="4" w:space="0"/>
              <w:bottom w:val="single" w:color="auto" w:sz="4" w:space="0"/>
            </w:tcBorders>
            <w:shd w:val="clear" w:color="auto" w:fill="FFFFFF"/>
            <w:vAlign w:val="center"/>
          </w:tcPr>
          <w:p>
            <w:pPr>
              <w:pStyle w:val="47"/>
              <w:spacing w:line="360" w:lineRule="auto"/>
              <w:rPr>
                <w:color w:val="0000FF"/>
                <w:sz w:val="24"/>
                <w:szCs w:val="24"/>
              </w:rPr>
            </w:pPr>
            <w:r>
              <w:rPr>
                <w:color w:val="0000FF"/>
                <w:sz w:val="24"/>
                <w:szCs w:val="24"/>
              </w:rPr>
              <w:t>先行钻孔直径</w:t>
            </w:r>
          </w:p>
        </w:tc>
        <w:tc>
          <w:tcPr>
            <w:tcW w:w="1556" w:type="dxa"/>
            <w:tcBorders>
              <w:top w:val="single" w:color="auto" w:sz="4" w:space="0"/>
              <w:left w:val="single" w:color="auto" w:sz="4" w:space="0"/>
              <w:bottom w:val="single" w:color="auto" w:sz="4" w:space="0"/>
            </w:tcBorders>
            <w:shd w:val="clear" w:color="auto" w:fill="FFFFFF"/>
            <w:vAlign w:val="center"/>
          </w:tcPr>
          <w:p>
            <w:pPr>
              <w:pStyle w:val="47"/>
              <w:spacing w:line="360" w:lineRule="auto"/>
              <w:rPr>
                <w:color w:val="0000FF"/>
                <w:sz w:val="24"/>
                <w:szCs w:val="24"/>
              </w:rPr>
            </w:pPr>
            <w:r>
              <w:rPr>
                <w:rFonts w:ascii="Times New Roman" w:hAnsi="Times New Roman" w:eastAsia="Times New Roman"/>
                <w:color w:val="0000FF"/>
                <w:sz w:val="24"/>
                <w:szCs w:val="24"/>
              </w:rPr>
              <w:t>400</w:t>
            </w:r>
            <w:r>
              <w:rPr>
                <w:color w:val="0000FF"/>
                <w:sz w:val="24"/>
                <w:szCs w:val="24"/>
              </w:rPr>
              <w:t>〜</w:t>
            </w:r>
            <w:r>
              <w:rPr>
                <w:rFonts w:ascii="Times New Roman" w:hAnsi="Times New Roman" w:eastAsia="Times New Roman"/>
                <w:color w:val="0000FF"/>
                <w:sz w:val="24"/>
                <w:szCs w:val="24"/>
              </w:rPr>
              <w:t>650</w:t>
            </w:r>
          </w:p>
        </w:tc>
        <w:tc>
          <w:tcPr>
            <w:tcW w:w="1551" w:type="dxa"/>
            <w:tcBorders>
              <w:top w:val="single" w:color="auto" w:sz="4" w:space="0"/>
              <w:left w:val="single" w:color="auto" w:sz="4" w:space="0"/>
              <w:bottom w:val="single" w:color="auto" w:sz="4" w:space="0"/>
            </w:tcBorders>
            <w:shd w:val="clear" w:color="auto" w:fill="FFFFFF"/>
            <w:vAlign w:val="center"/>
          </w:tcPr>
          <w:p>
            <w:pPr>
              <w:pStyle w:val="47"/>
              <w:spacing w:line="360" w:lineRule="auto"/>
              <w:rPr>
                <w:color w:val="0000FF"/>
                <w:sz w:val="24"/>
                <w:szCs w:val="24"/>
              </w:rPr>
            </w:pPr>
            <w:r>
              <w:rPr>
                <w:rFonts w:ascii="Times New Roman" w:hAnsi="Times New Roman" w:eastAsia="Times New Roman"/>
                <w:color w:val="0000FF"/>
                <w:sz w:val="24"/>
                <w:szCs w:val="24"/>
              </w:rPr>
              <w:t>500</w:t>
            </w:r>
            <w:r>
              <w:rPr>
                <w:color w:val="0000FF"/>
                <w:sz w:val="24"/>
                <w:szCs w:val="24"/>
              </w:rPr>
              <w:t>〜</w:t>
            </w:r>
            <w:r>
              <w:rPr>
                <w:rFonts w:ascii="Times New Roman" w:hAnsi="Times New Roman" w:eastAsia="Times New Roman"/>
                <w:color w:val="0000FF"/>
                <w:sz w:val="24"/>
                <w:szCs w:val="24"/>
              </w:rPr>
              <w:t>850</w:t>
            </w:r>
          </w:p>
        </w:tc>
        <w:tc>
          <w:tcPr>
            <w:tcW w:w="172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spacing w:line="360" w:lineRule="auto"/>
              <w:rPr>
                <w:color w:val="0000FF"/>
                <w:sz w:val="24"/>
                <w:szCs w:val="24"/>
              </w:rPr>
            </w:pPr>
            <w:r>
              <w:rPr>
                <w:rFonts w:ascii="Times New Roman" w:hAnsi="Times New Roman" w:eastAsia="Times New Roman"/>
                <w:color w:val="0000FF"/>
                <w:sz w:val="24"/>
                <w:szCs w:val="24"/>
              </w:rPr>
              <w:t>700</w:t>
            </w:r>
            <w:r>
              <w:rPr>
                <w:color w:val="0000FF"/>
                <w:sz w:val="24"/>
                <w:szCs w:val="24"/>
              </w:rPr>
              <w:t>〜</w:t>
            </w:r>
            <w:r>
              <w:rPr>
                <w:rFonts w:ascii="Times New Roman" w:hAnsi="Times New Roman" w:eastAsia="Times New Roman"/>
                <w:color w:val="0000FF"/>
                <w:sz w:val="24"/>
                <w:szCs w:val="24"/>
              </w:rPr>
              <w:t>1000</w:t>
            </w:r>
          </w:p>
        </w:tc>
      </w:tr>
    </w:tbl>
    <w:p>
      <w:pPr>
        <w:pStyle w:val="46"/>
        <w:spacing w:after="14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8.3.37</w:t>
      </w:r>
      <w:r>
        <w:rPr>
          <w:color w:val="0000FF"/>
          <w:sz w:val="24"/>
          <w:szCs w:val="24"/>
        </w:rPr>
        <w:t>水泥土搅拌桩在黏性土层施工时，黏土易粘在搅拌头的叶片上，与叶片一起旋转，影响搅拌效果，俗称</w:t>
      </w:r>
      <w:r>
        <w:rPr>
          <w:color w:val="0000FF"/>
          <w:sz w:val="24"/>
          <w:szCs w:val="24"/>
          <w:lang w:val="zh-CN" w:eastAsia="zh-CN" w:bidi="zh-CN"/>
        </w:rPr>
        <w:t>“糊</w:t>
      </w:r>
      <w:r>
        <w:rPr>
          <w:color w:val="0000FF"/>
          <w:sz w:val="24"/>
          <w:szCs w:val="24"/>
        </w:rPr>
        <w:t>钻”。对此可使用添加外加剂（如分散剂），增加钻头上刮刀数量，及经常清理钻头与螺旋叶片上黏土的方法处理。在螺旋叶片上开孔的主要目的是减少黏土的粘附面积，从而减小粘附力。</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8.3.38</w:t>
      </w:r>
      <w:r>
        <w:rPr>
          <w:color w:val="0000FF"/>
          <w:sz w:val="24"/>
          <w:szCs w:val="24"/>
        </w:rPr>
        <w:t>如水灰比掌握适当，依靠自重型钢一般都能顺利插入。但在砂性较重的土层，搅拌桩底部易堆积较厚的砂土，宜釆用静力在一定的导向机构协助下将型钢插入到位。应避免采用自由落体式下插，这种方式不仅难以保证型钢的正确位置，还容易发生偏转，垂直度也不易确保。</w:t>
      </w:r>
    </w:p>
    <w:p>
      <w:pPr>
        <w:pStyle w:val="46"/>
        <w:spacing w:after="0" w:line="360" w:lineRule="auto"/>
        <w:ind w:left="0" w:firstLine="0"/>
        <w:rPr>
          <w:color w:val="0000FF"/>
          <w:sz w:val="24"/>
          <w:szCs w:val="24"/>
        </w:rPr>
      </w:pPr>
      <w:r>
        <w:rPr>
          <w:rFonts w:hint="eastAsia" w:ascii="Times New Roman" w:hAnsi="Times New Roman" w:cs="Times New Roman"/>
          <w:b/>
          <w:color w:val="0000FF"/>
          <w:sz w:val="24"/>
          <w:szCs w:val="24"/>
          <w:lang w:val="en-US" w:eastAsia="zh-CN" w:bidi="ar-SA"/>
        </w:rPr>
        <w:t>8.3.39</w:t>
      </w:r>
      <w:r>
        <w:rPr>
          <w:color w:val="0000FF"/>
          <w:sz w:val="24"/>
          <w:szCs w:val="24"/>
        </w:rPr>
        <w:t>在</w:t>
      </w:r>
      <w:r>
        <w:rPr>
          <w:color w:val="0000FF"/>
          <w:sz w:val="24"/>
          <w:szCs w:val="24"/>
          <w:lang w:val="en-US" w:eastAsia="zh-CN" w:bidi="en-US"/>
        </w:rPr>
        <w:t>H</w:t>
      </w:r>
      <w:r>
        <w:rPr>
          <w:color w:val="0000FF"/>
          <w:sz w:val="24"/>
          <w:szCs w:val="24"/>
        </w:rPr>
        <w:t>型钢表面涂抹减摩材料前，必须清除</w:t>
      </w:r>
      <w:r>
        <w:rPr>
          <w:color w:val="0000FF"/>
          <w:sz w:val="24"/>
          <w:szCs w:val="24"/>
          <w:lang w:val="en-US" w:eastAsia="zh-CN" w:bidi="en-US"/>
        </w:rPr>
        <w:t>H</w:t>
      </w:r>
      <w:r>
        <w:rPr>
          <w:color w:val="0000FF"/>
          <w:sz w:val="24"/>
          <w:szCs w:val="24"/>
        </w:rPr>
        <w:t>型钢表面铁锈和灰尘。减摩材料涂抹厚度大于</w:t>
      </w:r>
      <w:r>
        <w:rPr>
          <w:color w:val="0000FF"/>
          <w:sz w:val="24"/>
          <w:szCs w:val="24"/>
          <w:lang w:val="en-US" w:eastAsia="zh-CN" w:bidi="en-US"/>
        </w:rPr>
        <w:t>1mm,</w:t>
      </w:r>
      <w:r>
        <w:rPr>
          <w:color w:val="0000FF"/>
          <w:sz w:val="24"/>
          <w:szCs w:val="24"/>
        </w:rPr>
        <w:t>并涂抹均匀，以确保减摩材料层的粘结质量。</w:t>
      </w:r>
    </w:p>
    <w:p>
      <w:pPr>
        <w:pStyle w:val="46"/>
        <w:spacing w:after="140" w:line="360" w:lineRule="auto"/>
        <w:ind w:left="0" w:firstLine="480" w:firstLineChars="200"/>
        <w:rPr>
          <w:color w:val="0000FF"/>
          <w:sz w:val="24"/>
          <w:szCs w:val="24"/>
        </w:rPr>
      </w:pPr>
      <w:r>
        <w:rPr>
          <w:color w:val="0000FF"/>
          <w:sz w:val="24"/>
          <w:szCs w:val="24"/>
        </w:rPr>
        <w:t>将型钢表面的腰梁限位或支撑抗滑构件、焊疤等清除干净是为了使型钢能顺利拔出。</w:t>
      </w:r>
    </w:p>
    <w:p>
      <w:pPr>
        <w:pStyle w:val="46"/>
        <w:spacing w:after="0" w:line="360" w:lineRule="auto"/>
        <w:ind w:left="0" w:firstLine="480" w:firstLineChars="200"/>
        <w:rPr>
          <w:rFonts w:ascii="宋体" w:hAnsi="宋体" w:cs="宋体"/>
          <w:color w:val="000000"/>
          <w:szCs w:val="24"/>
          <w:lang w:bidi="zh-TW"/>
          <w14:textFill>
            <w14:gradFill>
              <w14:gsLst>
                <w14:gs w14:pos="0">
                  <w14:srgbClr w14:val="007BD3"/>
                </w14:gs>
                <w14:gs w14:pos="100000">
                  <w14:srgbClr w14:val="034373"/>
                </w14:gs>
              </w14:gsLst>
              <w14:lin w14:ang="0" w14:scaled="false"/>
            </w14:gradFill>
          </w14:textFill>
        </w:rPr>
      </w:pPr>
      <w:r>
        <w:rPr>
          <w:color w:val="0000FF"/>
          <w:sz w:val="24"/>
          <w:szCs w:val="24"/>
        </w:rPr>
        <w:t>型钢回收过程中，不论釆取何种方式来减少对周边环境的影响，影响还是存在的。因此，对周边环境保护要求特别高的工程，以不拔为宜。</w:t>
      </w:r>
    </w:p>
    <w:p>
      <w:pPr>
        <w:pStyle w:val="3"/>
        <w:bidi w:val="0"/>
      </w:pPr>
      <w:r>
        <w:t>8.</w:t>
      </w:r>
      <w:r>
        <w:rPr>
          <w:rFonts w:hint="eastAsia"/>
          <w:lang w:eastAsia="zh-CN"/>
        </w:rPr>
        <w:t>4</w:t>
      </w:r>
      <w:r>
        <w:rPr>
          <w:rFonts w:hint="eastAsia"/>
        </w:rPr>
        <w:t xml:space="preserve"> </w:t>
      </w:r>
      <w:r>
        <w:t xml:space="preserve"> </w:t>
      </w:r>
      <w:r>
        <w:rPr>
          <w:rFonts w:hint="eastAsia"/>
        </w:rPr>
        <w:t>地下连续墙</w:t>
      </w:r>
    </w:p>
    <w:p>
      <w:pPr>
        <w:bidi w:val="0"/>
        <w:jc w:val="center"/>
        <w:rPr>
          <w:b/>
          <w:bCs/>
          <w:sz w:val="28"/>
          <w:szCs w:val="24"/>
        </w:rPr>
      </w:pPr>
      <w:r>
        <w:rPr>
          <w:rFonts w:hint="eastAsia"/>
          <w:b/>
          <w:bCs/>
          <w:sz w:val="28"/>
          <w:szCs w:val="24"/>
        </w:rPr>
        <w:t>I</w:t>
      </w:r>
      <w:r>
        <w:rPr>
          <w:b/>
          <w:bCs/>
          <w:sz w:val="28"/>
          <w:szCs w:val="24"/>
        </w:rPr>
        <w:t xml:space="preserve"> </w:t>
      </w:r>
      <w:r>
        <w:rPr>
          <w:rFonts w:hint="eastAsia"/>
          <w:b/>
          <w:bCs/>
          <w:sz w:val="28"/>
          <w:szCs w:val="24"/>
        </w:rPr>
        <w:t>一般规定</w:t>
      </w:r>
    </w:p>
    <w:p>
      <w:pPr>
        <w:widowControl w:val="0"/>
        <w:tabs>
          <w:tab w:val="left" w:pos="540"/>
          <w:tab w:val="left" w:pos="720"/>
        </w:tabs>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 xml:space="preserve">.1 </w:t>
      </w:r>
      <w:r>
        <w:rPr>
          <w:rFonts w:hint="eastAsia" w:ascii="宋体" w:hAnsi="宋体"/>
        </w:rPr>
        <w:t>地下连续墙与内支撑（锚索）结合基坑支护设计与施工日渐增多，取得了较好的社会和经济效益。</w:t>
      </w:r>
      <w:r>
        <w:rPr>
          <w:rFonts w:hint="eastAsia" w:ascii="宋体" w:hAnsi="宋体"/>
          <w:color w:val="0000FF"/>
        </w:rPr>
        <w:t>已广泛应用于建筑与市政工程的基坑支护中。</w:t>
      </w:r>
      <w:r>
        <w:rPr>
          <w:rFonts w:hint="eastAsia" w:ascii="宋体" w:hAnsi="宋体"/>
        </w:rPr>
        <w:t>选择地下连续墙方案应综合考虑本条所指多方面的因素,避免在实施过程中对基坑周边环境造成破坏。如：在湿陷性黄土地区连续墙成槽湿作业、泥浆制备等造成的该地区土体的浸水影响；挖孔取土桩基的施工方式和顺序对支护体系的影响等。</w:t>
      </w:r>
    </w:p>
    <w:p>
      <w:pPr>
        <w:widowControl w:val="0"/>
        <w:tabs>
          <w:tab w:val="left" w:pos="540"/>
          <w:tab w:val="left" w:pos="720"/>
        </w:tabs>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 xml:space="preserve">.2 </w:t>
      </w:r>
      <w:r>
        <w:rPr>
          <w:rFonts w:hint="eastAsia" w:ascii="宋体" w:hAnsi="宋体"/>
        </w:rPr>
        <w:t>悬臂式地下连续墙支护多应用于规模较小的设备深基础基坑工程</w:t>
      </w:r>
      <w:r>
        <w:rPr>
          <w:rFonts w:hint="eastAsia"/>
        </w:rPr>
        <w:t>。</w:t>
      </w:r>
      <w:r>
        <w:rPr>
          <w:rFonts w:hint="eastAsia" w:ascii="宋体" w:hAnsi="宋体"/>
        </w:rPr>
        <w:t>地下连续墙-内支撑组合支护和地下连续墙-锚杆（索）组合支护多应用于地下多层的规模较大的深基础基坑工程。</w:t>
      </w:r>
    </w:p>
    <w:p>
      <w:pPr>
        <w:widowControl w:val="0"/>
        <w:tabs>
          <w:tab w:val="left" w:pos="540"/>
          <w:tab w:val="left" w:pos="720"/>
        </w:tabs>
        <w:spacing w:line="480" w:lineRule="exact"/>
        <w:rPr>
          <w:rFonts w:ascii="宋体" w:hAnsi="宋体"/>
        </w:rPr>
      </w:pPr>
      <w:r>
        <w:rPr>
          <w:rFonts w:hint="eastAsia" w:ascii="Times New Roman" w:hAnsi="Times New Roman"/>
          <w:b/>
        </w:rPr>
        <w:t>8.</w:t>
      </w:r>
      <w:r>
        <w:rPr>
          <w:rFonts w:hint="eastAsia" w:ascii="Times New Roman" w:hAnsi="Times New Roman"/>
          <w:b/>
          <w:color w:val="0000FF"/>
          <w:lang w:val="en-US" w:eastAsia="zh-CN"/>
        </w:rPr>
        <w:t>4</w:t>
      </w:r>
      <w:r>
        <w:rPr>
          <w:rFonts w:hint="eastAsia" w:ascii="Times New Roman" w:hAnsi="Times New Roman"/>
          <w:b/>
        </w:rPr>
        <w:t>.3</w:t>
      </w:r>
      <w:r>
        <w:rPr>
          <w:rFonts w:hint="eastAsia" w:ascii="宋体" w:hAnsi="宋体"/>
          <w:b/>
        </w:rPr>
        <w:t xml:space="preserve"> </w:t>
      </w:r>
      <w:r>
        <w:rPr>
          <w:rFonts w:hint="eastAsia" w:ascii="宋体" w:hAnsi="宋体"/>
        </w:rPr>
        <w:t>以下两种情况可将地下水位以下的连续墙兼做截水帷幕</w:t>
      </w:r>
    </w:p>
    <w:p>
      <w:pPr>
        <w:widowControl w:val="0"/>
        <w:tabs>
          <w:tab w:val="left" w:pos="540"/>
          <w:tab w:val="left" w:pos="720"/>
        </w:tabs>
        <w:spacing w:line="480" w:lineRule="exact"/>
        <w:ind w:firstLine="480" w:firstLineChars="200"/>
        <w:rPr>
          <w:rFonts w:ascii="宋体" w:hAnsi="宋体"/>
        </w:rPr>
      </w:pPr>
      <w:r>
        <w:rPr>
          <w:rFonts w:hint="eastAsia" w:ascii="Times New Roman" w:hAnsi="Times New Roman"/>
        </w:rPr>
        <w:t>1</w:t>
      </w:r>
      <w:r>
        <w:rPr>
          <w:rFonts w:hint="eastAsia" w:ascii="宋体" w:hAnsi="宋体"/>
        </w:rPr>
        <w:t xml:space="preserve"> 连续墙深度已超出需设的截水帷幕桩长度；</w:t>
      </w:r>
    </w:p>
    <w:p>
      <w:pPr>
        <w:widowControl w:val="0"/>
        <w:tabs>
          <w:tab w:val="left" w:pos="540"/>
          <w:tab w:val="left" w:pos="720"/>
        </w:tabs>
        <w:spacing w:line="480" w:lineRule="exact"/>
        <w:ind w:firstLine="480" w:firstLineChars="200"/>
        <w:rPr>
          <w:rFonts w:ascii="宋体" w:hAnsi="宋体"/>
        </w:rPr>
      </w:pPr>
      <w:r>
        <w:rPr>
          <w:rFonts w:hint="eastAsia" w:ascii="宋体" w:hAnsi="宋体"/>
        </w:rPr>
        <w:t>2 截水帷幕桩可实施深度不能满足工程截水要求。</w:t>
      </w:r>
    </w:p>
    <w:p>
      <w:pPr>
        <w:widowControl w:val="0"/>
        <w:spacing w:line="480" w:lineRule="exact"/>
        <w:jc w:val="center"/>
        <w:rPr>
          <w:rFonts w:hint="eastAsia" w:ascii="宋体" w:hAnsi="宋体"/>
          <w:b/>
        </w:rPr>
      </w:pPr>
      <w:r>
        <w:rPr>
          <w:rFonts w:hint="eastAsia" w:ascii="宋体" w:hAnsi="宋体"/>
          <w:b/>
        </w:rPr>
        <w:t>Ⅱ 设计计算</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w:t>
      </w:r>
      <w:r>
        <w:rPr>
          <w:rFonts w:hint="eastAsia" w:ascii="Times New Roman" w:hAnsi="Times New Roman"/>
          <w:b/>
          <w:lang w:val="en-US" w:eastAsia="zh-CN"/>
        </w:rPr>
        <w:t>4</w:t>
      </w:r>
      <w:r>
        <w:rPr>
          <w:rFonts w:hint="eastAsia" w:ascii="Times New Roman" w:hAnsi="Times New Roman"/>
          <w:b/>
        </w:rPr>
        <w:t xml:space="preserve"> </w:t>
      </w:r>
      <w:r>
        <w:rPr>
          <w:rFonts w:hint="eastAsia" w:ascii="宋体" w:hAnsi="宋体"/>
        </w:rPr>
        <w:t>对于地下连续墙-内支撑组合支护和地下连续墙-锚杆（索）组合支护的复杂基坑工程除应做本条所述的计算内容外，尚应利用空间整体分析软件做整体协同分析。</w:t>
      </w:r>
    </w:p>
    <w:p>
      <w:pPr>
        <w:widowControl w:val="0"/>
        <w:spacing w:line="480" w:lineRule="exact"/>
        <w:jc w:val="center"/>
        <w:rPr>
          <w:rFonts w:hint="eastAsia" w:ascii="宋体" w:hAnsi="宋体"/>
          <w:b/>
        </w:rPr>
      </w:pPr>
      <w:r>
        <w:rPr>
          <w:rFonts w:hint="eastAsia" w:ascii="宋体" w:hAnsi="宋体"/>
          <w:b/>
        </w:rPr>
        <w:t>Ⅲ 构造要求</w:t>
      </w:r>
    </w:p>
    <w:p>
      <w:pPr>
        <w:widowControl w:val="0"/>
        <w:spacing w:line="480" w:lineRule="exact"/>
        <w:rPr>
          <w:rFonts w:ascii="Times New Roman" w:hAnsi="Times New Roman"/>
          <w:b/>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 xml:space="preserve">.6 </w:t>
      </w:r>
      <w:r>
        <w:rPr>
          <w:rFonts w:hint="eastAsia" w:ascii="宋体" w:hAnsi="宋体"/>
        </w:rPr>
        <w:t>对于基坑周边环境要求高、连续墙槽段深度大、槽段形状复杂的基坑工程，应通过验算槽壁的稳定性来划分槽段的长度并以此选择相适应的成槽设备和工艺。</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.7</w:t>
      </w:r>
      <w:r>
        <w:rPr>
          <w:rFonts w:hint="eastAsia" w:ascii="宋体" w:hAnsi="宋体"/>
        </w:rPr>
        <w:t>适用于地下连续墙兼做主体结构的支护工程以及不易成槽的地下连续墙基坑工程。</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val="en-US" w:eastAsia="zh-CN"/>
        </w:rPr>
        <w:t>4</w:t>
      </w:r>
      <w:r>
        <w:rPr>
          <w:rFonts w:hint="eastAsia" w:ascii="Times New Roman" w:hAnsi="Times New Roman"/>
          <w:b/>
        </w:rPr>
        <w:t>.8</w:t>
      </w:r>
      <w:r>
        <w:rPr>
          <w:rFonts w:hint="eastAsia" w:ascii="宋体" w:hAnsi="宋体"/>
        </w:rPr>
        <w:t xml:space="preserve"> 地下连续墙施工常用接头方式：</w:t>
      </w:r>
    </w:p>
    <w:p>
      <w:pPr>
        <w:widowControl w:val="0"/>
        <w:spacing w:line="480" w:lineRule="exact"/>
        <w:jc w:val="center"/>
        <w:rPr>
          <w:rFonts w:ascii="宋体" w:hAnsi="宋体"/>
        </w:rPr>
      </w:pPr>
      <w:r>
        <w:drawing>
          <wp:anchor distT="0" distB="0" distL="114300" distR="114300" simplePos="0" relativeHeight="251685888" behindDoc="1" locked="0" layoutInCell="1" allowOverlap="1">
            <wp:simplePos x="0" y="0"/>
            <wp:positionH relativeFrom="column">
              <wp:posOffset>228600</wp:posOffset>
            </wp:positionH>
            <wp:positionV relativeFrom="paragraph">
              <wp:posOffset>71120</wp:posOffset>
            </wp:positionV>
            <wp:extent cx="5638800" cy="1818005"/>
            <wp:effectExtent l="0" t="0" r="0" b="10795"/>
            <wp:wrapTight wrapText="bothSides">
              <wp:wrapPolygon>
                <wp:start x="0" y="0"/>
                <wp:lineTo x="0" y="21426"/>
                <wp:lineTo x="21551" y="21426"/>
                <wp:lineTo x="21551" y="0"/>
                <wp:lineTo x="0" y="0"/>
              </wp:wrapPolygon>
            </wp:wrapTight>
            <wp:docPr id="764" name="图片 12" descr="条文说明图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4" name="图片 12" descr="条文说明图8"/>
                    <pic:cNvPicPr>
                      <a:picLocks noChangeAspect="true"/>
                    </pic:cNvPicPr>
                  </pic:nvPicPr>
                  <pic:blipFill>
                    <a:blip r:embed="rId856"/>
                    <a:stretch>
                      <a:fillRect/>
                    </a:stretch>
                  </pic:blipFill>
                  <pic:spPr>
                    <a:xfrm>
                      <a:off x="0" y="0"/>
                      <a:ext cx="5638800" cy="1818005"/>
                    </a:xfrm>
                    <a:prstGeom prst="rect">
                      <a:avLst/>
                    </a:prstGeom>
                    <a:noFill/>
                    <a:ln>
                      <a:noFill/>
                    </a:ln>
                  </pic:spPr>
                </pic:pic>
              </a:graphicData>
            </a:graphic>
          </wp:anchor>
        </w:drawing>
      </w:r>
    </w:p>
    <w:p>
      <w:pPr>
        <w:widowControl w:val="0"/>
        <w:spacing w:line="480" w:lineRule="exact"/>
        <w:jc w:val="center"/>
        <w:rPr>
          <w:rFonts w:ascii="宋体" w:hAnsi="宋体"/>
        </w:rPr>
      </w:pPr>
    </w:p>
    <w:p>
      <w:pPr>
        <w:widowControl w:val="0"/>
        <w:spacing w:line="480" w:lineRule="exact"/>
        <w:rPr>
          <w:rFonts w:ascii="宋体" w:hAnsi="宋体"/>
        </w:rPr>
      </w:pPr>
    </w:p>
    <w:p>
      <w:pPr>
        <w:widowControl w:val="0"/>
        <w:spacing w:line="480" w:lineRule="exact"/>
        <w:rPr>
          <w:rFonts w:ascii="宋体" w:hAnsi="宋体"/>
        </w:rPr>
      </w:pPr>
    </w:p>
    <w:p>
      <w:pPr>
        <w:widowControl w:val="0"/>
        <w:spacing w:line="480" w:lineRule="exact"/>
        <w:jc w:val="center"/>
        <w:rPr>
          <w:rFonts w:ascii="宋体" w:hAnsi="宋体"/>
          <w:sz w:val="21"/>
          <w:szCs w:val="21"/>
        </w:rPr>
      </w:pPr>
      <w:r>
        <w:rPr>
          <w:rFonts w:hint="eastAsia" w:ascii="宋体" w:hAnsi="宋体"/>
          <w:sz w:val="21"/>
          <w:szCs w:val="21"/>
        </w:rPr>
        <w:t>图</w:t>
      </w:r>
      <w:r>
        <w:rPr>
          <w:rFonts w:hint="eastAsia" w:ascii="Times New Roman" w:hAnsi="Times New Roman"/>
          <w:sz w:val="21"/>
          <w:szCs w:val="21"/>
        </w:rPr>
        <w:t>8</w:t>
      </w:r>
      <w:r>
        <w:rPr>
          <w:rFonts w:hint="eastAsia" w:ascii="宋体" w:hAnsi="宋体"/>
          <w:sz w:val="21"/>
          <w:szCs w:val="21"/>
        </w:rPr>
        <w:t>.</w:t>
      </w:r>
      <w:r>
        <w:rPr>
          <w:rFonts w:hint="eastAsia" w:ascii="Times New Roman" w:hAnsi="Times New Roman"/>
          <w:sz w:val="21"/>
          <w:szCs w:val="21"/>
        </w:rPr>
        <w:t>2</w:t>
      </w:r>
      <w:r>
        <w:rPr>
          <w:rFonts w:hint="eastAsia" w:ascii="宋体" w:hAnsi="宋体"/>
          <w:sz w:val="21"/>
          <w:szCs w:val="21"/>
        </w:rPr>
        <w:t>.</w:t>
      </w:r>
      <w:r>
        <w:rPr>
          <w:rFonts w:hint="eastAsia" w:ascii="Times New Roman" w:hAnsi="Times New Roman"/>
          <w:sz w:val="21"/>
          <w:szCs w:val="21"/>
        </w:rPr>
        <w:t xml:space="preserve"> 8</w:t>
      </w:r>
      <w:r>
        <w:rPr>
          <w:rFonts w:hint="eastAsia" w:ascii="宋体" w:hAnsi="宋体"/>
          <w:sz w:val="21"/>
          <w:szCs w:val="21"/>
        </w:rPr>
        <w:t>.a 地下连续墙柔性接头</w:t>
      </w:r>
    </w:p>
    <w:p>
      <w:pPr>
        <w:widowControl w:val="0"/>
        <w:spacing w:line="480" w:lineRule="exact"/>
        <w:jc w:val="center"/>
        <w:rPr>
          <w:rFonts w:ascii="宋体" w:hAnsi="宋体"/>
          <w:sz w:val="21"/>
          <w:szCs w:val="21"/>
        </w:rPr>
      </w:pPr>
      <w:r>
        <w:rPr>
          <w:rFonts w:hint="eastAsia" w:ascii="宋体" w:hAnsi="宋体"/>
          <w:sz w:val="21"/>
          <w:szCs w:val="21"/>
        </w:rPr>
        <w:t>(a)圆形锁头管接头   (b)波形管接头    (c)楔形接头   (d)型钢接头</w:t>
      </w:r>
    </w:p>
    <w:p>
      <w:pPr>
        <w:widowControl w:val="0"/>
        <w:spacing w:line="480" w:lineRule="exact"/>
        <w:jc w:val="center"/>
        <w:rPr>
          <w:rFonts w:ascii="宋体" w:hAnsi="宋体"/>
          <w:sz w:val="21"/>
          <w:szCs w:val="21"/>
        </w:rPr>
      </w:pPr>
      <w:r>
        <w:rPr>
          <w:rFonts w:hint="eastAsia" w:ascii="宋体" w:hAnsi="宋体"/>
          <w:sz w:val="21"/>
          <w:szCs w:val="21"/>
        </w:rPr>
        <w:drawing>
          <wp:anchor distT="0" distB="0" distL="114300" distR="114300" simplePos="0" relativeHeight="251684864" behindDoc="1" locked="0" layoutInCell="1" allowOverlap="1">
            <wp:simplePos x="0" y="0"/>
            <wp:positionH relativeFrom="column">
              <wp:posOffset>76200</wp:posOffset>
            </wp:positionH>
            <wp:positionV relativeFrom="paragraph">
              <wp:posOffset>252730</wp:posOffset>
            </wp:positionV>
            <wp:extent cx="6045835" cy="1264285"/>
            <wp:effectExtent l="0" t="0" r="12065" b="5715"/>
            <wp:wrapTight wrapText="bothSides">
              <wp:wrapPolygon>
                <wp:start x="0" y="0"/>
                <wp:lineTo x="0" y="21481"/>
                <wp:lineTo x="21552" y="21481"/>
                <wp:lineTo x="21552" y="0"/>
                <wp:lineTo x="0" y="0"/>
              </wp:wrapPolygon>
            </wp:wrapTight>
            <wp:docPr id="76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5" name="图片 13"/>
                    <pic:cNvPicPr>
                      <a:picLocks noChangeAspect="true"/>
                    </pic:cNvPicPr>
                  </pic:nvPicPr>
                  <pic:blipFill>
                    <a:blip r:embed="rId857"/>
                    <a:stretch>
                      <a:fillRect/>
                    </a:stretch>
                  </pic:blipFill>
                  <pic:spPr>
                    <a:xfrm>
                      <a:off x="0" y="0"/>
                      <a:ext cx="6045835" cy="1264285"/>
                    </a:xfrm>
                    <a:prstGeom prst="rect">
                      <a:avLst/>
                    </a:prstGeom>
                    <a:noFill/>
                    <a:ln>
                      <a:noFill/>
                    </a:ln>
                  </pic:spPr>
                </pic:pic>
              </a:graphicData>
            </a:graphic>
          </wp:anchor>
        </w:drawing>
      </w:r>
      <w:r>
        <w:rPr>
          <w:rFonts w:hint="eastAsia" w:ascii="宋体" w:hAnsi="宋体"/>
          <w:sz w:val="21"/>
          <w:szCs w:val="21"/>
        </w:rPr>
        <w:t xml:space="preserve"> 图</w:t>
      </w:r>
      <w:r>
        <w:rPr>
          <w:rFonts w:hint="eastAsia" w:ascii="Times New Roman" w:hAnsi="Times New Roman"/>
          <w:sz w:val="21"/>
          <w:szCs w:val="21"/>
        </w:rPr>
        <w:t>8</w:t>
      </w:r>
      <w:r>
        <w:rPr>
          <w:rFonts w:hint="eastAsia" w:ascii="宋体" w:hAnsi="宋体"/>
          <w:sz w:val="21"/>
          <w:szCs w:val="21"/>
        </w:rPr>
        <w:t>.</w:t>
      </w:r>
      <w:r>
        <w:rPr>
          <w:rFonts w:hint="eastAsia" w:ascii="Times New Roman" w:hAnsi="Times New Roman"/>
          <w:sz w:val="21"/>
          <w:szCs w:val="21"/>
        </w:rPr>
        <w:t>2</w:t>
      </w:r>
      <w:r>
        <w:rPr>
          <w:rFonts w:hint="eastAsia" w:ascii="宋体" w:hAnsi="宋体"/>
          <w:sz w:val="21"/>
          <w:szCs w:val="21"/>
        </w:rPr>
        <w:t>.</w:t>
      </w:r>
      <w:r>
        <w:rPr>
          <w:rFonts w:hint="eastAsia" w:ascii="Times New Roman" w:hAnsi="Times New Roman"/>
          <w:sz w:val="21"/>
          <w:szCs w:val="21"/>
        </w:rPr>
        <w:t>8</w:t>
      </w:r>
      <w:r>
        <w:rPr>
          <w:rFonts w:hint="eastAsia" w:ascii="宋体" w:hAnsi="宋体"/>
          <w:sz w:val="21"/>
          <w:szCs w:val="21"/>
        </w:rPr>
        <w:t>.b 地下连续墙刚性接头</w:t>
      </w:r>
    </w:p>
    <w:p>
      <w:pPr>
        <w:bidi w:val="0"/>
        <w:jc w:val="center"/>
        <w:outlineLvl w:val="9"/>
      </w:pPr>
      <w:r>
        <w:rPr>
          <w:rFonts w:hint="eastAsia"/>
        </w:rPr>
        <w:t>(a)十字型穿孔钢板、十字星钢板刚性接头   (b)钢筋型刚性接头</w:t>
      </w:r>
    </w:p>
    <w:p>
      <w:pPr>
        <w:widowControl w:val="0"/>
        <w:spacing w:line="480" w:lineRule="exact"/>
        <w:rPr>
          <w:rFonts w:ascii="宋体" w:hAnsi="宋体"/>
        </w:rPr>
      </w:pPr>
      <w:r>
        <w:rPr>
          <w:rFonts w:hint="eastAsia" w:ascii="Times New Roman" w:hAnsi="Times New Roman"/>
          <w:b/>
        </w:rPr>
        <w:t xml:space="preserve">    </w:t>
      </w:r>
      <w:r>
        <w:rPr>
          <w:rFonts w:hint="eastAsia" w:ascii="宋体" w:hAnsi="宋体"/>
        </w:rPr>
        <w:t>对于一般纯支护用途的地下连续墙宜采用柔性接头，对于根据受力特性需形成整体或兼做主体结构外墙的工程应采用刚性接头。</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.10</w:t>
      </w:r>
      <w:r>
        <w:rPr>
          <w:rFonts w:hint="eastAsia" w:ascii="宋体" w:hAnsi="宋体"/>
        </w:rPr>
        <w:t xml:space="preserve"> 地下连续墙纵向钢筋宜沿墙身均匀布置，并可根据计算内力分布沿墙体深度分段配筋，但应有不低于</w:t>
      </w:r>
      <w:r>
        <w:rPr>
          <w:rFonts w:hint="eastAsia" w:ascii="Times New Roman" w:hAnsi="Times New Roman"/>
        </w:rPr>
        <w:t>50</w:t>
      </w:r>
      <w:r>
        <w:rPr>
          <w:rFonts w:hint="eastAsia" w:ascii="宋体" w:hAnsi="宋体"/>
        </w:rPr>
        <w:t>%纵向钢筋通长配置。纵向钢筋宜采用HRB</w:t>
      </w:r>
      <w:r>
        <w:rPr>
          <w:rFonts w:hint="eastAsia" w:ascii="Times New Roman" w:hAnsi="Times New Roman"/>
        </w:rPr>
        <w:t>335</w:t>
      </w:r>
      <w:r>
        <w:rPr>
          <w:rFonts w:hint="eastAsia" w:ascii="宋体" w:hAnsi="宋体"/>
        </w:rPr>
        <w:t>级或HRB</w:t>
      </w:r>
      <w:r>
        <w:rPr>
          <w:rFonts w:hint="eastAsia" w:ascii="Times New Roman" w:hAnsi="Times New Roman"/>
        </w:rPr>
        <w:t>400</w:t>
      </w:r>
      <w:r>
        <w:rPr>
          <w:rFonts w:hint="eastAsia" w:ascii="宋体" w:hAnsi="宋体"/>
        </w:rPr>
        <w:t>级钢筋，直径不宜小于</w:t>
      </w:r>
      <w:r>
        <w:rPr>
          <w:rFonts w:hint="eastAsia" w:ascii="Times New Roman" w:hAnsi="Times New Roman"/>
        </w:rPr>
        <w:t>16</w:t>
      </w:r>
      <w:r>
        <w:rPr>
          <w:rFonts w:hint="eastAsia" w:ascii="宋体" w:hAnsi="宋体"/>
        </w:rPr>
        <w:t>mm，钢筋净距不宜小于</w:t>
      </w:r>
      <w:r>
        <w:rPr>
          <w:rFonts w:hint="eastAsia" w:ascii="Times New Roman" w:hAnsi="Times New Roman"/>
        </w:rPr>
        <w:t>100</w:t>
      </w:r>
      <w:r>
        <w:rPr>
          <w:rFonts w:hint="eastAsia" w:ascii="宋体" w:hAnsi="宋体"/>
        </w:rPr>
        <w:t>mm。水平钢筋可采用HRB</w:t>
      </w:r>
      <w:r>
        <w:rPr>
          <w:rFonts w:hint="eastAsia" w:ascii="Times New Roman" w:hAnsi="Times New Roman"/>
        </w:rPr>
        <w:t>335</w:t>
      </w:r>
      <w:r>
        <w:rPr>
          <w:rFonts w:hint="eastAsia" w:ascii="宋体" w:hAnsi="宋体"/>
        </w:rPr>
        <w:t>级或HRB</w:t>
      </w:r>
      <w:r>
        <w:rPr>
          <w:rFonts w:hint="eastAsia" w:ascii="Times New Roman" w:hAnsi="Times New Roman"/>
        </w:rPr>
        <w:t>400</w:t>
      </w:r>
      <w:r>
        <w:rPr>
          <w:rFonts w:hint="eastAsia" w:ascii="宋体" w:hAnsi="宋体"/>
        </w:rPr>
        <w:t>级钢筋，现浇地下连续墙水平钢筋直径不宜小于</w:t>
      </w:r>
      <w:r>
        <w:rPr>
          <w:rFonts w:hint="eastAsia" w:ascii="Times New Roman" w:hAnsi="Times New Roman"/>
        </w:rPr>
        <w:t>16</w:t>
      </w:r>
      <w:r>
        <w:rPr>
          <w:rFonts w:hint="eastAsia" w:ascii="宋体" w:hAnsi="宋体"/>
        </w:rPr>
        <w:t>mm。</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.11</w:t>
      </w:r>
      <w:r>
        <w:rPr>
          <w:rFonts w:hint="eastAsia" w:ascii="宋体" w:hAnsi="宋体"/>
        </w:rPr>
        <w:t xml:space="preserve"> 根据计算确定的地下连续墙钢筋应在深度范围内全长配置（也可分段配置），在墙底仅起截水帷幕作用的范围内采用构造配筋。为保证墙体混凝土浇筑质量，对于配筋量较大难以满足钢筋净距要求的纵筋常采用并筋绑扎，计算结果做相应调整。</w:t>
      </w:r>
    </w:p>
    <w:p>
      <w:pPr>
        <w:bidi w:val="0"/>
        <w:jc w:val="center"/>
        <w:rPr>
          <w:rFonts w:hint="eastAsia"/>
          <w:b/>
          <w:bCs/>
          <w:sz w:val="28"/>
          <w:szCs w:val="24"/>
        </w:rPr>
      </w:pPr>
      <w:r>
        <w:rPr>
          <w:rFonts w:hint="eastAsia"/>
          <w:b/>
          <w:bCs/>
          <w:sz w:val="28"/>
          <w:szCs w:val="24"/>
        </w:rPr>
        <w:t>Ⅳ 施工与检测</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.17</w:t>
      </w:r>
      <w:r>
        <w:rPr>
          <w:rFonts w:hint="eastAsia" w:ascii="宋体" w:hAnsi="宋体"/>
          <w:b/>
        </w:rPr>
        <w:t xml:space="preserve"> </w:t>
      </w:r>
      <w:r>
        <w:rPr>
          <w:rFonts w:hint="eastAsia" w:ascii="宋体" w:hAnsi="宋体"/>
        </w:rPr>
        <w:t>成槽试验一般选择在非工程槽段部位，当有成熟施工经验</w:t>
      </w:r>
      <w:r>
        <w:rPr>
          <w:rFonts w:hint="eastAsia"/>
        </w:rPr>
        <w:t>时</w:t>
      </w:r>
      <w:r>
        <w:rPr>
          <w:rFonts w:hint="eastAsia" w:ascii="宋体" w:hAnsi="宋体"/>
        </w:rPr>
        <w:t>也可在工程槽段部位实施。</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.18</w:t>
      </w:r>
      <w:r>
        <w:rPr>
          <w:rFonts w:hint="eastAsia" w:ascii="宋体" w:hAnsi="宋体"/>
          <w:b/>
        </w:rPr>
        <w:t xml:space="preserve"> </w:t>
      </w:r>
      <w:r>
        <w:rPr>
          <w:rFonts w:hint="eastAsia" w:ascii="宋体" w:hAnsi="宋体"/>
        </w:rPr>
        <w:t>导墙的设置目的是保证轴线定位和成槽质量。导墙底部应置于满足承载力要求的原状土层且应低于连续墙顶标高。导墙外侧应用密实黏性土夯填，导墙顶部应与周边硬化道路连成整体。导墙周边应限载，防止过载引起导墙侧移或破坏。</w:t>
      </w:r>
    </w:p>
    <w:p>
      <w:pPr>
        <w:widowControl w:val="0"/>
        <w:spacing w:line="480" w:lineRule="exact"/>
        <w:rPr>
          <w:rFonts w:ascii="宋体" w:hAnsi="宋体"/>
          <w:szCs w:val="21"/>
        </w:rPr>
      </w:pPr>
      <w:r>
        <w:rPr>
          <w:rFonts w:hint="eastAsia" w:ascii="Times New Roman" w:hAnsi="Times New Roman"/>
          <w:b/>
        </w:rPr>
        <w:t>8.</w:t>
      </w:r>
      <w:r>
        <w:rPr>
          <w:rFonts w:hint="eastAsia" w:ascii="Times New Roman" w:hAnsi="Times New Roman"/>
          <w:b/>
          <w:color w:val="0000FF"/>
          <w:lang w:eastAsia="zh-CN"/>
        </w:rPr>
        <w:t>4</w:t>
      </w:r>
      <w:r>
        <w:rPr>
          <w:rFonts w:hint="eastAsia" w:ascii="Times New Roman" w:hAnsi="Times New Roman"/>
          <w:b/>
        </w:rPr>
        <w:t xml:space="preserve">.22 </w:t>
      </w:r>
      <w:r>
        <w:rPr>
          <w:rFonts w:hint="eastAsia" w:ascii="宋体" w:hAnsi="宋体"/>
        </w:rPr>
        <w:t>本条几种措施旨在防止槽壁坍塌影响成槽和施工工期。</w:t>
      </w:r>
    </w:p>
    <w:p>
      <w:pPr>
        <w:pStyle w:val="3"/>
        <w:bidi w:val="0"/>
      </w:pPr>
      <w:r>
        <w:t>8.</w:t>
      </w:r>
      <w:r>
        <w:rPr>
          <w:rFonts w:hint="eastAsia"/>
          <w:lang w:eastAsia="zh-CN"/>
        </w:rPr>
        <w:t>5</w:t>
      </w:r>
      <w:r>
        <w:rPr>
          <w:rFonts w:hint="eastAsia"/>
        </w:rPr>
        <w:t xml:space="preserve">  锚杆</w:t>
      </w:r>
      <w:bookmarkEnd w:id="1328"/>
      <w:bookmarkEnd w:id="1329"/>
    </w:p>
    <w:p>
      <w:pPr>
        <w:bidi w:val="0"/>
        <w:jc w:val="center"/>
        <w:rPr>
          <w:rFonts w:hint="eastAsia"/>
          <w:b/>
          <w:bCs/>
          <w:sz w:val="28"/>
          <w:szCs w:val="24"/>
        </w:rPr>
      </w:pPr>
      <w:r>
        <w:rPr>
          <w:rFonts w:hint="eastAsia"/>
          <w:b/>
          <w:bCs/>
          <w:sz w:val="28"/>
          <w:szCs w:val="24"/>
        </w:rPr>
        <w:t>Ⅰ 一般规定</w:t>
      </w:r>
    </w:p>
    <w:p>
      <w:pPr>
        <w:bidi w:val="0"/>
        <w:jc w:val="left"/>
        <w:rPr>
          <w:rFonts w:hint="eastAsia" w:ascii="宋体" w:hAnsi="宋体"/>
        </w:rPr>
      </w:pPr>
      <w:r>
        <w:rPr>
          <w:rFonts w:hint="eastAsia" w:ascii="宋体" w:hAnsi="宋体"/>
        </w:rPr>
        <w:t>8.5.1 锚杆杆体留存于周边地下，将会对后续工程产生重大影响，尤其是在本工程划定的红线区域以外施工锚杆，可能会遇到邻边单位的阻止。采用可回收或可拆除式锚索，在实际工程中有较大的可操作性。</w:t>
      </w:r>
    </w:p>
    <w:p>
      <w:pPr>
        <w:bidi w:val="0"/>
        <w:jc w:val="center"/>
        <w:rPr>
          <w:rFonts w:hint="eastAsia"/>
          <w:b/>
          <w:bCs/>
          <w:sz w:val="28"/>
          <w:szCs w:val="24"/>
        </w:rPr>
      </w:pPr>
      <w:r>
        <w:rPr>
          <w:rFonts w:hint="eastAsia"/>
          <w:b/>
          <w:bCs/>
          <w:sz w:val="28"/>
          <w:szCs w:val="24"/>
        </w:rPr>
        <w:t>Ⅱ 设计计算</w:t>
      </w:r>
    </w:p>
    <w:p>
      <w:pPr>
        <w:widowControl w:val="0"/>
        <w:spacing w:line="480" w:lineRule="exact"/>
        <w:rPr>
          <w:rFonts w:ascii="宋体" w:hAnsi="宋体"/>
          <w:b/>
        </w:rPr>
      </w:pPr>
      <w:r>
        <w:rPr>
          <w:rFonts w:hint="eastAsia" w:ascii="Times New Roman" w:hAnsi="Times New Roman"/>
          <w:b/>
          <w:color w:val="auto"/>
          <w:lang w:val="en-US" w:eastAsia="zh-CN"/>
        </w:rPr>
        <w:t xml:space="preserve">8.5.7 </w:t>
      </w:r>
      <w:r>
        <w:rPr>
          <w:rFonts w:hint="eastAsia" w:ascii="宋体" w:hAnsi="宋体"/>
        </w:rPr>
        <w:t>（</w:t>
      </w:r>
      <w:r>
        <w:rPr>
          <w:rFonts w:hint="eastAsia" w:ascii="Times New Roman" w:hAnsi="Times New Roman"/>
        </w:rPr>
        <w:t>1</w:t>
      </w:r>
      <w:r>
        <w:rPr>
          <w:rFonts w:hint="eastAsia" w:ascii="宋体" w:hAnsi="宋体"/>
        </w:rPr>
        <w:t>）</w:t>
      </w:r>
      <w:r>
        <w:rPr>
          <w:rFonts w:hint="eastAsia" w:ascii="宋体" w:hAnsi="宋体"/>
          <w:szCs w:val="24"/>
        </w:rPr>
        <w:t>当排桩</w:t>
      </w:r>
      <w:r>
        <w:rPr>
          <w:rFonts w:ascii="Times New Roman" w:hAnsi="Times New Roman"/>
          <w:szCs w:val="24"/>
        </w:rPr>
        <w:t>间距1.5m，锚索间距1.5m，杆体采用3根直径15.2钢绞线，锚固体直径150mm时，弹性支点刚度系数可按照</w:t>
      </w:r>
      <w:r>
        <w:rPr>
          <w:rFonts w:hint="eastAsia" w:ascii="宋体" w:hAnsi="宋体"/>
          <w:szCs w:val="24"/>
        </w:rPr>
        <w:t>下表选取：</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566"/>
        <w:gridCol w:w="1567"/>
        <w:gridCol w:w="1566"/>
        <w:gridCol w:w="1567"/>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95" w:type="dxa"/>
            <w:vAlign w:val="center"/>
          </w:tcPr>
          <w:p>
            <w:pPr>
              <w:widowControl w:val="0"/>
              <w:ind w:firstLine="527" w:firstLineChars="250"/>
              <w:jc w:val="center"/>
              <w:rPr>
                <w:sz w:val="21"/>
                <w:szCs w:val="21"/>
              </w:rPr>
            </w:pPr>
            <w:r>
              <w:rPr>
                <w:rFonts w:hint="eastAsia" w:ascii="宋体" w:hAnsi="宋体"/>
                <w:b/>
                <w:sz w:val="21"/>
                <w:szCs w:val="21"/>
              </w:rPr>
              <mc:AlternateContent>
                <mc:Choice Requires="wps">
                  <w:drawing>
                    <wp:anchor distT="0" distB="0" distL="114300" distR="114300" simplePos="0" relativeHeight="251667456" behindDoc="0" locked="0" layoutInCell="1" allowOverlap="1">
                      <wp:simplePos x="0" y="0"/>
                      <wp:positionH relativeFrom="column">
                        <wp:posOffset>-71120</wp:posOffset>
                      </wp:positionH>
                      <wp:positionV relativeFrom="paragraph">
                        <wp:posOffset>17145</wp:posOffset>
                      </wp:positionV>
                      <wp:extent cx="1055370" cy="695960"/>
                      <wp:effectExtent l="2540" t="3810" r="8890" b="16510"/>
                      <wp:wrapNone/>
                      <wp:docPr id="766" name="直接连接符 766"/>
                      <wp:cNvGraphicFramePr/>
                      <a:graphic xmlns:a="http://schemas.openxmlformats.org/drawingml/2006/main">
                        <a:graphicData uri="http://schemas.microsoft.com/office/word/2010/wordprocessingShape">
                          <wps:wsp>
                            <wps:cNvCnPr>
                              <a:cxnSpLocks noChangeShapeType="true"/>
                            </wps:cNvCnPr>
                            <wps:spPr bwMode="auto">
                              <a:xfrm>
                                <a:off x="0" y="0"/>
                                <a:ext cx="1055370" cy="69596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5.6pt;margin-top:1.35pt;height:54.8pt;width:83.1pt;z-index:251667456;mso-width-relative:page;mso-height-relative:page;" filled="f" stroked="t" coordsize="21600,21600" o:gfxdata="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GdT5TrXAAAACQEAAA8AAAAAAAAAAQAgAAAAOAAAAGRycy9kb3ducmV2LnhtbFBLAQIUABQA&#10;AAAIAIdO4kAsPWQz2wEAAHMDAAAOAAAAAAAAAAEAIAAAADwBAABkcnMvZTJvRG9jLnhtbFBLBQYA&#10;AAAABgAGAFkBAACJBQAAAAA=&#10;">
                      <v:fill on="f" focussize="0,0"/>
                      <v:stroke color="#000000" joinstyle="round"/>
                      <v:imagedata o:title=""/>
                      <o:lock v:ext="edit" aspectratio="f"/>
                    </v:line>
                  </w:pict>
                </mc:Fallback>
              </mc:AlternateContent>
            </w:r>
            <w:r>
              <w:rPr>
                <w:rFonts w:hint="eastAsia" w:ascii="宋体" w:hAnsi="宋体"/>
                <w:b/>
                <w:sz w:val="21"/>
                <w:szCs w:val="21"/>
              </w:rPr>
              <mc:AlternateContent>
                <mc:Choice Requires="wps">
                  <w:drawing>
                    <wp:anchor distT="0" distB="0" distL="114300" distR="114300" simplePos="0" relativeHeight="251666432" behindDoc="0" locked="0" layoutInCell="1" allowOverlap="1">
                      <wp:simplePos x="0" y="0"/>
                      <wp:positionH relativeFrom="column">
                        <wp:posOffset>556895</wp:posOffset>
                      </wp:positionH>
                      <wp:positionV relativeFrom="paragraph">
                        <wp:posOffset>17145</wp:posOffset>
                      </wp:positionV>
                      <wp:extent cx="427355" cy="688340"/>
                      <wp:effectExtent l="3810" t="2540" r="10795" b="10160"/>
                      <wp:wrapNone/>
                      <wp:docPr id="767" name="直接连接符 767"/>
                      <wp:cNvGraphicFramePr/>
                      <a:graphic xmlns:a="http://schemas.openxmlformats.org/drawingml/2006/main">
                        <a:graphicData uri="http://schemas.microsoft.com/office/word/2010/wordprocessingShape">
                          <wps:wsp>
                            <wps:cNvCnPr>
                              <a:cxnSpLocks noChangeShapeType="true"/>
                            </wps:cNvCnPr>
                            <wps:spPr bwMode="auto">
                              <a:xfrm>
                                <a:off x="0" y="0"/>
                                <a:ext cx="427355" cy="688340"/>
                              </a:xfrm>
                              <a:prstGeom prst="line">
                                <a:avLst/>
                              </a:prstGeom>
                              <a:noFill/>
                              <a:ln w="6350" cmpd="sng">
                                <a:solidFill>
                                  <a:srgbClr val="000000"/>
                                </a:solidFill>
                                <a:round/>
                              </a:ln>
                            </wps:spPr>
                            <wps:bodyPr/>
                          </wps:wsp>
                        </a:graphicData>
                      </a:graphic>
                    </wp:anchor>
                  </w:drawing>
                </mc:Choice>
                <mc:Fallback>
                  <w:pict>
                    <v:line id="_x0000_s1026" o:spid="_x0000_s1026" o:spt="20" style="position:absolute;left:0pt;margin-left:43.85pt;margin-top:1.35pt;height:54.2pt;width:33.65pt;z-index:251666432;mso-width-relative:page;mso-height-relative:page;" filled="f" stroked="t" coordsize="21600,21600" o:gfxdata="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Ae&#10;Xzt50wAAAAgBAAAPAAAAAAAAAAEAIAAAADgAAABkcnMvZG93bnJldi54bWxQSwECFAAUAAAACACH&#10;TuJAdDhjWtoBAAByAwAADgAAAAAAAAABACAAAAA4AQAAZHJzL2Uyb0RvYy54bWxQSwUGAAAAAAYA&#10;BgBZAQAAhAUAAAAA&#10;">
                      <v:fill on="f" focussize="0,0"/>
                      <v:stroke weight="0.5pt" color="#000000" joinstyle="round"/>
                      <v:imagedata o:title=""/>
                      <o:lock v:ext="edit" aspectratio="f"/>
                    </v:line>
                  </w:pict>
                </mc:Fallback>
              </mc:AlternateContent>
            </w:r>
            <w:r>
              <w:rPr>
                <w:rFonts w:hint="eastAsia" w:ascii="宋体" w:hAnsi="宋体"/>
                <w:b/>
                <w:position w:val="-10"/>
                <w:sz w:val="21"/>
                <w:szCs w:val="21"/>
              </w:rPr>
              <w:object>
                <v:shape id="_x0000_i1334" o:spt="75" type="#_x0000_t75" style="height:17.4pt;width:15.05pt;" o:ole="t" filled="f" coordsize="21600,21600">
                  <v:path/>
                  <v:fill on="f" focussize="0,0"/>
                  <v:stroke/>
                  <v:imagedata r:id="rId859" o:title=""/>
                  <o:lock v:ext="edit" aspectratio="t"/>
                  <w10:wrap type="none"/>
                  <w10:anchorlock/>
                </v:shape>
                <o:OLEObject Type="Embed" ProgID="Equation.3" ShapeID="_x0000_i1334" DrawAspect="Content" ObjectID="_1468076014" r:id="rId858">
                  <o:LockedField>false</o:LockedField>
                </o:OLEObject>
              </w:object>
            </w:r>
            <w:r>
              <w:rPr>
                <w:rFonts w:hint="eastAsia"/>
                <w:sz w:val="21"/>
                <w:szCs w:val="21"/>
              </w:rPr>
              <w:t xml:space="preserve">   </w:t>
            </w:r>
            <w:r>
              <w:rPr>
                <w:rFonts w:hint="eastAsia"/>
                <w:position w:val="-10"/>
                <w:sz w:val="21"/>
                <w:szCs w:val="21"/>
              </w:rPr>
              <w:object>
                <v:shape id="_x0000_i1335" o:spt="75" type="#_x0000_t75" style="height:17.4pt;width:10.3pt;" o:ole="t" filled="f" coordsize="21600,21600">
                  <v:path/>
                  <v:fill on="f" focussize="0,0"/>
                  <v:stroke/>
                  <v:imagedata r:id="rId861" o:title=""/>
                  <o:lock v:ext="edit" aspectratio="t"/>
                  <w10:wrap type="none"/>
                  <w10:anchorlock/>
                </v:shape>
                <o:OLEObject Type="Embed" ProgID="Equation.3" ShapeID="_x0000_i1335" DrawAspect="Content" ObjectID="_1468076015" r:id="rId860">
                  <o:LockedField>false</o:LockedField>
                </o:OLEObject>
              </w:object>
            </w:r>
          </w:p>
          <w:p>
            <w:pPr>
              <w:widowControl w:val="0"/>
              <w:ind w:firstLine="210" w:firstLineChars="100"/>
              <w:rPr>
                <w:rFonts w:ascii="宋体" w:hAnsi="宋体"/>
                <w:b/>
                <w:sz w:val="21"/>
                <w:szCs w:val="21"/>
              </w:rPr>
            </w:pPr>
            <w:r>
              <w:rPr>
                <w:position w:val="-14"/>
                <w:sz w:val="21"/>
                <w:szCs w:val="21"/>
              </w:rPr>
              <w:drawing>
                <wp:inline distT="0" distB="0" distL="0" distR="0">
                  <wp:extent cx="140970" cy="241300"/>
                  <wp:effectExtent l="0" t="0" r="0" b="0"/>
                  <wp:docPr id="768" name="图片 7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8" name="图片 768"/>
                          <pic:cNvPicPr>
                            <a:picLocks noChangeAspect="true" noChangeArrowheads="true"/>
                          </pic:cNvPicPr>
                        </pic:nvPicPr>
                        <pic:blipFill>
                          <a:blip r:embed="rId862" cstate="print">
                            <a:extLst>
                              <a:ext uri="{28A0092B-C50C-407E-A947-70E740481C1C}">
                                <a14:useLocalDpi xmlns:a14="http://schemas.microsoft.com/office/drawing/2010/main" val="false"/>
                              </a:ext>
                            </a:extLst>
                          </a:blip>
                          <a:srcRect/>
                          <a:stretch>
                            <a:fillRect/>
                          </a:stretch>
                        </pic:blipFill>
                        <pic:spPr>
                          <a:xfrm>
                            <a:off x="0" y="0"/>
                            <a:ext cx="140970" cy="241300"/>
                          </a:xfrm>
                          <a:prstGeom prst="rect">
                            <a:avLst/>
                          </a:prstGeom>
                          <a:noFill/>
                          <a:ln>
                            <a:noFill/>
                          </a:ln>
                        </pic:spPr>
                      </pic:pic>
                    </a:graphicData>
                  </a:graphic>
                </wp:inline>
              </w:drawing>
            </w:r>
          </w:p>
        </w:tc>
        <w:tc>
          <w:tcPr>
            <w:tcW w:w="1566" w:type="dxa"/>
            <w:vAlign w:val="center"/>
          </w:tcPr>
          <w:p>
            <w:pPr>
              <w:widowControl w:val="0"/>
              <w:jc w:val="center"/>
              <w:rPr>
                <w:rFonts w:ascii="宋体" w:hAnsi="宋体"/>
                <w:b/>
                <w:sz w:val="21"/>
                <w:szCs w:val="21"/>
              </w:rPr>
            </w:pPr>
            <w:r>
              <w:rPr>
                <w:rFonts w:hint="eastAsia" w:ascii="Times New Roman" w:hAnsi="Times New Roman"/>
                <w:b/>
                <w:sz w:val="21"/>
                <w:szCs w:val="21"/>
              </w:rPr>
              <w:t>5</w:t>
            </w:r>
          </w:p>
        </w:tc>
        <w:tc>
          <w:tcPr>
            <w:tcW w:w="1567" w:type="dxa"/>
            <w:vAlign w:val="center"/>
          </w:tcPr>
          <w:p>
            <w:pPr>
              <w:widowControl w:val="0"/>
              <w:jc w:val="center"/>
              <w:rPr>
                <w:rFonts w:ascii="宋体" w:hAnsi="宋体"/>
                <w:b/>
                <w:sz w:val="21"/>
                <w:szCs w:val="21"/>
              </w:rPr>
            </w:pPr>
            <w:r>
              <w:rPr>
                <w:rFonts w:hint="eastAsia" w:ascii="Times New Roman" w:hAnsi="Times New Roman"/>
                <w:b/>
                <w:sz w:val="21"/>
                <w:szCs w:val="21"/>
              </w:rPr>
              <w:t>6</w:t>
            </w:r>
          </w:p>
        </w:tc>
        <w:tc>
          <w:tcPr>
            <w:tcW w:w="1566" w:type="dxa"/>
            <w:vAlign w:val="center"/>
          </w:tcPr>
          <w:p>
            <w:pPr>
              <w:widowControl w:val="0"/>
              <w:jc w:val="center"/>
              <w:rPr>
                <w:rFonts w:ascii="宋体" w:hAnsi="宋体"/>
                <w:b/>
                <w:sz w:val="21"/>
                <w:szCs w:val="21"/>
              </w:rPr>
            </w:pPr>
            <w:r>
              <w:rPr>
                <w:rFonts w:hint="eastAsia" w:ascii="Times New Roman" w:hAnsi="Times New Roman"/>
                <w:b/>
                <w:sz w:val="21"/>
                <w:szCs w:val="21"/>
              </w:rPr>
              <w:t>7</w:t>
            </w:r>
          </w:p>
        </w:tc>
        <w:tc>
          <w:tcPr>
            <w:tcW w:w="1567" w:type="dxa"/>
            <w:vAlign w:val="center"/>
          </w:tcPr>
          <w:p>
            <w:pPr>
              <w:widowControl w:val="0"/>
              <w:jc w:val="center"/>
              <w:rPr>
                <w:rFonts w:ascii="宋体" w:hAnsi="宋体"/>
                <w:b/>
                <w:sz w:val="21"/>
                <w:szCs w:val="21"/>
              </w:rPr>
            </w:pPr>
            <w:r>
              <w:rPr>
                <w:rFonts w:hint="eastAsia" w:ascii="Times New Roman" w:hAnsi="Times New Roman"/>
                <w:b/>
                <w:sz w:val="21"/>
                <w:szCs w:val="21"/>
              </w:rPr>
              <w:t>8</w:t>
            </w:r>
          </w:p>
        </w:tc>
        <w:tc>
          <w:tcPr>
            <w:tcW w:w="1567" w:type="dxa"/>
            <w:vAlign w:val="center"/>
          </w:tcPr>
          <w:p>
            <w:pPr>
              <w:widowControl w:val="0"/>
              <w:jc w:val="center"/>
              <w:rPr>
                <w:rFonts w:ascii="宋体" w:hAnsi="宋体"/>
                <w:b/>
                <w:sz w:val="21"/>
                <w:szCs w:val="21"/>
              </w:rPr>
            </w:pPr>
            <w:r>
              <w:rPr>
                <w:rFonts w:hint="eastAsia" w:ascii="Times New Roman" w:hAnsi="Times New Roman"/>
                <w:b/>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10</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14913</w:t>
            </w:r>
            <w:r>
              <w:rPr>
                <w:rFonts w:hint="eastAsia"/>
                <w:sz w:val="21"/>
                <w:szCs w:val="21"/>
              </w:rPr>
              <w:t>.</w:t>
            </w:r>
            <w:r>
              <w:rPr>
                <w:rFonts w:hint="eastAsia" w:ascii="Times New Roman" w:hAnsi="Times New Roman"/>
                <w:sz w:val="21"/>
                <w:szCs w:val="21"/>
              </w:rPr>
              <w:t>225</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12602</w:t>
            </w:r>
            <w:r>
              <w:rPr>
                <w:rFonts w:hint="eastAsia"/>
                <w:sz w:val="21"/>
                <w:szCs w:val="21"/>
              </w:rPr>
              <w:t>.</w:t>
            </w:r>
            <w:r>
              <w:rPr>
                <w:rFonts w:hint="eastAsia" w:ascii="Times New Roman" w:hAnsi="Times New Roman"/>
                <w:sz w:val="21"/>
                <w:szCs w:val="21"/>
              </w:rPr>
              <w:t>008</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10911</w:t>
            </w:r>
            <w:r>
              <w:rPr>
                <w:rFonts w:hint="eastAsia"/>
                <w:sz w:val="21"/>
                <w:szCs w:val="21"/>
              </w:rPr>
              <w:t>.</w:t>
            </w:r>
            <w:r>
              <w:rPr>
                <w:rFonts w:hint="eastAsia" w:ascii="Times New Roman" w:hAnsi="Times New Roman"/>
                <w:sz w:val="21"/>
                <w:szCs w:val="21"/>
              </w:rPr>
              <w:t>041</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9620</w:t>
            </w:r>
            <w:r>
              <w:rPr>
                <w:rFonts w:hint="eastAsia"/>
                <w:sz w:val="21"/>
                <w:szCs w:val="21"/>
              </w:rPr>
              <w:t>.</w:t>
            </w:r>
            <w:r>
              <w:rPr>
                <w:rFonts w:hint="eastAsia" w:ascii="Times New Roman" w:hAnsi="Times New Roman"/>
                <w:sz w:val="21"/>
                <w:szCs w:val="21"/>
              </w:rPr>
              <w:t>182</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8602</w:t>
            </w:r>
            <w:r>
              <w:rPr>
                <w:rFonts w:hint="eastAsia"/>
                <w:sz w:val="21"/>
                <w:szCs w:val="21"/>
              </w:rPr>
              <w:t>.</w:t>
            </w:r>
            <w:r>
              <w:rPr>
                <w:rFonts w:hint="eastAsia" w:ascii="Times New Roman" w:hAnsi="Times New Roman"/>
                <w:sz w:val="21"/>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11</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14790</w:t>
            </w:r>
            <w:r>
              <w:rPr>
                <w:rFonts w:hint="eastAsia"/>
                <w:sz w:val="21"/>
                <w:szCs w:val="21"/>
              </w:rPr>
              <w:t>.</w:t>
            </w:r>
            <w:r>
              <w:rPr>
                <w:rFonts w:hint="eastAsia" w:ascii="Times New Roman" w:hAnsi="Times New Roman"/>
                <w:sz w:val="21"/>
                <w:szCs w:val="21"/>
              </w:rPr>
              <w:t>469</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12514</w:t>
            </w:r>
            <w:r>
              <w:rPr>
                <w:rFonts w:hint="eastAsia"/>
                <w:sz w:val="21"/>
                <w:szCs w:val="21"/>
              </w:rPr>
              <w:t>.</w:t>
            </w:r>
            <w:r>
              <w:rPr>
                <w:rFonts w:hint="eastAsia" w:ascii="Times New Roman" w:hAnsi="Times New Roman"/>
                <w:sz w:val="21"/>
                <w:szCs w:val="21"/>
              </w:rPr>
              <w:t>241</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10845</w:t>
            </w:r>
            <w:r>
              <w:rPr>
                <w:rFonts w:hint="eastAsia"/>
                <w:sz w:val="21"/>
                <w:szCs w:val="21"/>
              </w:rPr>
              <w:t>.</w:t>
            </w:r>
            <w:r>
              <w:rPr>
                <w:rFonts w:hint="eastAsia" w:ascii="Times New Roman" w:hAnsi="Times New Roman"/>
                <w:sz w:val="21"/>
                <w:szCs w:val="21"/>
              </w:rPr>
              <w:t>185</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9568</w:t>
            </w:r>
            <w:r>
              <w:rPr>
                <w:rFonts w:hint="eastAsia"/>
                <w:sz w:val="21"/>
                <w:szCs w:val="21"/>
              </w:rPr>
              <w:t>.</w:t>
            </w:r>
            <w:r>
              <w:rPr>
                <w:rFonts w:hint="eastAsia" w:ascii="Times New Roman" w:hAnsi="Times New Roman"/>
                <w:sz w:val="21"/>
                <w:szCs w:val="21"/>
              </w:rPr>
              <w:t>950</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8561</w:t>
            </w:r>
            <w:r>
              <w:rPr>
                <w:rFonts w:hint="eastAsia"/>
                <w:sz w:val="21"/>
                <w:szCs w:val="21"/>
              </w:rPr>
              <w:t>.</w:t>
            </w:r>
            <w:r>
              <w:rPr>
                <w:rFonts w:hint="eastAsia" w:ascii="Times New Roman" w:hAnsi="Times New Roman"/>
                <w:sz w:val="21"/>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12</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14669</w:t>
            </w:r>
            <w:r>
              <w:rPr>
                <w:rFonts w:hint="eastAsia"/>
                <w:sz w:val="21"/>
                <w:szCs w:val="21"/>
              </w:rPr>
              <w:t>.</w:t>
            </w:r>
            <w:r>
              <w:rPr>
                <w:rFonts w:hint="eastAsia" w:ascii="Times New Roman" w:hAnsi="Times New Roman"/>
                <w:sz w:val="21"/>
                <w:szCs w:val="21"/>
              </w:rPr>
              <w:t>718</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12427</w:t>
            </w:r>
            <w:r>
              <w:rPr>
                <w:rFonts w:hint="eastAsia"/>
                <w:sz w:val="21"/>
                <w:szCs w:val="21"/>
              </w:rPr>
              <w:t>.</w:t>
            </w:r>
            <w:r>
              <w:rPr>
                <w:rFonts w:hint="eastAsia" w:ascii="Times New Roman" w:hAnsi="Times New Roman"/>
                <w:sz w:val="21"/>
                <w:szCs w:val="21"/>
              </w:rPr>
              <w:t>688</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10780</w:t>
            </w:r>
            <w:r>
              <w:rPr>
                <w:rFonts w:hint="eastAsia"/>
                <w:sz w:val="21"/>
                <w:szCs w:val="21"/>
              </w:rPr>
              <w:t>.</w:t>
            </w:r>
            <w:r>
              <w:rPr>
                <w:rFonts w:hint="eastAsia" w:ascii="Times New Roman" w:hAnsi="Times New Roman"/>
                <w:sz w:val="21"/>
                <w:szCs w:val="21"/>
              </w:rPr>
              <w:t>120</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9518</w:t>
            </w:r>
            <w:r>
              <w:rPr>
                <w:rFonts w:hint="eastAsia"/>
                <w:sz w:val="21"/>
                <w:szCs w:val="21"/>
              </w:rPr>
              <w:t>.</w:t>
            </w:r>
            <w:r>
              <w:rPr>
                <w:rFonts w:hint="eastAsia" w:ascii="Times New Roman" w:hAnsi="Times New Roman"/>
                <w:sz w:val="21"/>
                <w:szCs w:val="21"/>
              </w:rPr>
              <w:t>262</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8520</w:t>
            </w:r>
            <w:r>
              <w:rPr>
                <w:rFonts w:hint="eastAsia"/>
                <w:sz w:val="21"/>
                <w:szCs w:val="21"/>
              </w:rPr>
              <w:t>.</w:t>
            </w:r>
            <w:r>
              <w:rPr>
                <w:rFonts w:hint="eastAsia" w:ascii="Times New Roman" w:hAnsi="Times New Roman"/>
                <w:sz w:val="21"/>
                <w:szCs w:val="21"/>
              </w:rPr>
              <w:t>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13</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14550</w:t>
            </w:r>
            <w:r>
              <w:rPr>
                <w:rFonts w:hint="eastAsia"/>
                <w:sz w:val="21"/>
                <w:szCs w:val="21"/>
              </w:rPr>
              <w:t>.</w:t>
            </w:r>
            <w:r>
              <w:rPr>
                <w:rFonts w:hint="eastAsia" w:ascii="Times New Roman" w:hAnsi="Times New Roman"/>
                <w:sz w:val="21"/>
                <w:szCs w:val="21"/>
              </w:rPr>
              <w:t>922</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12342</w:t>
            </w:r>
            <w:r>
              <w:rPr>
                <w:rFonts w:hint="eastAsia"/>
                <w:sz w:val="21"/>
                <w:szCs w:val="21"/>
              </w:rPr>
              <w:t>.</w:t>
            </w:r>
            <w:r>
              <w:rPr>
                <w:rFonts w:hint="eastAsia" w:ascii="Times New Roman" w:hAnsi="Times New Roman"/>
                <w:sz w:val="21"/>
                <w:szCs w:val="21"/>
              </w:rPr>
              <w:t>323</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10715</w:t>
            </w:r>
            <w:r>
              <w:rPr>
                <w:rFonts w:hint="eastAsia"/>
                <w:sz w:val="21"/>
                <w:szCs w:val="21"/>
              </w:rPr>
              <w:t>.</w:t>
            </w:r>
            <w:r>
              <w:rPr>
                <w:rFonts w:hint="eastAsia" w:ascii="Times New Roman" w:hAnsi="Times New Roman"/>
                <w:sz w:val="21"/>
                <w:szCs w:val="21"/>
              </w:rPr>
              <w:t>831</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9468</w:t>
            </w:r>
            <w:r>
              <w:rPr>
                <w:rFonts w:hint="eastAsia"/>
                <w:sz w:val="21"/>
                <w:szCs w:val="21"/>
              </w:rPr>
              <w:t>.</w:t>
            </w:r>
            <w:r>
              <w:rPr>
                <w:rFonts w:hint="eastAsia" w:ascii="Times New Roman" w:hAnsi="Times New Roman"/>
                <w:sz w:val="21"/>
                <w:szCs w:val="21"/>
              </w:rPr>
              <w:t>107</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8480</w:t>
            </w:r>
            <w:r>
              <w:rPr>
                <w:rFonts w:hint="eastAsia"/>
                <w:sz w:val="21"/>
                <w:szCs w:val="21"/>
              </w:rPr>
              <w:t>.</w:t>
            </w:r>
            <w:r>
              <w:rPr>
                <w:rFonts w:hint="eastAsia" w:ascii="Times New Roman" w:hAnsi="Times New Roman"/>
                <w:sz w:val="21"/>
                <w:szCs w:val="21"/>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14</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14434</w:t>
            </w:r>
            <w:r>
              <w:rPr>
                <w:rFonts w:hint="eastAsia"/>
                <w:sz w:val="21"/>
                <w:szCs w:val="21"/>
              </w:rPr>
              <w:t>.</w:t>
            </w:r>
            <w:r>
              <w:rPr>
                <w:rFonts w:hint="eastAsia" w:ascii="Times New Roman" w:hAnsi="Times New Roman"/>
                <w:sz w:val="21"/>
                <w:szCs w:val="21"/>
              </w:rPr>
              <w:t>034</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12258</w:t>
            </w:r>
            <w:r>
              <w:rPr>
                <w:rFonts w:hint="eastAsia"/>
                <w:sz w:val="21"/>
                <w:szCs w:val="21"/>
              </w:rPr>
              <w:t>.</w:t>
            </w:r>
            <w:r>
              <w:rPr>
                <w:rFonts w:hint="eastAsia" w:ascii="Times New Roman" w:hAnsi="Times New Roman"/>
                <w:sz w:val="21"/>
                <w:szCs w:val="21"/>
              </w:rPr>
              <w:t>124</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10652</w:t>
            </w:r>
            <w:r>
              <w:rPr>
                <w:rFonts w:hint="eastAsia"/>
                <w:sz w:val="21"/>
                <w:szCs w:val="21"/>
              </w:rPr>
              <w:t>.</w:t>
            </w:r>
            <w:r>
              <w:rPr>
                <w:rFonts w:hint="eastAsia" w:ascii="Times New Roman" w:hAnsi="Times New Roman"/>
                <w:sz w:val="21"/>
                <w:szCs w:val="21"/>
              </w:rPr>
              <w:t>304</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9418</w:t>
            </w:r>
            <w:r>
              <w:rPr>
                <w:rFonts w:hint="eastAsia"/>
                <w:sz w:val="21"/>
                <w:szCs w:val="21"/>
              </w:rPr>
              <w:t>.</w:t>
            </w:r>
            <w:r>
              <w:rPr>
                <w:rFonts w:hint="eastAsia" w:ascii="Times New Roman" w:hAnsi="Times New Roman"/>
                <w:sz w:val="21"/>
                <w:szCs w:val="21"/>
              </w:rPr>
              <w:t>479</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8440</w:t>
            </w:r>
            <w:r>
              <w:rPr>
                <w:rFonts w:hint="eastAsia"/>
                <w:sz w:val="21"/>
                <w:szCs w:val="21"/>
              </w:rPr>
              <w:t>.</w:t>
            </w:r>
            <w:r>
              <w:rPr>
                <w:rFonts w:hint="eastAsia" w:ascii="Times New Roman" w:hAnsi="Times New Roman"/>
                <w:sz w:val="21"/>
                <w:szCs w:val="21"/>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15</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14319</w:t>
            </w:r>
            <w:r>
              <w:rPr>
                <w:rFonts w:hint="eastAsia"/>
                <w:sz w:val="21"/>
                <w:szCs w:val="21"/>
              </w:rPr>
              <w:t>.</w:t>
            </w:r>
            <w:r>
              <w:rPr>
                <w:rFonts w:hint="eastAsia" w:ascii="Times New Roman" w:hAnsi="Times New Roman"/>
                <w:sz w:val="21"/>
                <w:szCs w:val="21"/>
              </w:rPr>
              <w:t>010</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12175</w:t>
            </w:r>
            <w:r>
              <w:rPr>
                <w:rFonts w:hint="eastAsia"/>
                <w:sz w:val="21"/>
                <w:szCs w:val="21"/>
              </w:rPr>
              <w:t>.</w:t>
            </w:r>
            <w:r>
              <w:rPr>
                <w:rFonts w:hint="eastAsia" w:ascii="Times New Roman" w:hAnsi="Times New Roman"/>
                <w:sz w:val="21"/>
                <w:szCs w:val="21"/>
              </w:rPr>
              <w:t>065</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10589</w:t>
            </w:r>
            <w:r>
              <w:rPr>
                <w:rFonts w:hint="eastAsia"/>
                <w:sz w:val="21"/>
                <w:szCs w:val="21"/>
              </w:rPr>
              <w:t>.</w:t>
            </w:r>
            <w:r>
              <w:rPr>
                <w:rFonts w:hint="eastAsia" w:ascii="Times New Roman" w:hAnsi="Times New Roman"/>
                <w:sz w:val="21"/>
                <w:szCs w:val="21"/>
              </w:rPr>
              <w:t>525</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9369</w:t>
            </w:r>
            <w:r>
              <w:rPr>
                <w:rFonts w:hint="eastAsia"/>
                <w:sz w:val="21"/>
                <w:szCs w:val="21"/>
              </w:rPr>
              <w:t>.</w:t>
            </w:r>
            <w:r>
              <w:rPr>
                <w:rFonts w:hint="eastAsia" w:ascii="Times New Roman" w:hAnsi="Times New Roman"/>
                <w:sz w:val="21"/>
                <w:szCs w:val="21"/>
              </w:rPr>
              <w:t>367</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8401</w:t>
            </w:r>
            <w:r>
              <w:rPr>
                <w:rFonts w:hint="eastAsia"/>
                <w:sz w:val="21"/>
                <w:szCs w:val="21"/>
              </w:rPr>
              <w:t>.</w:t>
            </w:r>
            <w:r>
              <w:rPr>
                <w:rFonts w:hint="eastAsia" w:ascii="Times New Roman" w:hAnsi="Times New Roman"/>
                <w:sz w:val="21"/>
                <w:szCs w:val="21"/>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5" w:type="dxa"/>
            <w:vAlign w:val="center"/>
          </w:tcPr>
          <w:p>
            <w:pPr>
              <w:widowControl w:val="0"/>
              <w:jc w:val="center"/>
              <w:rPr>
                <w:rFonts w:ascii="宋体" w:hAnsi="宋体"/>
                <w:b/>
                <w:sz w:val="21"/>
                <w:szCs w:val="21"/>
              </w:rPr>
            </w:pPr>
            <w:r>
              <w:rPr>
                <w:rFonts w:hint="eastAsia" w:ascii="Times New Roman" w:hAnsi="Times New Roman"/>
                <w:b/>
                <w:sz w:val="21"/>
                <w:szCs w:val="21"/>
              </w:rPr>
              <w:t>16</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14205</w:t>
            </w:r>
            <w:r>
              <w:rPr>
                <w:rFonts w:hint="eastAsia"/>
                <w:sz w:val="21"/>
                <w:szCs w:val="21"/>
              </w:rPr>
              <w:t>.</w:t>
            </w:r>
            <w:r>
              <w:rPr>
                <w:rFonts w:hint="eastAsia" w:ascii="Times New Roman" w:hAnsi="Times New Roman"/>
                <w:sz w:val="21"/>
                <w:szCs w:val="21"/>
              </w:rPr>
              <w:t>805</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12093</w:t>
            </w:r>
            <w:r>
              <w:rPr>
                <w:rFonts w:hint="eastAsia"/>
                <w:sz w:val="21"/>
                <w:szCs w:val="21"/>
              </w:rPr>
              <w:t>.</w:t>
            </w:r>
            <w:r>
              <w:rPr>
                <w:rFonts w:hint="eastAsia" w:ascii="Times New Roman" w:hAnsi="Times New Roman"/>
                <w:sz w:val="21"/>
                <w:szCs w:val="21"/>
              </w:rPr>
              <w:t>125</w:t>
            </w:r>
          </w:p>
        </w:tc>
        <w:tc>
          <w:tcPr>
            <w:tcW w:w="1566" w:type="dxa"/>
            <w:vAlign w:val="center"/>
          </w:tcPr>
          <w:p>
            <w:pPr>
              <w:widowControl w:val="0"/>
              <w:jc w:val="center"/>
              <w:rPr>
                <w:rFonts w:ascii="宋体" w:hAnsi="宋体" w:cs="宋体"/>
                <w:sz w:val="21"/>
                <w:szCs w:val="21"/>
              </w:rPr>
            </w:pPr>
            <w:r>
              <w:rPr>
                <w:rFonts w:hint="eastAsia" w:ascii="Times New Roman" w:hAnsi="Times New Roman"/>
                <w:sz w:val="21"/>
                <w:szCs w:val="21"/>
              </w:rPr>
              <w:t>10527</w:t>
            </w:r>
            <w:r>
              <w:rPr>
                <w:rFonts w:hint="eastAsia"/>
                <w:sz w:val="21"/>
                <w:szCs w:val="21"/>
              </w:rPr>
              <w:t>.</w:t>
            </w:r>
            <w:r>
              <w:rPr>
                <w:rFonts w:hint="eastAsia" w:ascii="Times New Roman" w:hAnsi="Times New Roman"/>
                <w:sz w:val="21"/>
                <w:szCs w:val="21"/>
              </w:rPr>
              <w:t>483</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9320</w:t>
            </w:r>
            <w:r>
              <w:rPr>
                <w:rFonts w:hint="eastAsia"/>
                <w:sz w:val="21"/>
                <w:szCs w:val="21"/>
              </w:rPr>
              <w:t>.</w:t>
            </w:r>
            <w:r>
              <w:rPr>
                <w:rFonts w:hint="eastAsia" w:ascii="Times New Roman" w:hAnsi="Times New Roman"/>
                <w:sz w:val="21"/>
                <w:szCs w:val="21"/>
              </w:rPr>
              <w:t>766</w:t>
            </w:r>
          </w:p>
        </w:tc>
        <w:tc>
          <w:tcPr>
            <w:tcW w:w="1567" w:type="dxa"/>
            <w:vAlign w:val="center"/>
          </w:tcPr>
          <w:p>
            <w:pPr>
              <w:widowControl w:val="0"/>
              <w:jc w:val="center"/>
              <w:rPr>
                <w:rFonts w:ascii="宋体" w:hAnsi="宋体" w:cs="宋体"/>
                <w:sz w:val="21"/>
                <w:szCs w:val="21"/>
              </w:rPr>
            </w:pPr>
            <w:r>
              <w:rPr>
                <w:rFonts w:hint="eastAsia" w:ascii="Times New Roman" w:hAnsi="Times New Roman"/>
                <w:sz w:val="21"/>
                <w:szCs w:val="21"/>
              </w:rPr>
              <w:t>8362</w:t>
            </w:r>
            <w:r>
              <w:rPr>
                <w:rFonts w:hint="eastAsia"/>
                <w:sz w:val="21"/>
                <w:szCs w:val="21"/>
              </w:rPr>
              <w:t>.</w:t>
            </w:r>
            <w:r>
              <w:rPr>
                <w:rFonts w:hint="eastAsia" w:ascii="Times New Roman" w:hAnsi="Times New Roman"/>
                <w:sz w:val="21"/>
                <w:szCs w:val="21"/>
              </w:rPr>
              <w:t>240</w:t>
            </w:r>
          </w:p>
        </w:tc>
      </w:tr>
    </w:tbl>
    <w:p>
      <w:pPr>
        <w:widowControl w:val="0"/>
        <w:spacing w:line="480" w:lineRule="exact"/>
        <w:ind w:firstLine="210" w:firstLineChars="100"/>
        <w:rPr>
          <w:rFonts w:ascii="宋体" w:hAnsi="宋体"/>
          <w:sz w:val="21"/>
          <w:szCs w:val="21"/>
        </w:rPr>
      </w:pPr>
      <w:r>
        <w:rPr>
          <w:rFonts w:hint="eastAsia" w:ascii="宋体" w:hAnsi="宋体"/>
          <w:sz w:val="21"/>
          <w:szCs w:val="21"/>
        </w:rPr>
        <w:t>注：</w:t>
      </w:r>
      <w:r>
        <w:rPr>
          <w:rFonts w:hint="eastAsia" w:ascii="宋体" w:hAnsi="宋体"/>
          <w:position w:val="-10"/>
          <w:sz w:val="21"/>
          <w:szCs w:val="21"/>
        </w:rPr>
        <w:object>
          <v:shape id="_x0000_i1336" o:spt="75" type="#_x0000_t75" style="height:17.4pt;width:15.05pt;" o:ole="t" filled="f" coordsize="21600,21600">
            <v:path/>
            <v:fill on="f" focussize="0,0"/>
            <v:stroke/>
            <v:imagedata r:id="rId864" o:title=""/>
            <o:lock v:ext="edit" aspectratio="t"/>
            <w10:wrap type="none"/>
            <w10:anchorlock/>
          </v:shape>
          <o:OLEObject Type="Embed" ProgID="Equation.3" ShapeID="_x0000_i1336" DrawAspect="Content" ObjectID="_1468076016" r:id="rId863">
            <o:LockedField>false</o:LockedField>
          </o:OLEObject>
        </w:object>
      </w:r>
      <w:r>
        <w:rPr>
          <w:rFonts w:hint="eastAsia" w:ascii="宋体" w:hAnsi="宋体"/>
          <w:sz w:val="21"/>
          <w:szCs w:val="21"/>
        </w:rPr>
        <w:t>—弹性支点刚度</w:t>
      </w:r>
      <w:r>
        <w:rPr>
          <w:rFonts w:ascii="Times New Roman" w:hAnsi="Times New Roman"/>
          <w:sz w:val="21"/>
          <w:szCs w:val="21"/>
        </w:rPr>
        <w:t>系数（kN/m）；</w:t>
      </w:r>
    </w:p>
    <w:p>
      <w:pPr>
        <w:widowControl w:val="0"/>
        <w:spacing w:line="480" w:lineRule="exact"/>
        <w:ind w:firstLine="630" w:firstLineChars="300"/>
        <w:rPr>
          <w:sz w:val="21"/>
          <w:szCs w:val="21"/>
        </w:rPr>
      </w:pPr>
      <w:r>
        <w:rPr>
          <w:position w:val="-14"/>
          <w:sz w:val="21"/>
          <w:szCs w:val="21"/>
        </w:rPr>
        <w:drawing>
          <wp:inline distT="0" distB="0" distL="0" distR="0">
            <wp:extent cx="140970" cy="241300"/>
            <wp:effectExtent l="0" t="0" r="0" b="0"/>
            <wp:docPr id="769" name="图片 7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9" name="图片 769"/>
                    <pic:cNvPicPr>
                      <a:picLocks noChangeAspect="true" noChangeArrowheads="true"/>
                    </pic:cNvPicPr>
                  </pic:nvPicPr>
                  <pic:blipFill>
                    <a:blip r:embed="rId862" cstate="print">
                      <a:extLst>
                        <a:ext uri="{28A0092B-C50C-407E-A947-70E740481C1C}">
                          <a14:useLocalDpi xmlns:a14="http://schemas.microsoft.com/office/drawing/2010/main" val="false"/>
                        </a:ext>
                      </a:extLst>
                    </a:blip>
                    <a:srcRect/>
                    <a:stretch>
                      <a:fillRect/>
                    </a:stretch>
                  </pic:blipFill>
                  <pic:spPr>
                    <a:xfrm>
                      <a:off x="0" y="0"/>
                      <a:ext cx="140970" cy="241300"/>
                    </a:xfrm>
                    <a:prstGeom prst="rect">
                      <a:avLst/>
                    </a:prstGeom>
                    <a:noFill/>
                    <a:ln>
                      <a:noFill/>
                    </a:ln>
                  </pic:spPr>
                </pic:pic>
              </a:graphicData>
            </a:graphic>
          </wp:inline>
        </w:drawing>
      </w:r>
      <w:r>
        <w:rPr>
          <w:rFonts w:hint="eastAsia"/>
          <w:sz w:val="21"/>
          <w:szCs w:val="21"/>
        </w:rPr>
        <w:t>—锚杆长度</w:t>
      </w:r>
      <w:r>
        <w:rPr>
          <w:rFonts w:ascii="Times New Roman" w:hAnsi="Times New Roman"/>
          <w:sz w:val="21"/>
          <w:szCs w:val="21"/>
        </w:rPr>
        <w:t>（m）；</w:t>
      </w:r>
    </w:p>
    <w:p>
      <w:pPr>
        <w:widowControl w:val="0"/>
        <w:spacing w:line="480" w:lineRule="exact"/>
        <w:ind w:firstLine="630" w:firstLineChars="300"/>
        <w:rPr>
          <w:sz w:val="21"/>
          <w:szCs w:val="21"/>
        </w:rPr>
      </w:pPr>
      <w:r>
        <w:rPr>
          <w:position w:val="-10"/>
          <w:sz w:val="21"/>
          <w:szCs w:val="21"/>
        </w:rPr>
        <w:object>
          <v:shape id="_x0000_i1337" o:spt="75" type="#_x0000_t75" style="height:17.4pt;width:10.3pt;" o:ole="t" filled="f" coordsize="21600,21600">
            <v:path/>
            <v:fill on="f" focussize="0,0"/>
            <v:stroke/>
            <v:imagedata r:id="rId866" o:title=""/>
            <o:lock v:ext="edit" aspectratio="t"/>
            <w10:wrap type="none"/>
            <w10:anchorlock/>
          </v:shape>
          <o:OLEObject Type="Embed" ProgID="Equation.3" ShapeID="_x0000_i1337" DrawAspect="Content" ObjectID="_1468076017" r:id="rId865">
            <o:LockedField>false</o:LockedField>
          </o:OLEObject>
        </w:object>
      </w:r>
      <w:r>
        <w:rPr>
          <w:rFonts w:hint="eastAsia"/>
          <w:sz w:val="21"/>
          <w:szCs w:val="21"/>
        </w:rPr>
        <w:t>—锚杆自由段</w:t>
      </w:r>
      <w:r>
        <w:rPr>
          <w:rFonts w:ascii="Times New Roman" w:hAnsi="Times New Roman"/>
          <w:sz w:val="21"/>
          <w:szCs w:val="21"/>
        </w:rPr>
        <w:t>长度（m）。</w:t>
      </w:r>
    </w:p>
    <w:p>
      <w:pPr>
        <w:widowControl w:val="0"/>
        <w:spacing w:line="480" w:lineRule="exact"/>
        <w:ind w:firstLine="470" w:firstLineChars="196"/>
        <w:rPr>
          <w:rFonts w:ascii="宋体" w:hAnsi="宋体"/>
        </w:rPr>
      </w:pPr>
      <w:r>
        <w:rPr>
          <w:rFonts w:hint="eastAsia" w:ascii="宋体" w:hAnsi="宋体"/>
        </w:rPr>
        <w:t>（</w:t>
      </w:r>
      <w:r>
        <w:rPr>
          <w:rFonts w:hint="eastAsia" w:ascii="Times New Roman" w:hAnsi="Times New Roman"/>
        </w:rPr>
        <w:t>2</w:t>
      </w:r>
      <w:r>
        <w:rPr>
          <w:rFonts w:hint="eastAsia" w:ascii="宋体" w:hAnsi="宋体"/>
        </w:rPr>
        <w:t>）锚杆通常是以群体的形式出现，如果锚杆布置的很密，土层中受力区的重叠会引起应力叠加和锚杆位移，从而使锚杆极限抗拔力不能有效发挥，这就是通常说的“群锚效应”，锚杆极限抗拔力会因群锚效应而减小。群锚效应与锚固体间距、直径、长度及地层性状等因素有关。必须注意的是，采用扩大头锚杆或直径大于</w:t>
      </w:r>
      <w:r>
        <w:rPr>
          <w:rFonts w:ascii="Times New Roman" w:hAnsi="Times New Roman"/>
        </w:rPr>
        <w:t>250mm的</w:t>
      </w:r>
      <w:r>
        <w:rPr>
          <w:rFonts w:hint="eastAsia" w:ascii="宋体" w:hAnsi="宋体"/>
        </w:rPr>
        <w:t>锚杆时，由于锚杆拉力较大，不仅产生“群锚效应”，其计算拉力的叠加，有可能大于锚杆设置区段整个土体所能提供的抗拔承载力，应对土体的整体所能提供的抗拔承载力进行验算。</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lang w:eastAsia="zh-CN"/>
        </w:rPr>
        <w:t>5</w:t>
      </w:r>
      <w:r>
        <w:rPr>
          <w:rFonts w:hint="eastAsia" w:ascii="Times New Roman" w:hAnsi="Times New Roman"/>
          <w:b/>
        </w:rPr>
        <w:t>.8</w:t>
      </w:r>
      <w:r>
        <w:rPr>
          <w:rFonts w:hint="eastAsia" w:ascii="宋体" w:hAnsi="宋体"/>
          <w:b/>
        </w:rPr>
        <w:t xml:space="preserve"> </w:t>
      </w:r>
      <w:r>
        <w:rPr>
          <w:rFonts w:hint="eastAsia" w:ascii="宋体" w:hAnsi="宋体"/>
        </w:rPr>
        <w:t>荷载分散型锚杆可分为拉力分散型锚杆和压力分散型锚杆。</w:t>
      </w:r>
    </w:p>
    <w:p>
      <w:pPr>
        <w:widowControl w:val="0"/>
        <w:spacing w:line="480" w:lineRule="exact"/>
        <w:ind w:firstLine="470" w:firstLineChars="196"/>
        <w:rPr>
          <w:rFonts w:ascii="宋体" w:hAnsi="宋体"/>
        </w:rPr>
      </w:pPr>
      <w:r>
        <w:rPr>
          <w:rFonts w:hint="eastAsia" w:ascii="宋体" w:hAnsi="宋体"/>
        </w:rPr>
        <w:t>拉力分散型锚杆应由若干拉力型单元锚杆组合而成，各拉力型单元锚杆的锚固段应位于锚杆总锚固段的不同部位。适用于锚杆承载力要求较高的软岩或土体工程。</w:t>
      </w:r>
    </w:p>
    <w:p>
      <w:pPr>
        <w:widowControl w:val="0"/>
        <w:spacing w:line="480" w:lineRule="exact"/>
        <w:ind w:firstLine="470" w:firstLineChars="196"/>
        <w:rPr>
          <w:rFonts w:ascii="宋体" w:hAnsi="宋体"/>
        </w:rPr>
      </w:pPr>
      <w:r>
        <w:rPr>
          <w:rFonts w:hint="eastAsia" w:ascii="宋体" w:hAnsi="宋体"/>
        </w:rPr>
        <w:t>压力分散型锚杆应由若干压力型单元锚杆组合而成，各压力型单元锚杆的锚固段应位于锚杆总锚固段的不同部位。适用于锚杆承载力要求较高或防腐等级要求较高的软岩或土体工程。</w:t>
      </w:r>
    </w:p>
    <w:p>
      <w:pPr>
        <w:widowControl w:val="0"/>
        <w:spacing w:line="480" w:lineRule="exact"/>
        <w:rPr>
          <w:rFonts w:ascii="宋体" w:hAnsi="宋体"/>
          <w:color w:val="auto"/>
          <w:szCs w:val="24"/>
        </w:rPr>
      </w:pPr>
      <w:r>
        <w:rPr>
          <w:rFonts w:hint="eastAsia" w:ascii="Times New Roman" w:hAnsi="Times New Roman"/>
          <w:b/>
        </w:rPr>
        <w:t>8.</w:t>
      </w:r>
      <w:r>
        <w:rPr>
          <w:rFonts w:hint="eastAsia" w:ascii="Times New Roman" w:hAnsi="Times New Roman"/>
          <w:b/>
          <w:lang w:eastAsia="zh-CN"/>
        </w:rPr>
        <w:t>5</w:t>
      </w:r>
      <w:r>
        <w:rPr>
          <w:rFonts w:hint="eastAsia" w:ascii="Times New Roman" w:hAnsi="Times New Roman"/>
          <w:b/>
        </w:rPr>
        <w:t>.10</w:t>
      </w:r>
      <w:r>
        <w:rPr>
          <w:rFonts w:hint="eastAsia" w:ascii="宋体" w:hAnsi="宋体"/>
          <w:b/>
        </w:rPr>
        <w:t xml:space="preserve"> </w:t>
      </w:r>
      <w:r>
        <w:rPr>
          <w:rFonts w:hint="eastAsia" w:ascii="宋体" w:hAnsi="宋体"/>
          <w:szCs w:val="24"/>
        </w:rPr>
        <w:t>当锚杆杆件</w:t>
      </w:r>
      <w:r>
        <w:rPr>
          <w:rFonts w:hint="eastAsia" w:ascii="宋体" w:hAnsi="宋体"/>
          <w:color w:val="auto"/>
          <w:szCs w:val="24"/>
        </w:rPr>
        <w:t>的受拉荷载设计值确定后，杆件截面面积的确定可根据《混凝土结构设计规范》确定。</w:t>
      </w:r>
    </w:p>
    <w:p>
      <w:pPr>
        <w:widowControl w:val="0"/>
        <w:spacing w:line="480" w:lineRule="exact"/>
        <w:rPr>
          <w:rFonts w:ascii="宋体" w:hAnsi="宋体"/>
          <w:color w:val="auto"/>
          <w:szCs w:val="24"/>
        </w:rPr>
      </w:pPr>
      <w:r>
        <w:rPr>
          <w:rFonts w:hint="eastAsia" w:ascii="Times New Roman" w:hAnsi="Times New Roman"/>
          <w:b/>
          <w:color w:val="auto"/>
        </w:rPr>
        <w:t>8.</w:t>
      </w:r>
      <w:r>
        <w:rPr>
          <w:rFonts w:hint="eastAsia" w:ascii="Times New Roman" w:hAnsi="Times New Roman"/>
          <w:b/>
          <w:color w:val="auto"/>
          <w:lang w:eastAsia="zh-CN"/>
        </w:rPr>
        <w:t>5</w:t>
      </w:r>
      <w:r>
        <w:rPr>
          <w:rFonts w:hint="eastAsia" w:ascii="Times New Roman" w:hAnsi="Times New Roman"/>
          <w:b/>
          <w:color w:val="auto"/>
        </w:rPr>
        <w:t>.11</w:t>
      </w:r>
      <w:r>
        <w:rPr>
          <w:rFonts w:hint="eastAsia" w:ascii="宋体" w:hAnsi="宋体"/>
          <w:b/>
          <w:color w:val="auto"/>
        </w:rPr>
        <w:t xml:space="preserve"> </w:t>
      </w:r>
      <w:r>
        <w:rPr>
          <w:rFonts w:hint="eastAsia" w:ascii="宋体" w:hAnsi="宋体"/>
          <w:color w:val="auto"/>
          <w:szCs w:val="24"/>
        </w:rPr>
        <w:t>位移控制要求严格时，锚杆锁定力值可适当提高。</w:t>
      </w:r>
    </w:p>
    <w:p>
      <w:pPr>
        <w:bidi w:val="0"/>
        <w:jc w:val="center"/>
        <w:outlineLvl w:val="9"/>
        <w:rPr>
          <w:rFonts w:hint="eastAsia"/>
          <w:b/>
          <w:bCs/>
          <w:sz w:val="28"/>
          <w:szCs w:val="24"/>
        </w:rPr>
      </w:pPr>
      <w:r>
        <w:rPr>
          <w:rFonts w:hint="eastAsia"/>
          <w:b/>
          <w:bCs/>
          <w:sz w:val="28"/>
          <w:szCs w:val="24"/>
        </w:rPr>
        <w:t>III  施工与检测</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lang w:eastAsia="zh-CN"/>
        </w:rPr>
        <w:t>5</w:t>
      </w:r>
      <w:r>
        <w:rPr>
          <w:rFonts w:hint="eastAsia" w:ascii="Times New Roman" w:hAnsi="Times New Roman"/>
          <w:b/>
        </w:rPr>
        <w:t xml:space="preserve">.24 </w:t>
      </w:r>
      <w:r>
        <w:rPr>
          <w:rFonts w:hint="eastAsia" w:ascii="宋体" w:hAnsi="宋体"/>
        </w:rPr>
        <w:t>在孔壁不稳定地层中，或地层受扰动导致水土流失而危及邻近建筑物或构筑物的稳定时，宜采用套管护壁钻孔。近几年，我国已生产有双动力、套管全跟进设备。</w:t>
      </w:r>
    </w:p>
    <w:p>
      <w:pPr>
        <w:widowControl w:val="0"/>
        <w:spacing w:line="480" w:lineRule="exact"/>
        <w:ind w:firstLine="480" w:firstLineChars="200"/>
        <w:rPr>
          <w:b/>
        </w:rPr>
      </w:pPr>
      <w:r>
        <w:rPr>
          <w:rFonts w:hint="eastAsia" w:ascii="宋体" w:hAnsi="宋体"/>
        </w:rPr>
        <w:t>套管护壁钻孔是指必须采用套管全跟进护壁的钻孔形式。套管护壁钻孔对钻孔周边的扰动小，钻头位于套管内，只掏出套管内的土体，不掏或很少掏出套管外的土体，较少的扰动钻孔周边的土体。在水压力较大的地层中，可避免水压引起的沿钻孔流水、流泥，有利于保证注浆饱满度和注浆质量，提高孔壁地层与注浆体的粘结强度。</w:t>
      </w:r>
    </w:p>
    <w:p>
      <w:pPr>
        <w:widowControl w:val="0"/>
        <w:spacing w:line="480" w:lineRule="exact"/>
        <w:rPr>
          <w:rFonts w:ascii="宋体" w:hAnsi="宋体"/>
          <w:szCs w:val="24"/>
        </w:rPr>
      </w:pPr>
      <w:r>
        <w:rPr>
          <w:rFonts w:hint="eastAsia" w:ascii="Times New Roman" w:hAnsi="Times New Roman"/>
          <w:b/>
        </w:rPr>
        <w:t>8.</w:t>
      </w:r>
      <w:r>
        <w:rPr>
          <w:rFonts w:hint="eastAsia" w:ascii="Times New Roman" w:hAnsi="Times New Roman"/>
          <w:b/>
          <w:lang w:eastAsia="zh-CN"/>
        </w:rPr>
        <w:t>5</w:t>
      </w:r>
      <w:r>
        <w:rPr>
          <w:rFonts w:hint="eastAsia" w:ascii="Times New Roman" w:hAnsi="Times New Roman"/>
          <w:b/>
        </w:rPr>
        <w:t>.26</w:t>
      </w:r>
      <w:r>
        <w:rPr>
          <w:rFonts w:hint="eastAsia" w:ascii="宋体" w:hAnsi="宋体"/>
          <w:b/>
        </w:rPr>
        <w:t xml:space="preserve"> </w:t>
      </w:r>
      <w:r>
        <w:rPr>
          <w:rFonts w:hint="eastAsia" w:ascii="宋体" w:hAnsi="宋体"/>
          <w:szCs w:val="24"/>
        </w:rPr>
        <w:t>根据地质条件和工程需要，</w:t>
      </w:r>
      <w:r>
        <w:rPr>
          <w:rFonts w:ascii="宋体" w:hAnsi="宋体"/>
          <w:szCs w:val="24"/>
        </w:rPr>
        <w:t>锚杆</w:t>
      </w:r>
      <w:r>
        <w:rPr>
          <w:rFonts w:hint="eastAsia" w:ascii="宋体" w:hAnsi="宋体"/>
          <w:szCs w:val="24"/>
        </w:rPr>
        <w:t>注浆时为了改善水泥浆液的性能，水泥浆液中可以适量加入相应的外加剂，其含量不宜大于水泥用量的</w:t>
      </w:r>
      <w:r>
        <w:rPr>
          <w:rFonts w:hint="eastAsia" w:ascii="Times New Roman" w:hAnsi="Times New Roman"/>
          <w:szCs w:val="24"/>
        </w:rPr>
        <w:t>5</w:t>
      </w:r>
      <w:r>
        <w:rPr>
          <w:rFonts w:hint="eastAsia" w:ascii="宋体" w:hAnsi="宋体"/>
          <w:szCs w:val="24"/>
        </w:rPr>
        <w:t>%。</w:t>
      </w:r>
    </w:p>
    <w:p>
      <w:pPr>
        <w:pStyle w:val="3"/>
        <w:bidi w:val="0"/>
      </w:pPr>
      <w:bookmarkStart w:id="1330" w:name="_Toc26599"/>
      <w:bookmarkStart w:id="1331" w:name="_Toc9203"/>
      <w:r>
        <w:rPr>
          <w:rFonts w:hint="eastAsia"/>
        </w:rPr>
        <w:t>8.</w:t>
      </w:r>
      <w:r>
        <w:rPr>
          <w:rFonts w:hint="eastAsia"/>
          <w:lang w:eastAsia="zh-CN"/>
        </w:rPr>
        <w:t>6</w:t>
      </w:r>
      <w:r>
        <w:rPr>
          <w:rFonts w:hint="eastAsia"/>
        </w:rPr>
        <w:t xml:space="preserve">  内支撑结构</w:t>
      </w:r>
      <w:bookmarkEnd w:id="1330"/>
      <w:bookmarkEnd w:id="1331"/>
    </w:p>
    <w:p>
      <w:pPr>
        <w:bidi w:val="0"/>
        <w:jc w:val="center"/>
        <w:rPr>
          <w:rFonts w:hint="eastAsia"/>
          <w:b/>
          <w:bCs/>
          <w:sz w:val="28"/>
          <w:szCs w:val="24"/>
        </w:rPr>
      </w:pPr>
      <w:r>
        <w:rPr>
          <w:rFonts w:hint="eastAsia"/>
          <w:b/>
          <w:bCs/>
          <w:sz w:val="28"/>
          <w:szCs w:val="24"/>
        </w:rPr>
        <w:t>Ⅰ 一般规定</w:t>
      </w:r>
    </w:p>
    <w:p>
      <w:pPr>
        <w:widowControl w:val="0"/>
        <w:spacing w:line="480" w:lineRule="exact"/>
        <w:rPr>
          <w:rFonts w:ascii="宋体" w:hAnsi="宋体"/>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.1～8.</w:t>
      </w:r>
      <w:r>
        <w:rPr>
          <w:rFonts w:hint="eastAsia" w:ascii="Times New Roman" w:hAnsi="Times New Roman"/>
          <w:b/>
          <w:bCs/>
          <w:szCs w:val="28"/>
          <w:lang w:eastAsia="zh-CN"/>
        </w:rPr>
        <w:t>6</w:t>
      </w:r>
      <w:r>
        <w:rPr>
          <w:rFonts w:hint="eastAsia" w:ascii="Times New Roman" w:hAnsi="Times New Roman"/>
          <w:b/>
          <w:bCs/>
          <w:szCs w:val="28"/>
        </w:rPr>
        <w:t xml:space="preserve">.3 </w:t>
      </w:r>
      <w:r>
        <w:rPr>
          <w:rFonts w:hint="eastAsia" w:ascii="宋体" w:hAnsi="宋体"/>
        </w:rPr>
        <w:t>随着我省经济迅速发展，深基坑工程越来</w:t>
      </w:r>
      <w:r>
        <w:rPr>
          <w:rFonts w:hint="eastAsia"/>
        </w:rPr>
        <w:t>越</w:t>
      </w:r>
      <w:r>
        <w:rPr>
          <w:rFonts w:hint="eastAsia" w:ascii="宋体" w:hAnsi="宋体"/>
        </w:rPr>
        <w:t>多，内支撑支护结构在各地均有广泛采用。目前以钢结构支撑与钢筋混凝土结构支撑为主，也有工程立柱支撑采用钢管混凝土</w:t>
      </w:r>
      <w:r>
        <w:rPr>
          <w:rFonts w:hint="eastAsia"/>
        </w:rPr>
        <w:t>、</w:t>
      </w:r>
      <w:r>
        <w:rPr>
          <w:rFonts w:hint="eastAsia" w:ascii="宋体" w:hAnsi="宋体"/>
        </w:rPr>
        <w:t>水平支撑采用型钢混凝土。钢支撑与钢筋混凝土支撑各有优缺点，设计与施工时应根据现场条件进行优选。内支撑结构的设计计算多属于结构力学与结构设计内容，本节主要强调结构体系的稳定性、节点构造的可靠性</w:t>
      </w:r>
      <w:r>
        <w:rPr>
          <w:rFonts w:hint="eastAsia"/>
        </w:rPr>
        <w:t>以及</w:t>
      </w:r>
      <w:r>
        <w:rPr>
          <w:rFonts w:hint="eastAsia" w:ascii="宋体" w:hAnsi="宋体"/>
        </w:rPr>
        <w:t>承载能力极限状态和正常使用极限状态的要求。</w:t>
      </w:r>
    </w:p>
    <w:p>
      <w:pPr>
        <w:widowControl w:val="0"/>
        <w:spacing w:line="480" w:lineRule="exact"/>
        <w:rPr>
          <w:color w:val="FF0000"/>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.4 </w:t>
      </w:r>
      <w:r>
        <w:rPr>
          <w:rFonts w:hint="eastAsia"/>
          <w:szCs w:val="21"/>
        </w:rPr>
        <w:t>内支撑结构设计时，支撑构件范围内的顶面的活荷载可</w:t>
      </w:r>
      <w:r>
        <w:rPr>
          <w:rFonts w:ascii="Times New Roman" w:hAnsi="Times New Roman"/>
          <w:szCs w:val="21"/>
        </w:rPr>
        <w:t>取3kN/</w:t>
      </w:r>
      <w:r>
        <w:rPr>
          <w:rFonts w:hint="eastAsia" w:ascii="Times New Roman" w:hAnsi="Times New Roman"/>
          <w:szCs w:val="21"/>
        </w:rPr>
        <w:t>m</w:t>
      </w:r>
      <w:r>
        <w:rPr>
          <w:rFonts w:hint="eastAsia" w:ascii="Times New Roman" w:hAnsi="Times New Roman"/>
          <w:szCs w:val="21"/>
          <w:vertAlign w:val="superscript"/>
        </w:rPr>
        <w:t>2</w:t>
      </w:r>
      <w:r>
        <w:rPr>
          <w:rFonts w:ascii="Times New Roman" w:hAnsi="Times New Roman"/>
          <w:szCs w:val="21"/>
        </w:rPr>
        <w:t>~4kN/</w:t>
      </w:r>
      <w:r>
        <w:rPr>
          <w:rFonts w:hint="eastAsia" w:ascii="Times New Roman" w:hAnsi="Times New Roman"/>
          <w:szCs w:val="21"/>
        </w:rPr>
        <w:t>m</w:t>
      </w:r>
      <w:r>
        <w:rPr>
          <w:rFonts w:hint="eastAsia" w:ascii="Times New Roman" w:hAnsi="Times New Roman"/>
          <w:szCs w:val="21"/>
          <w:vertAlign w:val="superscript"/>
        </w:rPr>
        <w:t>2</w:t>
      </w:r>
      <w:r>
        <w:rPr>
          <w:rFonts w:ascii="Times New Roman" w:hAnsi="Times New Roman"/>
          <w:szCs w:val="21"/>
        </w:rPr>
        <w:t>，</w:t>
      </w:r>
      <w:r>
        <w:rPr>
          <w:rFonts w:hint="eastAsia"/>
          <w:szCs w:val="21"/>
        </w:rPr>
        <w:t>以考虑施工期间支撑作为施工人员的通道以及用作施工泵送混凝土管道的支架</w:t>
      </w:r>
      <w:r>
        <w:rPr>
          <w:rFonts w:hint="eastAsia"/>
        </w:rPr>
        <w:t>。</w:t>
      </w:r>
      <w:r>
        <w:rPr>
          <w:rFonts w:hint="eastAsia"/>
          <w:szCs w:val="21"/>
        </w:rPr>
        <w:t>当利用支撑构件兼作施工平台或栈桥时，或者采取逆作法施工时，应进行专门的设计。</w:t>
      </w:r>
    </w:p>
    <w:p>
      <w:pPr>
        <w:bidi w:val="0"/>
        <w:jc w:val="center"/>
        <w:rPr>
          <w:rFonts w:hint="eastAsia"/>
          <w:b/>
          <w:bCs/>
          <w:sz w:val="28"/>
          <w:szCs w:val="24"/>
        </w:rPr>
      </w:pPr>
      <w:r>
        <w:rPr>
          <w:rFonts w:hint="eastAsia"/>
          <w:b/>
          <w:bCs/>
          <w:sz w:val="28"/>
          <w:szCs w:val="24"/>
        </w:rPr>
        <w:t>Ⅱ 内支撑体系选型与布置</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.6 </w:t>
      </w:r>
      <w:r>
        <w:rPr>
          <w:rFonts w:hint="eastAsia"/>
          <w:szCs w:val="21"/>
        </w:rPr>
        <w:t>内支撑结构选型时应考虑主体地下结构以及基坑形状，目前工程较多采用简化计算，所以选用的形式应受力明确，结构对称。如果作为施工平台时应进行专门设计。</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.7 </w:t>
      </w:r>
      <w:r>
        <w:rPr>
          <w:rFonts w:hint="eastAsia"/>
          <w:szCs w:val="21"/>
        </w:rPr>
        <w:t>内支撑布置形式有许多种，但归纳起来大致有四类：单向的对顶支撑；双向对顶支撑；环形支撑；竖向斜支撑。规范中列了几种常见形式，实际工程应根据现场情况设计合理的形式。</w:t>
      </w:r>
    </w:p>
    <w:p>
      <w:pPr>
        <w:widowControl w:val="0"/>
        <w:spacing w:line="480" w:lineRule="exact"/>
        <w:rPr>
          <w:color w:val="auto"/>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.8 </w:t>
      </w:r>
      <w:r>
        <w:rPr>
          <w:rFonts w:hint="eastAsia"/>
          <w:szCs w:val="21"/>
        </w:rPr>
        <w:t>内支撑的平面布置应同时满足基坑工程开挖及支撑结构安全要求，采用机械施工时应满足施工机械的最小空间尺寸。基坑面积较大时平面支承应加设立柱来保证垂直位移，立柱间距应根据计算确定，但不宜太大。根据国内一些城市的经验，内支撑平面长度应有一定</w:t>
      </w:r>
      <w:r>
        <w:rPr>
          <w:rFonts w:hint="eastAsia"/>
          <w:color w:val="auto"/>
          <w:szCs w:val="21"/>
        </w:rPr>
        <w:t>的限制，过长对位移控制不利，一般不宜大</w:t>
      </w:r>
      <w:r>
        <w:rPr>
          <w:rFonts w:ascii="Times New Roman" w:hAnsi="Times New Roman"/>
          <w:color w:val="auto"/>
          <w:szCs w:val="21"/>
        </w:rPr>
        <w:t>于150m。</w:t>
      </w:r>
    </w:p>
    <w:p>
      <w:pPr>
        <w:widowControl w:val="0"/>
        <w:spacing w:line="480" w:lineRule="exact"/>
        <w:ind w:firstLine="480" w:firstLineChars="200"/>
        <w:rPr>
          <w:color w:val="auto"/>
          <w:szCs w:val="21"/>
        </w:rPr>
      </w:pPr>
      <w:r>
        <w:rPr>
          <w:rFonts w:hint="eastAsia"/>
          <w:color w:val="auto"/>
          <w:szCs w:val="21"/>
        </w:rPr>
        <w:t>基坑阳角处的受力比较复杂，是应力集中的部位，稍有疏忽易在这些部位出现问题。基坑平面的设计首先应尽量避免出现阳角。当不可避免时，需作特别加强。</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.9 </w:t>
      </w:r>
      <w:r>
        <w:rPr>
          <w:rFonts w:hint="eastAsia"/>
          <w:szCs w:val="21"/>
        </w:rPr>
        <w:t>设置多层平面支撑时，上下层杆件宜布置在同一竖直面上，有利于立柱的设置，也有利于基坑施工。</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.10 </w:t>
      </w:r>
      <w:r>
        <w:rPr>
          <w:rFonts w:hint="eastAsia"/>
          <w:szCs w:val="21"/>
        </w:rPr>
        <w:t>竖向斜支撑应在基坑内设置基础，如果利用桩承台或基础作为支点时，应进行验算并征得结构设计单位的同意。</w:t>
      </w:r>
    </w:p>
    <w:p>
      <w:pPr>
        <w:bidi w:val="0"/>
        <w:jc w:val="center"/>
        <w:rPr>
          <w:rFonts w:hint="eastAsia"/>
          <w:b/>
          <w:bCs/>
          <w:sz w:val="28"/>
          <w:szCs w:val="24"/>
        </w:rPr>
      </w:pPr>
      <w:r>
        <w:rPr>
          <w:rFonts w:hint="eastAsia"/>
          <w:b/>
          <w:bCs/>
          <w:sz w:val="28"/>
          <w:szCs w:val="24"/>
        </w:rPr>
        <w:t>Ⅲ 内支撑体结构设计计算</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.11 </w:t>
      </w:r>
      <w:r>
        <w:rPr>
          <w:rFonts w:hint="eastAsia"/>
          <w:szCs w:val="21"/>
        </w:rPr>
        <w:t>内支撑结构纵横两个方向土压力及变形不完全相等，当内支撑结构成为可变体系时，容易发生整体失稳。</w:t>
      </w:r>
      <w:r>
        <w:rPr>
          <w:rFonts w:hint="eastAsia"/>
        </w:rPr>
        <w:t>为</w:t>
      </w:r>
      <w:r>
        <w:rPr>
          <w:rFonts w:hint="eastAsia"/>
          <w:szCs w:val="21"/>
        </w:rPr>
        <w:t>防止施工开挖</w:t>
      </w:r>
      <w:r>
        <w:rPr>
          <w:rFonts w:hint="eastAsia" w:ascii="Calibri" w:eastAsia="宋体"/>
          <w:szCs w:val="21"/>
          <w:lang w:val="en-US" w:eastAsia="zh-CN"/>
        </w:rPr>
        <w:t>过</w:t>
      </w:r>
      <w:r>
        <w:rPr>
          <w:rFonts w:hint="eastAsia"/>
          <w:szCs w:val="21"/>
        </w:rPr>
        <w:t>程中出现施工偶然状态，应使用超静定体系，并设置赘余支撑。</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.12 </w:t>
      </w:r>
      <w:r>
        <w:rPr>
          <w:rFonts w:hint="eastAsia"/>
          <w:szCs w:val="21"/>
        </w:rPr>
        <w:t>内支撑支护结构一般由围护体系与支撑体系两部分组成，围护结构与支撑结构共同组成空间结构体系，两者共同承受土体的约束及荷载的作用，因此支撑体系的水平位移包括两部分：第一部分是荷载作用下支撑体系的变形；第二部分是刚体位移，该部分是由于开挖过程中，基坑侧壁上荷载不同而发生的。刚体位移的发生使得基坑侧壁上的荷载重新调整，直至调整平衡。在考虑刚体位移时一般采用有限元建模，通过计算机计算，但计算出来的结果容易出现异常，实施前应根据经验进行复核。在不考虑刚体位移时，可采用简化计算。</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.13</w:t>
      </w:r>
      <w:r>
        <w:rPr>
          <w:rFonts w:hint="eastAsia"/>
          <w:szCs w:val="21"/>
        </w:rPr>
        <w:t xml:space="preserve"> 简化计算</w:t>
      </w:r>
      <w:r>
        <w:rPr>
          <w:rFonts w:hint="eastAsia"/>
        </w:rPr>
        <w:t>是</w:t>
      </w:r>
      <w:r>
        <w:rPr>
          <w:rFonts w:hint="eastAsia"/>
          <w:szCs w:val="21"/>
        </w:rPr>
        <w:t>将围护结构与支撑结构考虑相互作用后单独计算，围护体系沿基坑周边取单位长度围护（桩）墙为计算单元。建立如</w:t>
      </w:r>
      <w:r>
        <w:rPr>
          <w:rFonts w:hint="eastAsia"/>
        </w:rPr>
        <w:t>下图</w:t>
      </w:r>
      <w:r>
        <w:rPr>
          <w:rFonts w:hint="eastAsia"/>
          <w:szCs w:val="21"/>
        </w:rPr>
        <w:t>所示的计算模型。</w:t>
      </w:r>
    </w:p>
    <w:p>
      <w:pPr>
        <w:widowControl w:val="0"/>
        <w:spacing w:line="360" w:lineRule="auto"/>
        <w:rPr>
          <w:szCs w:val="21"/>
        </w:rPr>
      </w:pPr>
      <w:r>
        <w:rPr>
          <w:rFonts w:hint="eastAsia"/>
          <w:szCs w:val="21"/>
        </w:rPr>
        <w:t xml:space="preserve">  </w:t>
      </w:r>
    </w:p>
    <w:p>
      <w:pPr>
        <w:widowControl w:val="0"/>
        <w:spacing w:line="360" w:lineRule="auto"/>
        <w:rPr>
          <w:szCs w:val="21"/>
        </w:rPr>
      </w:pPr>
      <w:r>
        <mc:AlternateContent>
          <mc:Choice Requires="wpg">
            <w:drawing>
              <wp:anchor distT="0" distB="0" distL="114300" distR="114300" simplePos="0" relativeHeight="251668480" behindDoc="0" locked="0" layoutInCell="1" allowOverlap="1">
                <wp:simplePos x="0" y="0"/>
                <wp:positionH relativeFrom="column">
                  <wp:posOffset>566420</wp:posOffset>
                </wp:positionH>
                <wp:positionV relativeFrom="paragraph">
                  <wp:posOffset>-229870</wp:posOffset>
                </wp:positionV>
                <wp:extent cx="4752340" cy="1916430"/>
                <wp:effectExtent l="0" t="0" r="0" b="0"/>
                <wp:wrapNone/>
                <wp:docPr id="229" name="组合 229"/>
                <wp:cNvGraphicFramePr/>
                <a:graphic xmlns:a="http://schemas.openxmlformats.org/drawingml/2006/main">
                  <a:graphicData uri="http://schemas.microsoft.com/office/word/2010/wordprocessingGroup">
                    <wpg:wgp>
                      <wpg:cNvGrpSpPr/>
                      <wpg:grpSpPr>
                        <a:xfrm>
                          <a:off x="0" y="0"/>
                          <a:ext cx="4752340" cy="1916430"/>
                          <a:chOff x="0" y="0"/>
                          <a:chExt cx="7484" cy="3018"/>
                        </a:xfrm>
                      </wpg:grpSpPr>
                      <pic:pic xmlns:pic="http://schemas.openxmlformats.org/drawingml/2006/picture">
                        <pic:nvPicPr>
                          <pic:cNvPr id="771" name="Object 193"/>
                          <pic:cNvPicPr>
                            <a:picLocks noChangeAspect="true"/>
                          </pic:cNvPicPr>
                        </pic:nvPicPr>
                        <pic:blipFill>
                          <a:blip r:embed="rId867"/>
                          <a:stretch>
                            <a:fillRect/>
                          </a:stretch>
                        </pic:blipFill>
                        <pic:spPr>
                          <a:xfrm>
                            <a:off x="0" y="0"/>
                            <a:ext cx="7484" cy="3018"/>
                          </a:xfrm>
                          <a:prstGeom prst="rect">
                            <a:avLst/>
                          </a:prstGeom>
                          <a:noFill/>
                          <a:ln w="9525">
                            <a:noFill/>
                          </a:ln>
                        </pic:spPr>
                      </pic:pic>
                      <wpg:grpSp>
                        <wpg:cNvPr id="230" name="组合 774"/>
                        <wpg:cNvGrpSpPr/>
                        <wpg:grpSpPr>
                          <a:xfrm>
                            <a:off x="5475" y="1263"/>
                            <a:ext cx="1604" cy="1212"/>
                            <a:chOff x="0" y="0"/>
                            <a:chExt cx="1604" cy="1212"/>
                          </a:xfrm>
                        </wpg:grpSpPr>
                        <wps:wsp>
                          <wps:cNvPr id="772" name="文本框 772"/>
                          <wps:cNvSpPr txBox="true"/>
                          <wps:spPr>
                            <a:xfrm>
                              <a:off x="0" y="0"/>
                              <a:ext cx="1604" cy="612"/>
                            </a:xfrm>
                            <a:prstGeom prst="rect">
                              <a:avLst/>
                            </a:prstGeom>
                            <a:noFill/>
                            <a:ln>
                              <a:noFill/>
                            </a:ln>
                          </wps:spPr>
                          <wps:txbx>
                            <w:txbxContent>
                              <w:p>
                                <w:pPr>
                                  <w:spacing w:line="360" w:lineRule="auto"/>
                                  <w:rPr>
                                    <w:rFonts w:ascii="Times New Roman" w:hAnsi="Times New Roman"/>
                                    <w:szCs w:val="21"/>
                                  </w:rPr>
                                </w:pPr>
                                <w:r>
                                  <w:rPr>
                                    <w:rFonts w:ascii="Times New Roman" w:hAnsi="Times New Roman"/>
                                    <w:i/>
                                    <w:iCs/>
                                    <w:szCs w:val="21"/>
                                  </w:rPr>
                                  <w:t>R</w:t>
                                </w:r>
                                <w:r>
                                  <w:rPr>
                                    <w:rFonts w:ascii="Times New Roman" w:hAnsi="Times New Roman"/>
                                    <w:szCs w:val="21"/>
                                    <w:vertAlign w:val="subscript"/>
                                  </w:rPr>
                                  <w:t>c1</w:t>
                                </w:r>
                                <w:r>
                                  <w:rPr>
                                    <w:rFonts w:ascii="Times New Roman" w:hAnsi="Times New Roman"/>
                                    <w:szCs w:val="21"/>
                                  </w:rPr>
                                  <w:t xml:space="preserve">= </w:t>
                                </w:r>
                                <w:r>
                                  <w:rPr>
                                    <w:rFonts w:ascii="Times New Roman" w:hAnsi="Times New Roman"/>
                                    <w:i/>
                                    <w:iCs/>
                                    <w:szCs w:val="21"/>
                                  </w:rPr>
                                  <w:t>K</w:t>
                                </w:r>
                                <w:r>
                                  <w:rPr>
                                    <w:rFonts w:ascii="Times New Roman" w:hAnsi="Times New Roman"/>
                                    <w:szCs w:val="21"/>
                                    <w:vertAlign w:val="subscript"/>
                                  </w:rPr>
                                  <w:t>c1</w:t>
                                </w:r>
                                <w:r>
                                  <w:rPr>
                                    <w:rFonts w:ascii="Times New Roman" w:hAnsi="Times New Roman"/>
                                    <w:szCs w:val="21"/>
                                  </w:rPr>
                                  <w:t>·</w:t>
                                </w:r>
                                <w:r>
                                  <w:rPr>
                                    <w:rFonts w:ascii="Times New Roman" w:hAnsi="Times New Roman"/>
                                    <w:i/>
                                    <w:iCs/>
                                    <w:szCs w:val="21"/>
                                  </w:rPr>
                                  <w:t>δ</w:t>
                                </w:r>
                                <w:r>
                                  <w:rPr>
                                    <w:rFonts w:ascii="Times New Roman" w:hAnsi="Times New Roman"/>
                                    <w:szCs w:val="21"/>
                                    <w:vertAlign w:val="subscript"/>
                                  </w:rPr>
                                  <w:t>1</w:t>
                                </w:r>
                              </w:p>
                            </w:txbxContent>
                          </wps:txbx>
                          <wps:bodyPr upright="true"/>
                        </wps:wsp>
                        <wps:wsp>
                          <wps:cNvPr id="773" name="文本框 773"/>
                          <wps:cNvSpPr txBox="true"/>
                          <wps:spPr>
                            <a:xfrm>
                              <a:off x="0" y="507"/>
                              <a:ext cx="1604" cy="705"/>
                            </a:xfrm>
                            <a:prstGeom prst="rect">
                              <a:avLst/>
                            </a:prstGeom>
                            <a:noFill/>
                            <a:ln>
                              <a:noFill/>
                            </a:ln>
                          </wps:spPr>
                          <wps:txbx>
                            <w:txbxContent>
                              <w:p>
                                <w:pPr>
                                  <w:spacing w:line="360" w:lineRule="auto"/>
                                  <w:rPr>
                                    <w:rFonts w:ascii="Times New Roman" w:hAnsi="Times New Roman"/>
                                    <w:szCs w:val="21"/>
                                  </w:rPr>
                                </w:pPr>
                                <w:r>
                                  <w:rPr>
                                    <w:rFonts w:ascii="Times New Roman" w:hAnsi="Times New Roman"/>
                                    <w:i/>
                                    <w:iCs/>
                                    <w:szCs w:val="21"/>
                                  </w:rPr>
                                  <w:t>R</w:t>
                                </w:r>
                                <w:r>
                                  <w:rPr>
                                    <w:rFonts w:ascii="Times New Roman" w:hAnsi="Times New Roman"/>
                                    <w:szCs w:val="21"/>
                                    <w:vertAlign w:val="subscript"/>
                                  </w:rPr>
                                  <w:t>c2</w:t>
                                </w:r>
                                <w:r>
                                  <w:rPr>
                                    <w:rFonts w:ascii="Times New Roman" w:hAnsi="Times New Roman"/>
                                    <w:szCs w:val="21"/>
                                  </w:rPr>
                                  <w:t xml:space="preserve">= </w:t>
                                </w:r>
                                <w:r>
                                  <w:rPr>
                                    <w:rFonts w:ascii="Times New Roman" w:hAnsi="Times New Roman"/>
                                    <w:i/>
                                    <w:iCs/>
                                    <w:szCs w:val="21"/>
                                  </w:rPr>
                                  <w:t>K</w:t>
                                </w:r>
                                <w:r>
                                  <w:rPr>
                                    <w:rFonts w:ascii="Times New Roman" w:hAnsi="Times New Roman"/>
                                    <w:szCs w:val="21"/>
                                    <w:vertAlign w:val="subscript"/>
                                  </w:rPr>
                                  <w:t>c2</w:t>
                                </w:r>
                                <w:r>
                                  <w:rPr>
                                    <w:rFonts w:ascii="Times New Roman" w:hAnsi="Times New Roman"/>
                                    <w:szCs w:val="21"/>
                                  </w:rPr>
                                  <w:t>·</w:t>
                                </w:r>
                                <w:r>
                                  <w:rPr>
                                    <w:rFonts w:ascii="Times New Roman" w:hAnsi="Times New Roman"/>
                                    <w:i/>
                                    <w:iCs/>
                                    <w:szCs w:val="21"/>
                                  </w:rPr>
                                  <w:t>δ</w:t>
                                </w:r>
                                <w:r>
                                  <w:rPr>
                                    <w:rFonts w:ascii="Times New Roman" w:hAnsi="Times New Roman"/>
                                    <w:szCs w:val="21"/>
                                    <w:vertAlign w:val="subscript"/>
                                  </w:rPr>
                                  <w:t>2</w:t>
                                </w:r>
                              </w:p>
                            </w:txbxContent>
                          </wps:txbx>
                          <wps:bodyPr upright="true"/>
                        </wps:wsp>
                      </wpg:grpSp>
                    </wpg:wgp>
                  </a:graphicData>
                </a:graphic>
              </wp:anchor>
            </w:drawing>
          </mc:Choice>
          <mc:Fallback>
            <w:pict>
              <v:group id="_x0000_s1026" o:spid="_x0000_s1026" o:spt="203" style="position:absolute;left:0pt;margin-left:44.6pt;margin-top:-18.1pt;height:150.9pt;width:374.2pt;z-index:251668480;mso-width-relative:page;mso-height-relative:page;" coordsize="7484,3018" o:gfxdata="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">
                <o:lock v:ext="edit" aspectratio="f"/>
                <v:shape id="Object 193" o:spid="_x0000_s1026" o:spt="75" type="#_x0000_t75" style="position:absolute;left:0;top:0;height:3018;width:7484;" filled="f" o:preferrelative="t" stroked="f" coordsize="21600,21600" o:gfxdata="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a84vAAAANwAAAAPAAAAAAAAAAEAIAAAADgAAABkcnMvZG93bnJldi54&#10;bWxQSwECFAAUAAAACACHTuJAMy8FnjsAAAA5AAAAEAAAAAAAAAABACAAAAAhAQAAZHJzL3NoYXBl&#10;eG1sLnhtbFBLBQYAAAAABgAGAFsBAADLAwAAAAA=&#10;">
                  <v:fill on="f" focussize="0,0"/>
                  <v:stroke on="f"/>
                  <v:imagedata r:id="rId867" o:title=""/>
                  <o:lock v:ext="edit" aspectratio="t"/>
                </v:shape>
                <v:group id="组合 774" o:spid="_x0000_s1026" o:spt="203" style="position:absolute;left:5475;top:1263;height:1212;width:1604;" coordsize="1604,1212" o:gfxdata="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Y0zYQuwAAANwAAAAPAAAAAAAAAAEAIAAA&#10;ADgAAABkcnMvZG93bnJldi54bWxQSwECFAAUAAAACACHTuJAMy8FnjsAAAA5AAAAFQAAAAAAAAAB&#10;ACAAAAAgAQAAZHJzL2dyb3Vwc2hhcGV4bWwueG1sUEsFBgAAAAAGAAYAYAEAAN0DAAAAAA==&#10;">
                  <o:lock v:ext="edit" aspectratio="f"/>
                  <v:shape id="_x0000_s1026" o:spid="_x0000_s1026" o:spt="202" type="#_x0000_t202" style="position:absolute;left:0;top:0;height:612;width:1604;" filled="f" stroked="f" coordsize="21600,21600" o:gfxdata="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vdkgS+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spacing w:line="360" w:lineRule="auto"/>
                            <w:rPr>
                              <w:rFonts w:ascii="Times New Roman" w:hAnsi="Times New Roman"/>
                              <w:szCs w:val="21"/>
                            </w:rPr>
                          </w:pPr>
                          <w:r>
                            <w:rPr>
                              <w:rFonts w:ascii="Times New Roman" w:hAnsi="Times New Roman"/>
                              <w:i/>
                              <w:iCs/>
                              <w:szCs w:val="21"/>
                            </w:rPr>
                            <w:t>R</w:t>
                          </w:r>
                          <w:r>
                            <w:rPr>
                              <w:rFonts w:ascii="Times New Roman" w:hAnsi="Times New Roman"/>
                              <w:szCs w:val="21"/>
                              <w:vertAlign w:val="subscript"/>
                            </w:rPr>
                            <w:t>c1</w:t>
                          </w:r>
                          <w:r>
                            <w:rPr>
                              <w:rFonts w:ascii="Times New Roman" w:hAnsi="Times New Roman"/>
                              <w:szCs w:val="21"/>
                            </w:rPr>
                            <w:t xml:space="preserve">= </w:t>
                          </w:r>
                          <w:r>
                            <w:rPr>
                              <w:rFonts w:ascii="Times New Roman" w:hAnsi="Times New Roman"/>
                              <w:i/>
                              <w:iCs/>
                              <w:szCs w:val="21"/>
                            </w:rPr>
                            <w:t>K</w:t>
                          </w:r>
                          <w:r>
                            <w:rPr>
                              <w:rFonts w:ascii="Times New Roman" w:hAnsi="Times New Roman"/>
                              <w:szCs w:val="21"/>
                              <w:vertAlign w:val="subscript"/>
                            </w:rPr>
                            <w:t>c1</w:t>
                          </w:r>
                          <w:r>
                            <w:rPr>
                              <w:rFonts w:ascii="Times New Roman" w:hAnsi="Times New Roman"/>
                              <w:szCs w:val="21"/>
                            </w:rPr>
                            <w:t>·</w:t>
                          </w:r>
                          <w:r>
                            <w:rPr>
                              <w:rFonts w:ascii="Times New Roman" w:hAnsi="Times New Roman"/>
                              <w:i/>
                              <w:iCs/>
                              <w:szCs w:val="21"/>
                            </w:rPr>
                            <w:t>δ</w:t>
                          </w:r>
                          <w:r>
                            <w:rPr>
                              <w:rFonts w:ascii="Times New Roman" w:hAnsi="Times New Roman"/>
                              <w:szCs w:val="21"/>
                              <w:vertAlign w:val="subscript"/>
                            </w:rPr>
                            <w:t>1</w:t>
                          </w:r>
                        </w:p>
                      </w:txbxContent>
                    </v:textbox>
                  </v:shape>
                  <v:shape id="_x0000_s1026" o:spid="_x0000_s1026" o:spt="202" type="#_x0000_t202" style="position:absolute;left:0;top:507;height:705;width:1604;" filled="f" stroked="f" coordsize="21600,21600" o:gfxdata="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RN5++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spacing w:line="360" w:lineRule="auto"/>
                            <w:rPr>
                              <w:rFonts w:ascii="Times New Roman" w:hAnsi="Times New Roman"/>
                              <w:szCs w:val="21"/>
                            </w:rPr>
                          </w:pPr>
                          <w:r>
                            <w:rPr>
                              <w:rFonts w:ascii="Times New Roman" w:hAnsi="Times New Roman"/>
                              <w:i/>
                              <w:iCs/>
                              <w:szCs w:val="21"/>
                            </w:rPr>
                            <w:t>R</w:t>
                          </w:r>
                          <w:r>
                            <w:rPr>
                              <w:rFonts w:ascii="Times New Roman" w:hAnsi="Times New Roman"/>
                              <w:szCs w:val="21"/>
                              <w:vertAlign w:val="subscript"/>
                            </w:rPr>
                            <w:t>c2</w:t>
                          </w:r>
                          <w:r>
                            <w:rPr>
                              <w:rFonts w:ascii="Times New Roman" w:hAnsi="Times New Roman"/>
                              <w:szCs w:val="21"/>
                            </w:rPr>
                            <w:t xml:space="preserve">= </w:t>
                          </w:r>
                          <w:r>
                            <w:rPr>
                              <w:rFonts w:ascii="Times New Roman" w:hAnsi="Times New Roman"/>
                              <w:i/>
                              <w:iCs/>
                              <w:szCs w:val="21"/>
                            </w:rPr>
                            <w:t>K</w:t>
                          </w:r>
                          <w:r>
                            <w:rPr>
                              <w:rFonts w:ascii="Times New Roman" w:hAnsi="Times New Roman"/>
                              <w:szCs w:val="21"/>
                              <w:vertAlign w:val="subscript"/>
                            </w:rPr>
                            <w:t>c2</w:t>
                          </w:r>
                          <w:r>
                            <w:rPr>
                              <w:rFonts w:ascii="Times New Roman" w:hAnsi="Times New Roman"/>
                              <w:szCs w:val="21"/>
                            </w:rPr>
                            <w:t>·</w:t>
                          </w:r>
                          <w:r>
                            <w:rPr>
                              <w:rFonts w:ascii="Times New Roman" w:hAnsi="Times New Roman"/>
                              <w:i/>
                              <w:iCs/>
                              <w:szCs w:val="21"/>
                            </w:rPr>
                            <w:t>δ</w:t>
                          </w:r>
                          <w:r>
                            <w:rPr>
                              <w:rFonts w:ascii="Times New Roman" w:hAnsi="Times New Roman"/>
                              <w:szCs w:val="21"/>
                              <w:vertAlign w:val="subscript"/>
                            </w:rPr>
                            <w:t>2</w:t>
                          </w:r>
                        </w:p>
                      </w:txbxContent>
                    </v:textbox>
                  </v:shape>
                </v:group>
              </v:group>
            </w:pict>
          </mc:Fallback>
        </mc:AlternateContent>
      </w:r>
    </w:p>
    <w:p>
      <w:pPr>
        <w:widowControl w:val="0"/>
        <w:spacing w:line="360" w:lineRule="auto"/>
        <w:rPr>
          <w:szCs w:val="21"/>
        </w:rPr>
      </w:pPr>
    </w:p>
    <w:p>
      <w:pPr>
        <w:widowControl w:val="0"/>
        <w:spacing w:line="480" w:lineRule="exact"/>
        <w:rPr>
          <w:szCs w:val="21"/>
        </w:rPr>
      </w:pPr>
      <w:r>
        <w:rPr>
          <w:rFonts w:hint="eastAsia"/>
          <w:szCs w:val="21"/>
        </w:rPr>
        <w:t xml:space="preserve">   </w:t>
      </w:r>
    </w:p>
    <w:p>
      <w:pPr>
        <w:widowControl w:val="0"/>
        <w:spacing w:line="480" w:lineRule="exact"/>
        <w:rPr>
          <w:szCs w:val="21"/>
        </w:rPr>
      </w:pPr>
    </w:p>
    <w:p>
      <w:pPr>
        <w:widowControl w:val="0"/>
        <w:spacing w:line="480" w:lineRule="exact"/>
        <w:rPr>
          <w:szCs w:val="21"/>
        </w:rPr>
      </w:pPr>
    </w:p>
    <w:p>
      <w:pPr>
        <w:widowControl w:val="0"/>
        <w:spacing w:line="480" w:lineRule="exact"/>
        <w:rPr>
          <w:szCs w:val="21"/>
        </w:rPr>
      </w:pPr>
    </w:p>
    <w:p>
      <w:pPr>
        <w:widowControl w:val="0"/>
        <w:spacing w:line="480" w:lineRule="exact"/>
        <w:ind w:firstLine="480" w:firstLineChars="200"/>
        <w:rPr>
          <w:rFonts w:ascii="宋体" w:hAnsi="宋体"/>
          <w:szCs w:val="21"/>
        </w:rPr>
      </w:pPr>
      <w:r>
        <w:rPr>
          <w:rFonts w:hint="eastAsia"/>
          <w:szCs w:val="21"/>
        </w:rPr>
        <w:t>图中</w:t>
      </w:r>
      <w:r>
        <w:rPr>
          <w:rFonts w:ascii="Times New Roman" w:hAnsi="Times New Roman"/>
          <w:i/>
          <w:iCs/>
          <w:szCs w:val="21"/>
        </w:rPr>
        <w:t>q</w:t>
      </w:r>
      <w:r>
        <w:rPr>
          <w:rFonts w:hint="eastAsia"/>
          <w:szCs w:val="21"/>
        </w:rPr>
        <w:t>为地面荷载，</w:t>
      </w:r>
      <w:r>
        <w:rPr>
          <w:rFonts w:hint="eastAsia"/>
          <w:position w:val="-12"/>
          <w:szCs w:val="21"/>
        </w:rPr>
        <w:object>
          <v:shape id="_x0000_i1338" o:spt="75" type="#_x0000_t75" style="height:18.2pt;width:17.4pt;" o:ole="t" filled="f" coordsize="21600,21600">
            <v:path/>
            <v:fill on="f" focussize="0,0"/>
            <v:stroke/>
            <v:imagedata r:id="rId869" o:title=""/>
            <o:lock v:ext="edit" aspectratio="t"/>
            <w10:wrap type="none"/>
            <w10:anchorlock/>
          </v:shape>
          <o:OLEObject Type="Embed" ProgID="Equation.3" ShapeID="_x0000_i1338" DrawAspect="Content" ObjectID="_1468076018" r:id="rId868">
            <o:LockedField>false</o:LockedField>
          </o:OLEObject>
        </w:object>
      </w:r>
      <w:r>
        <w:rPr>
          <w:rFonts w:hint="eastAsia"/>
          <w:szCs w:val="21"/>
        </w:rPr>
        <w:t>、</w:t>
      </w:r>
      <w:r>
        <w:rPr>
          <w:rFonts w:hint="eastAsia"/>
          <w:position w:val="-12"/>
          <w:szCs w:val="21"/>
        </w:rPr>
        <w:object>
          <v:shape id="_x0000_i1339" o:spt="75" type="#_x0000_t75" style="height:18.2pt;width:18.2pt;" o:ole="t" filled="f" coordsize="21600,21600">
            <v:path/>
            <v:fill on="f" focussize="0,0"/>
            <v:stroke/>
            <v:imagedata r:id="rId871" o:title=""/>
            <o:lock v:ext="edit" aspectratio="t"/>
            <w10:wrap type="none"/>
            <w10:anchorlock/>
          </v:shape>
          <o:OLEObject Type="Embed" ProgID="Equation.3" ShapeID="_x0000_i1339" DrawAspect="Content" ObjectID="_1468076019" r:id="rId870">
            <o:LockedField>false</o:LockedField>
          </o:OLEObject>
        </w:object>
      </w:r>
      <w:r>
        <w:rPr>
          <w:rFonts w:hint="eastAsia"/>
          <w:szCs w:val="21"/>
        </w:rPr>
        <w:t>为水平支撑对围护结构的支撑力，</w:t>
      </w:r>
      <w:r>
        <w:rPr>
          <w:rFonts w:hint="eastAsia"/>
          <w:position w:val="-12"/>
          <w:szCs w:val="21"/>
        </w:rPr>
        <w:object>
          <v:shape id="_x0000_i1340" o:spt="75" type="#_x0000_t75" style="height:18.2pt;width:19pt;" o:ole="t" filled="f" coordsize="21600,21600">
            <v:path/>
            <v:fill on="f" focussize="0,0"/>
            <v:stroke/>
            <v:imagedata r:id="rId873" o:title=""/>
            <o:lock v:ext="edit" aspectratio="t"/>
            <w10:wrap type="none"/>
            <w10:anchorlock/>
          </v:shape>
          <o:OLEObject Type="Embed" ProgID="Equation.3" ShapeID="_x0000_i1340" DrawAspect="Content" ObjectID="_1468076020" r:id="rId872">
            <o:LockedField>false</o:LockedField>
          </o:OLEObject>
        </w:object>
      </w:r>
      <w:r>
        <w:rPr>
          <w:rFonts w:hint="eastAsia"/>
          <w:szCs w:val="21"/>
        </w:rPr>
        <w:t>、</w:t>
      </w:r>
      <w:r>
        <w:rPr>
          <w:rFonts w:hint="eastAsia"/>
          <w:position w:val="-12"/>
          <w:szCs w:val="21"/>
        </w:rPr>
        <w:object>
          <v:shape id="_x0000_i1341" o:spt="75" type="#_x0000_t75" style="height:18.2pt;width:19pt;" o:ole="t" filled="f" coordsize="21600,21600">
            <v:path/>
            <v:fill on="f" focussize="0,0"/>
            <v:stroke/>
            <v:imagedata r:id="rId875" o:title=""/>
            <o:lock v:ext="edit" aspectratio="t"/>
            <w10:wrap type="none"/>
            <w10:anchorlock/>
          </v:shape>
          <o:OLEObject Type="Embed" ProgID="Equation.3" ShapeID="_x0000_i1341" DrawAspect="Content" ObjectID="_1468076021" r:id="rId874">
            <o:LockedField>false</o:LockedField>
          </o:OLEObject>
        </w:object>
      </w:r>
      <w:r>
        <w:rPr>
          <w:rFonts w:hint="eastAsia"/>
          <w:szCs w:val="21"/>
        </w:rPr>
        <w:t>为支撑水平变形刚度，</w:t>
      </w:r>
      <w:r>
        <w:rPr>
          <w:rFonts w:hint="eastAsia"/>
          <w:position w:val="-10"/>
          <w:szCs w:val="21"/>
        </w:rPr>
        <w:object>
          <v:shape id="_x0000_i1342" o:spt="75" type="#_x0000_t75" style="height:17.4pt;width:11.85pt;" o:ole="t" filled="f" coordsize="21600,21600">
            <v:path/>
            <v:fill on="f" focussize="0,0"/>
            <v:stroke/>
            <v:imagedata r:id="rId877" o:title=""/>
            <o:lock v:ext="edit" aspectratio="t"/>
            <w10:wrap type="none"/>
            <w10:anchorlock/>
          </v:shape>
          <o:OLEObject Type="Embed" ProgID="Equation.3" ShapeID="_x0000_i1342" DrawAspect="Content" ObjectID="_1468076022" r:id="rId876">
            <o:LockedField>false</o:LockedField>
          </o:OLEObject>
        </w:object>
      </w:r>
      <w:r>
        <w:rPr>
          <w:rFonts w:hint="eastAsia" w:ascii="宋体" w:hAnsi="宋体"/>
          <w:i/>
          <w:iCs/>
          <w:szCs w:val="21"/>
        </w:rPr>
        <w:t>、</w:t>
      </w:r>
      <w:r>
        <w:rPr>
          <w:rFonts w:hint="eastAsia" w:ascii="宋体" w:hAnsi="宋体"/>
          <w:i/>
          <w:iCs/>
          <w:position w:val="-10"/>
          <w:szCs w:val="21"/>
        </w:rPr>
        <w:object>
          <v:shape id="_x0000_i1343" o:spt="75" type="#_x0000_t75" style="height:17.4pt;width:12.65pt;" o:ole="t" filled="f" coordsize="21600,21600">
            <v:path/>
            <v:fill on="f" focussize="0,0"/>
            <v:stroke/>
            <v:imagedata r:id="rId879" o:title=""/>
            <o:lock v:ext="edit" aspectratio="t"/>
            <w10:wrap type="none"/>
            <w10:anchorlock/>
          </v:shape>
          <o:OLEObject Type="Embed" ProgID="Equation.3" ShapeID="_x0000_i1343" DrawAspect="Content" ObjectID="_1468076023" r:id="rId878">
            <o:LockedField>false</o:LockedField>
          </o:OLEObject>
        </w:object>
      </w:r>
      <w:r>
        <w:rPr>
          <w:rFonts w:hint="eastAsia" w:ascii="宋体" w:hAnsi="宋体"/>
          <w:szCs w:val="21"/>
        </w:rPr>
        <w:t>为支撑点的水平位移。</w:t>
      </w:r>
    </w:p>
    <w:p>
      <w:pPr>
        <w:widowControl w:val="0"/>
        <w:spacing w:line="480" w:lineRule="exact"/>
        <w:ind w:firstLine="480" w:firstLineChars="200"/>
        <w:rPr>
          <w:rFonts w:ascii="宋体" w:hAnsi="宋体"/>
          <w:szCs w:val="21"/>
        </w:rPr>
      </w:pPr>
      <w:r>
        <w:rPr>
          <w:rFonts w:hint="eastAsia" w:ascii="宋体" w:hAnsi="宋体"/>
          <w:szCs w:val="21"/>
        </w:rPr>
        <w:t>在支撑体系设计计算中，应考虑支撑预加应力和温度变化影响，支撑杆件内力分布不均匀及温度变化影响系数取</w:t>
      </w:r>
      <w:r>
        <w:rPr>
          <w:rFonts w:hint="eastAsia" w:ascii="Times New Roman" w:hAnsi="Times New Roman"/>
          <w:szCs w:val="21"/>
        </w:rPr>
        <w:t>1</w:t>
      </w:r>
      <w:r>
        <w:rPr>
          <w:rFonts w:hint="eastAsia" w:ascii="宋体" w:hAnsi="宋体"/>
          <w:szCs w:val="21"/>
        </w:rPr>
        <w:t>.</w:t>
      </w:r>
      <w:r>
        <w:rPr>
          <w:rFonts w:hint="eastAsia" w:ascii="Times New Roman" w:hAnsi="Times New Roman"/>
          <w:szCs w:val="21"/>
        </w:rPr>
        <w:t>2</w:t>
      </w:r>
      <w:r>
        <w:rPr>
          <w:rFonts w:hint="eastAsia" w:ascii="宋体" w:hAnsi="宋体"/>
          <w:szCs w:val="21"/>
        </w:rPr>
        <w:t>是根据国内一些省市的工程经验确定的。</w:t>
      </w:r>
    </w:p>
    <w:p>
      <w:pPr>
        <w:bidi w:val="0"/>
        <w:jc w:val="center"/>
        <w:rPr>
          <w:rFonts w:hint="eastAsia"/>
          <w:b/>
          <w:bCs/>
          <w:sz w:val="28"/>
          <w:szCs w:val="24"/>
        </w:rPr>
      </w:pPr>
      <w:r>
        <w:rPr>
          <w:rFonts w:hint="eastAsia"/>
          <w:b/>
          <w:bCs/>
          <w:sz w:val="28"/>
          <w:szCs w:val="24"/>
        </w:rPr>
        <w:t>Ⅳ 内支撑体结构构造要求</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.16</w:t>
      </w:r>
      <w:r>
        <w:rPr>
          <w:rFonts w:hint="eastAsia" w:ascii="宋体" w:hAnsi="宋体"/>
          <w:b/>
          <w:bCs/>
          <w:szCs w:val="28"/>
        </w:rPr>
        <w:t>～</w:t>
      </w: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.19 </w:t>
      </w:r>
      <w:r>
        <w:rPr>
          <w:rFonts w:hint="eastAsia" w:ascii="宋体" w:hAnsi="宋体"/>
          <w:szCs w:val="21"/>
        </w:rPr>
        <w:t>内支撑杆件与节点的构造要求是以往的工程经验的总结，并遵循</w:t>
      </w:r>
      <w:r>
        <w:rPr>
          <w:rFonts w:hint="eastAsia"/>
          <w:szCs w:val="21"/>
        </w:rPr>
        <w:t>《混凝土结构设计规范》GB</w:t>
      </w:r>
      <w:r>
        <w:rPr>
          <w:rFonts w:hint="eastAsia" w:ascii="Times New Roman" w:hAnsi="Times New Roman"/>
          <w:szCs w:val="21"/>
        </w:rPr>
        <w:t>50010</w:t>
      </w:r>
      <w:r>
        <w:rPr>
          <w:rFonts w:hint="eastAsia"/>
          <w:szCs w:val="21"/>
        </w:rPr>
        <w:t>和《钢结构设计标准》GB</w:t>
      </w:r>
      <w:r>
        <w:rPr>
          <w:rFonts w:hint="eastAsia" w:ascii="Times New Roman" w:hAnsi="Times New Roman"/>
          <w:szCs w:val="21"/>
        </w:rPr>
        <w:t>50017</w:t>
      </w:r>
      <w:r>
        <w:rPr>
          <w:rFonts w:hint="eastAsia"/>
          <w:szCs w:val="21"/>
        </w:rPr>
        <w:t>的相关规定。目前对内支撑结构计算还不完善，构造要求是对设计计算的补充，因此正确的构造设计是非常重要的。</w:t>
      </w:r>
    </w:p>
    <w:p>
      <w:pPr>
        <w:bidi w:val="0"/>
        <w:jc w:val="center"/>
        <w:rPr>
          <w:rFonts w:hint="eastAsia"/>
          <w:b/>
          <w:bCs/>
          <w:sz w:val="28"/>
          <w:szCs w:val="24"/>
        </w:rPr>
      </w:pPr>
      <w:r>
        <w:rPr>
          <w:rFonts w:hint="eastAsia"/>
          <w:b/>
          <w:bCs/>
          <w:sz w:val="28"/>
          <w:szCs w:val="24"/>
        </w:rPr>
        <w:t>Ⅴ 内支撑体结构施工与检测</w:t>
      </w:r>
    </w:p>
    <w:p>
      <w:pPr>
        <w:widowControl w:val="0"/>
        <w:spacing w:line="480" w:lineRule="exact"/>
        <w:rPr>
          <w:rFonts w:ascii="宋体" w:hAnsi="宋体"/>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.20 </w:t>
      </w:r>
      <w:r>
        <w:rPr>
          <w:rFonts w:hint="eastAsia" w:ascii="宋体" w:hAnsi="宋体"/>
          <w:szCs w:val="21"/>
        </w:rPr>
        <w:t>为了保证支撑的受力与设计相符，施工中应保证开挖工况与设计工况一致，特别要注意土方开挖的对称性以保证基坑周边土压的对称性。</w:t>
      </w:r>
    </w:p>
    <w:p>
      <w:pPr>
        <w:widowControl w:val="0"/>
        <w:spacing w:line="480" w:lineRule="exact"/>
        <w:rPr>
          <w:rFonts w:ascii="宋体" w:hAnsi="宋体"/>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.26 </w:t>
      </w:r>
      <w:r>
        <w:rPr>
          <w:rFonts w:hint="eastAsia" w:ascii="宋体" w:hAnsi="宋体"/>
          <w:szCs w:val="21"/>
        </w:rPr>
        <w:t>钢支撑在安装后，在施加预压力的过程中，应密切观察桩、墙体变形</w:t>
      </w:r>
      <w:r>
        <w:rPr>
          <w:rFonts w:hint="eastAsia"/>
        </w:rPr>
        <w:t>，以及</w:t>
      </w:r>
      <w:r>
        <w:rPr>
          <w:rFonts w:hint="eastAsia" w:ascii="宋体" w:hAnsi="宋体"/>
          <w:szCs w:val="21"/>
        </w:rPr>
        <w:t>上层支撑的状态。同时为了保证桩、墙体受力均匀，规定逐级加压。</w:t>
      </w:r>
    </w:p>
    <w:p>
      <w:pPr>
        <w:widowControl w:val="0"/>
        <w:spacing w:line="480" w:lineRule="exact"/>
        <w:rPr>
          <w:szCs w:val="21"/>
        </w:rPr>
      </w:pPr>
      <w:r>
        <w:rPr>
          <w:rFonts w:hint="eastAsia" w:ascii="Times New Roman" w:hAnsi="Times New Roman"/>
          <w:b/>
          <w:bCs/>
          <w:szCs w:val="28"/>
        </w:rPr>
        <w:t>8.</w:t>
      </w:r>
      <w:r>
        <w:rPr>
          <w:rFonts w:hint="eastAsia" w:ascii="Times New Roman" w:hAnsi="Times New Roman"/>
          <w:b/>
          <w:bCs/>
          <w:szCs w:val="28"/>
          <w:lang w:eastAsia="zh-CN"/>
        </w:rPr>
        <w:t>6</w:t>
      </w:r>
      <w:r>
        <w:rPr>
          <w:rFonts w:hint="eastAsia" w:ascii="Times New Roman" w:hAnsi="Times New Roman"/>
          <w:b/>
          <w:bCs/>
          <w:szCs w:val="28"/>
        </w:rPr>
        <w:t xml:space="preserve">.29 </w:t>
      </w:r>
      <w:r>
        <w:rPr>
          <w:rFonts w:hint="eastAsia"/>
          <w:szCs w:val="21"/>
        </w:rPr>
        <w:t>对钢支撑，当夏期施工产生较大温度应力时，应及时对支撑采取降温措施。当冬期施工降温产生的收缩使支撑端头出现空隙时，应及时用铁楔将空隙楔紧。</w:t>
      </w:r>
    </w:p>
    <w:p>
      <w:pPr>
        <w:jc w:val="left"/>
        <w:rPr>
          <w:rFonts w:ascii="宋体" w:hAnsi="宋体"/>
          <w:szCs w:val="21"/>
        </w:rPr>
      </w:pPr>
    </w:p>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Pr>
        <w:pStyle w:val="3"/>
        <w:bidi w:val="0"/>
      </w:pPr>
      <w:bookmarkStart w:id="1332" w:name="_Toc12533"/>
      <w:bookmarkStart w:id="1333" w:name="_Toc27104"/>
      <w:bookmarkStart w:id="1334" w:name="_Toc15775"/>
      <w:bookmarkStart w:id="1335" w:name="_Toc388643627"/>
      <w:bookmarkStart w:id="1336" w:name="_Toc388643510"/>
      <w:bookmarkStart w:id="1337" w:name="_Toc5408"/>
      <w:r>
        <w:rPr>
          <w:rFonts w:ascii="Times New Roman" w:hAnsi="Times New Roman"/>
        </w:rPr>
        <w:t>8.</w:t>
      </w:r>
      <w:r>
        <w:rPr>
          <w:rFonts w:hint="eastAsia" w:ascii="Times New Roman" w:hAnsi="Times New Roman"/>
          <w:color w:val="0000FF"/>
          <w:lang w:val="en-US" w:eastAsia="zh-CN"/>
        </w:rPr>
        <w:t>7</w:t>
      </w:r>
      <w:r>
        <w:rPr>
          <w:rFonts w:hint="eastAsia" w:ascii="Times New Roman" w:hAnsi="Times New Roman"/>
        </w:rPr>
        <w:t xml:space="preserve"> </w:t>
      </w:r>
      <w:r>
        <w:rPr>
          <w:rFonts w:hint="eastAsia"/>
        </w:rPr>
        <w:t xml:space="preserve"> 逆作法</w:t>
      </w:r>
    </w:p>
    <w:p>
      <w:pPr>
        <w:bidi w:val="0"/>
        <w:jc w:val="center"/>
        <w:rPr>
          <w:rFonts w:hint="eastAsia"/>
          <w:b/>
          <w:bCs/>
          <w:sz w:val="28"/>
          <w:szCs w:val="24"/>
        </w:rPr>
      </w:pPr>
      <w:r>
        <w:rPr>
          <w:rFonts w:hint="eastAsia"/>
          <w:b/>
          <w:bCs/>
          <w:sz w:val="28"/>
          <w:szCs w:val="24"/>
        </w:rPr>
        <w:t>Ⅰ 一般规定</w:t>
      </w:r>
    </w:p>
    <w:p>
      <w:pPr>
        <w:widowControl w:val="0"/>
        <w:spacing w:line="480" w:lineRule="exact"/>
        <w:rPr>
          <w:rFonts w:ascii="宋体" w:hAnsi="宋体"/>
          <w:color w:val="0000FF"/>
        </w:rPr>
      </w:pPr>
      <w:r>
        <w:rPr>
          <w:rFonts w:hint="eastAsia" w:ascii="Times New Roman" w:hAnsi="Times New Roman"/>
          <w:b/>
          <w:bCs/>
          <w:szCs w:val="28"/>
        </w:rPr>
        <w:t>8.</w:t>
      </w:r>
      <w:r>
        <w:rPr>
          <w:rFonts w:hint="eastAsia" w:ascii="Times New Roman" w:hAnsi="Times New Roman"/>
          <w:b/>
          <w:bCs/>
          <w:color w:val="0000FF"/>
          <w:szCs w:val="28"/>
          <w:lang w:eastAsia="zh-CN"/>
        </w:rPr>
        <w:t>7</w:t>
      </w:r>
      <w:r>
        <w:rPr>
          <w:rFonts w:hint="eastAsia" w:ascii="Times New Roman" w:hAnsi="Times New Roman"/>
          <w:b/>
          <w:bCs/>
          <w:szCs w:val="28"/>
        </w:rPr>
        <w:t xml:space="preserve">.1 </w:t>
      </w:r>
      <w:r>
        <w:rPr>
          <w:rFonts w:hint="eastAsia" w:ascii="宋体" w:hAnsi="宋体"/>
          <w:b/>
          <w:bCs/>
          <w:szCs w:val="28"/>
        </w:rPr>
        <w:t>～</w:t>
      </w:r>
      <w:r>
        <w:rPr>
          <w:rFonts w:hint="eastAsia" w:ascii="Times New Roman" w:hAnsi="Times New Roman"/>
          <w:b/>
          <w:bCs/>
          <w:szCs w:val="28"/>
        </w:rPr>
        <w:t>8.</w:t>
      </w:r>
      <w:r>
        <w:rPr>
          <w:rFonts w:hint="eastAsia" w:ascii="Times New Roman" w:hAnsi="Times New Roman"/>
          <w:b/>
          <w:bCs/>
          <w:color w:val="0000FF"/>
          <w:szCs w:val="28"/>
          <w:lang w:eastAsia="zh-CN"/>
        </w:rPr>
        <w:t>7</w:t>
      </w:r>
      <w:r>
        <w:rPr>
          <w:rFonts w:hint="eastAsia" w:ascii="Times New Roman" w:hAnsi="Times New Roman"/>
          <w:b/>
          <w:bCs/>
          <w:szCs w:val="28"/>
        </w:rPr>
        <w:t xml:space="preserve">. 3 </w:t>
      </w:r>
      <w:r>
        <w:rPr>
          <w:rFonts w:hint="eastAsia" w:ascii="宋体" w:hAnsi="宋体"/>
          <w:strike/>
        </w:rPr>
        <w:t>半</w:t>
      </w:r>
      <w:r>
        <w:rPr>
          <w:rFonts w:hint="eastAsia" w:ascii="宋体" w:hAnsi="宋体"/>
        </w:rPr>
        <w:t>逆作法基坑工程是指兼作（临时或永久）支护结构的主体结构构件在满足岩土设计和结构设计的要求下，先行实施竖向结构，依照自上而下的施工顺序完成竖向结构与各结构层水平结构的连接，并以此形成安全有效的支撑体系的基坑工程。</w:t>
      </w:r>
      <w:r>
        <w:rPr>
          <w:rFonts w:hint="eastAsia" w:ascii="Times New Roman" w:hAnsi="Times New Roman"/>
        </w:rPr>
        <w:t>2008</w:t>
      </w:r>
      <w:r>
        <w:rPr>
          <w:rFonts w:hint="eastAsia" w:ascii="宋体" w:hAnsi="宋体"/>
        </w:rPr>
        <w:t>年以来，地下超过</w:t>
      </w:r>
      <w:r>
        <w:rPr>
          <w:rFonts w:hint="eastAsia" w:ascii="Times New Roman" w:hAnsi="Times New Roman"/>
        </w:rPr>
        <w:t>3</w:t>
      </w:r>
      <w:r>
        <w:rPr>
          <w:rFonts w:hint="eastAsia" w:ascii="宋体" w:hAnsi="宋体"/>
        </w:rPr>
        <w:t>层，深度大于</w:t>
      </w:r>
      <w:r>
        <w:rPr>
          <w:rFonts w:hint="eastAsia" w:ascii="Times New Roman" w:hAnsi="Times New Roman"/>
        </w:rPr>
        <w:t>16</w:t>
      </w:r>
      <w:r>
        <w:rPr>
          <w:rFonts w:hint="eastAsia" w:ascii="宋体" w:hAnsi="宋体"/>
        </w:rPr>
        <w:t>米的多个深基坑工程在太原市的交通和商业繁华地区陆续展开。针对基坑工程的一次性投入成本较高，而使用期相对主体工程较短的特点，建设单位与设计、施工单位经过多方面的调研，开始在本地区实施主体结构与支护结构共同作用半逆作法施工的基坑工程。经过多年的实际操作，在设计、工法、土方清运等方面积累了很多当地经验，设计施工节点得到了进一步的优化，取得了良好的社会和经济效益。</w:t>
      </w:r>
      <w:r>
        <w:rPr>
          <w:rFonts w:hint="eastAsia" w:ascii="宋体" w:hAnsi="宋体"/>
          <w:color w:val="0000FF"/>
        </w:rPr>
        <w:t>本规范发布以来至本次修订期间，多个全逆作法基坑工程也已相继完成并投入使用。对深大基坑的设计施工起到了促进作用。</w:t>
      </w:r>
    </w:p>
    <w:p>
      <w:pPr>
        <w:pStyle w:val="45"/>
        <w:spacing w:line="360" w:lineRule="auto"/>
        <w:ind w:firstLine="480"/>
        <w:rPr>
          <w:rFonts w:ascii="宋体" w:hAnsi="宋体"/>
          <w:szCs w:val="24"/>
        </w:rPr>
      </w:pPr>
      <w:r>
        <w:rPr>
          <w:rFonts w:hint="eastAsia" w:ascii="宋体" w:hAnsi="宋体"/>
          <w:szCs w:val="24"/>
        </w:rPr>
        <w:t>主体结构和支护结构相结合的三种方式</w:t>
      </w:r>
      <w:r>
        <w:rPr>
          <w:rFonts w:hint="eastAsia"/>
        </w:rPr>
        <w:t>：</w:t>
      </w:r>
    </w:p>
    <w:p>
      <w:pPr>
        <w:widowControl w:val="0"/>
        <w:spacing w:line="360" w:lineRule="auto"/>
        <w:ind w:firstLine="480" w:firstLineChars="200"/>
        <w:rPr>
          <w:rFonts w:ascii="宋体" w:hAnsi="宋体"/>
        </w:rPr>
      </w:pPr>
      <w:r>
        <w:rPr>
          <w:rFonts w:hint="eastAsia" w:ascii="宋体" w:hAnsi="宋体"/>
        </w:rPr>
        <w:t>第一种：地下连续墙兼做主体结构。通过单一墙、叠合墙和复合墙的方式完成“两墙合一”或“三墙合一”。</w:t>
      </w:r>
    </w:p>
    <w:p>
      <w:pPr>
        <w:widowControl w:val="0"/>
        <w:spacing w:line="360" w:lineRule="auto"/>
        <w:ind w:firstLine="480" w:firstLineChars="200"/>
        <w:rPr>
          <w:rFonts w:ascii="宋体" w:hAnsi="宋体"/>
        </w:rPr>
      </w:pPr>
      <w:r>
        <w:rPr>
          <w:rFonts w:hint="eastAsia" w:ascii="宋体" w:hAnsi="宋体"/>
        </w:rPr>
        <w:t>第二种：水平支撑构件（支撑梁）兼做主体结构水平梁系。通过宽扁梁、现浇混凝土空心楼盖、加厚水平楼板等方式提高水平支撑的抗弯、抗剪承载力，并依据现行主体结构设计要求满足主体工程使用阶段的设计要求。</w:t>
      </w:r>
    </w:p>
    <w:p>
      <w:pPr>
        <w:widowControl w:val="0"/>
        <w:spacing w:line="360" w:lineRule="auto"/>
        <w:ind w:firstLine="480" w:firstLineChars="200"/>
        <w:rPr>
          <w:rFonts w:ascii="宋体" w:hAnsi="宋体"/>
        </w:rPr>
      </w:pPr>
      <w:r>
        <w:rPr>
          <w:rFonts w:hint="eastAsia" w:ascii="宋体" w:hAnsi="宋体"/>
        </w:rPr>
        <w:t>第三种：竖向支撑构件与主体结构。是指在基坑实施过程中，根据支护设计需要，利用（部分或全部）支撑立柱桩完成基坑支护需求，在支护任务完成后，通过外包叠合、局部拆除的方式完成向主体结构柱的转变。</w:t>
      </w:r>
    </w:p>
    <w:p>
      <w:pPr>
        <w:widowControl w:val="0"/>
        <w:spacing w:line="360" w:lineRule="auto"/>
        <w:ind w:firstLine="480" w:firstLineChars="200"/>
        <w:rPr>
          <w:rFonts w:ascii="宋体" w:hAnsi="宋体"/>
        </w:rPr>
      </w:pPr>
      <w:r>
        <w:rPr>
          <w:rFonts w:hint="eastAsia" w:ascii="宋体" w:hAnsi="宋体"/>
        </w:rPr>
        <w:t>基坑工程实施过程多以其中几种或全部组合的方式进行。</w:t>
      </w:r>
    </w:p>
    <w:p>
      <w:pPr>
        <w:bidi w:val="0"/>
        <w:jc w:val="center"/>
        <w:rPr>
          <w:rFonts w:hint="eastAsia"/>
          <w:b/>
          <w:bCs/>
          <w:sz w:val="28"/>
          <w:szCs w:val="24"/>
        </w:rPr>
      </w:pPr>
      <w:r>
        <w:rPr>
          <w:rFonts w:hint="eastAsia"/>
          <w:b/>
          <w:bCs/>
          <w:sz w:val="28"/>
          <w:szCs w:val="24"/>
        </w:rPr>
        <w:t>Ⅱ 地下连续墙兼作主体结构</w:t>
      </w:r>
    </w:p>
    <w:p>
      <w:pPr>
        <w:widowControl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.4</w:t>
      </w:r>
      <w:r>
        <w:rPr>
          <w:rFonts w:hint="eastAsia"/>
          <w:b/>
        </w:rPr>
        <w:t xml:space="preserve"> </w:t>
      </w:r>
      <w:r>
        <w:rPr>
          <w:rFonts w:hint="eastAsia" w:ascii="宋体" w:hAnsi="宋体"/>
        </w:rPr>
        <w:t>地下连续墙兼作主体结构可采用单一墙、复合墙和叠合墙的形式。</w:t>
      </w:r>
    </w:p>
    <w:p>
      <w:pPr>
        <w:widowControl w:val="0"/>
        <w:autoSpaceDE w:val="0"/>
        <w:autoSpaceDN w:val="0"/>
        <w:adjustRightInd w:val="0"/>
        <w:rPr>
          <w:rFonts w:ascii="宋体" w:cs="宋体"/>
          <w:kern w:val="0"/>
          <w:sz w:val="18"/>
          <w:szCs w:val="18"/>
        </w:rPr>
      </w:pPr>
      <w:r>
        <w:rPr>
          <w:rFonts w:hint="eastAsia" w:ascii="宋体" w:hAnsi="宋体"/>
        </w:rPr>
        <w:drawing>
          <wp:anchor distT="0" distB="0" distL="114300" distR="114300" simplePos="0" relativeHeight="251686912" behindDoc="1" locked="0" layoutInCell="1" allowOverlap="1">
            <wp:simplePos x="0" y="0"/>
            <wp:positionH relativeFrom="column">
              <wp:posOffset>681990</wp:posOffset>
            </wp:positionH>
            <wp:positionV relativeFrom="paragraph">
              <wp:posOffset>36195</wp:posOffset>
            </wp:positionV>
            <wp:extent cx="5280660" cy="2145665"/>
            <wp:effectExtent l="0" t="0" r="2540" b="635"/>
            <wp:wrapTight wrapText="bothSides">
              <wp:wrapPolygon>
                <wp:start x="0" y="0"/>
                <wp:lineTo x="0" y="21479"/>
                <wp:lineTo x="21558" y="21479"/>
                <wp:lineTo x="21558" y="0"/>
                <wp:lineTo x="0" y="0"/>
              </wp:wrapPolygon>
            </wp:wrapTight>
            <wp:docPr id="77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0" name="图片 21"/>
                    <pic:cNvPicPr>
                      <a:picLocks noChangeAspect="true"/>
                    </pic:cNvPicPr>
                  </pic:nvPicPr>
                  <pic:blipFill>
                    <a:blip r:embed="rId880"/>
                    <a:stretch>
                      <a:fillRect/>
                    </a:stretch>
                  </pic:blipFill>
                  <pic:spPr>
                    <a:xfrm>
                      <a:off x="0" y="0"/>
                      <a:ext cx="5280660" cy="2145665"/>
                    </a:xfrm>
                    <a:prstGeom prst="rect">
                      <a:avLst/>
                    </a:prstGeom>
                    <a:noFill/>
                    <a:ln>
                      <a:noFill/>
                    </a:ln>
                  </pic:spPr>
                </pic:pic>
              </a:graphicData>
            </a:graphic>
          </wp:anchor>
        </w:drawing>
      </w: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p>
    <w:p>
      <w:pPr>
        <w:widowControl w:val="0"/>
        <w:autoSpaceDE w:val="0"/>
        <w:autoSpaceDN w:val="0"/>
        <w:adjustRightInd w:val="0"/>
        <w:jc w:val="center"/>
        <w:rPr>
          <w:rFonts w:ascii="宋体" w:cs="宋体"/>
          <w:kern w:val="0"/>
          <w:szCs w:val="24"/>
        </w:rPr>
      </w:pPr>
      <w:r>
        <w:rPr>
          <w:rFonts w:hint="eastAsia" w:ascii="宋体" w:cs="宋体"/>
          <w:kern w:val="0"/>
          <w:szCs w:val="24"/>
        </w:rPr>
        <w:t>两墙合一地下连续墙</w:t>
      </w:r>
    </w:p>
    <w:p>
      <w:pPr>
        <w:widowControl w:val="0"/>
        <w:spacing w:line="480" w:lineRule="exact"/>
        <w:jc w:val="center"/>
        <w:rPr>
          <w:rFonts w:ascii="宋体" w:hAnsi="宋体"/>
          <w:sz w:val="21"/>
          <w:szCs w:val="21"/>
        </w:rPr>
      </w:pPr>
      <w:r>
        <w:rPr>
          <w:rFonts w:hint="eastAsia" w:ascii="宋体" w:cs="宋体"/>
          <w:kern w:val="0"/>
          <w:sz w:val="21"/>
          <w:szCs w:val="21"/>
        </w:rPr>
        <w:t>（</w:t>
      </w:r>
      <w:r>
        <w:rPr>
          <w:rFonts w:ascii="TimesNewRomanPSMT" w:hAnsi="TimesNewRomanPSMT" w:cs="TimesNewRomanPSMT"/>
          <w:kern w:val="0"/>
          <w:sz w:val="21"/>
          <w:szCs w:val="21"/>
        </w:rPr>
        <w:t>a</w:t>
      </w:r>
      <w:r>
        <w:rPr>
          <w:rFonts w:hint="eastAsia" w:ascii="宋体" w:cs="宋体"/>
          <w:kern w:val="0"/>
          <w:sz w:val="21"/>
          <w:szCs w:val="21"/>
        </w:rPr>
        <w:t>）单一墙；（</w:t>
      </w:r>
      <w:r>
        <w:rPr>
          <w:rFonts w:ascii="TimesNewRomanPSMT" w:hAnsi="TimesNewRomanPSMT" w:cs="TimesNewRomanPSMT"/>
          <w:kern w:val="0"/>
          <w:sz w:val="21"/>
          <w:szCs w:val="21"/>
        </w:rPr>
        <w:t>b</w:t>
      </w:r>
      <w:r>
        <w:rPr>
          <w:rFonts w:hint="eastAsia" w:ascii="宋体" w:cs="宋体"/>
          <w:kern w:val="0"/>
          <w:sz w:val="21"/>
          <w:szCs w:val="21"/>
        </w:rPr>
        <w:t>）复合墙；（</w:t>
      </w:r>
      <w:r>
        <w:rPr>
          <w:rFonts w:ascii="TimesNewRomanPSMT" w:hAnsi="TimesNewRomanPSMT" w:cs="TimesNewRomanPSMT"/>
          <w:kern w:val="0"/>
          <w:sz w:val="21"/>
          <w:szCs w:val="21"/>
        </w:rPr>
        <w:t>c</w:t>
      </w:r>
      <w:r>
        <w:rPr>
          <w:rFonts w:hint="eastAsia" w:ascii="宋体" w:cs="宋体"/>
          <w:kern w:val="0"/>
          <w:sz w:val="21"/>
          <w:szCs w:val="21"/>
        </w:rPr>
        <w:t>）叠合墙</w:t>
      </w:r>
    </w:p>
    <w:p>
      <w:pPr>
        <w:widowControl w:val="0"/>
        <w:spacing w:line="480" w:lineRule="exact"/>
        <w:rPr>
          <w:rFonts w:ascii="宋体" w:hAnsi="宋体"/>
        </w:rPr>
      </w:pPr>
      <w:r>
        <w:rPr>
          <w:rFonts w:hint="eastAsia" w:ascii="Times New Roman" w:hAnsi="Times New Roman"/>
          <w:b/>
        </w:rPr>
        <w:t xml:space="preserve"> 8.</w:t>
      </w:r>
      <w:r>
        <w:rPr>
          <w:rFonts w:hint="eastAsia" w:ascii="Times New Roman" w:hAnsi="Times New Roman"/>
          <w:b/>
          <w:color w:val="0000FF"/>
          <w:lang w:eastAsia="zh-CN"/>
        </w:rPr>
        <w:t>7</w:t>
      </w:r>
      <w:r>
        <w:rPr>
          <w:rFonts w:hint="eastAsia" w:ascii="Times New Roman" w:hAnsi="Times New Roman"/>
          <w:b/>
        </w:rPr>
        <w:t xml:space="preserve">.6 </w:t>
      </w:r>
      <w:r>
        <w:rPr>
          <w:rFonts w:hint="eastAsia" w:ascii="宋体" w:hAnsi="宋体"/>
        </w:rPr>
        <w:t>处于非干湿交替的室内潮湿环境（在单一墙内侧设置隔潮层和内隔墙时），属于现行国家标准《混凝土结构耐久性设计规范》</w:t>
      </w:r>
      <w:r>
        <w:rPr>
          <w:rFonts w:ascii="宋体" w:hAnsi="宋体"/>
        </w:rPr>
        <w:t xml:space="preserve">GB/T </w:t>
      </w:r>
      <w:r>
        <w:rPr>
          <w:rFonts w:ascii="Times New Roman" w:hAnsi="Times New Roman"/>
        </w:rPr>
        <w:t>50476</w:t>
      </w:r>
      <w:r>
        <w:rPr>
          <w:rFonts w:ascii="宋体" w:hAnsi="宋体"/>
        </w:rPr>
        <w:t xml:space="preserve"> </w:t>
      </w:r>
      <w:r>
        <w:rPr>
          <w:rFonts w:hint="eastAsia" w:ascii="宋体" w:hAnsi="宋体"/>
        </w:rPr>
        <w:t>中规定的一般环境条件，裂缝宽度可按</w:t>
      </w:r>
      <w:r>
        <w:rPr>
          <w:rFonts w:ascii="Times New Roman" w:hAnsi="Times New Roman"/>
        </w:rPr>
        <w:t>0</w:t>
      </w:r>
      <w:r>
        <w:rPr>
          <w:rFonts w:ascii="宋体" w:hAnsi="宋体"/>
        </w:rPr>
        <w:t>.</w:t>
      </w:r>
      <w:r>
        <w:rPr>
          <w:rFonts w:ascii="Times New Roman" w:hAnsi="Times New Roman"/>
        </w:rPr>
        <w:t>3</w:t>
      </w:r>
      <w:r>
        <w:rPr>
          <w:rFonts w:ascii="宋体" w:hAnsi="宋体"/>
        </w:rPr>
        <w:t xml:space="preserve">mm </w:t>
      </w:r>
      <w:r>
        <w:rPr>
          <w:rFonts w:hint="eastAsia" w:ascii="宋体" w:hAnsi="宋体"/>
        </w:rPr>
        <w:t>控制，保护层厚度在大于</w:t>
      </w:r>
      <w:r>
        <w:rPr>
          <w:rFonts w:ascii="Times New Roman" w:hAnsi="Times New Roman"/>
        </w:rPr>
        <w:t>30</w:t>
      </w:r>
      <w:r>
        <w:rPr>
          <w:rFonts w:ascii="宋体" w:hAnsi="宋体"/>
        </w:rPr>
        <w:t xml:space="preserve">mm </w:t>
      </w:r>
      <w:r>
        <w:rPr>
          <w:rFonts w:hint="eastAsia" w:ascii="宋体" w:hAnsi="宋体"/>
        </w:rPr>
        <w:t>时取</w:t>
      </w:r>
      <w:r>
        <w:rPr>
          <w:rFonts w:ascii="Times New Roman" w:hAnsi="Times New Roman"/>
        </w:rPr>
        <w:t>30</w:t>
      </w:r>
      <w:r>
        <w:rPr>
          <w:rFonts w:ascii="宋体" w:hAnsi="宋体"/>
        </w:rPr>
        <w:t>mm</w:t>
      </w:r>
      <w:r>
        <w:rPr>
          <w:rFonts w:hint="eastAsia" w:ascii="宋体" w:hAnsi="宋体"/>
        </w:rPr>
        <w:t>。特殊情况下，对处于干湿交替环境下的地下连续墙进行裂缝验算时，裂缝宽度限值应取</w:t>
      </w:r>
      <w:r>
        <w:rPr>
          <w:rFonts w:ascii="Times New Roman" w:hAnsi="Times New Roman"/>
        </w:rPr>
        <w:t>0</w:t>
      </w:r>
      <w:r>
        <w:rPr>
          <w:rFonts w:ascii="宋体" w:hAnsi="宋体"/>
        </w:rPr>
        <w:t>.</w:t>
      </w:r>
      <w:r>
        <w:rPr>
          <w:rFonts w:ascii="Times New Roman" w:hAnsi="Times New Roman"/>
        </w:rPr>
        <w:t>2</w:t>
      </w:r>
      <w:r>
        <w:rPr>
          <w:rFonts w:ascii="宋体" w:hAnsi="宋体"/>
        </w:rPr>
        <w:t>mm</w:t>
      </w:r>
      <w:r>
        <w:rPr>
          <w:rFonts w:hint="eastAsia" w:ascii="宋体" w:hAnsi="宋体"/>
        </w:rPr>
        <w:t>。</w:t>
      </w:r>
    </w:p>
    <w:p>
      <w:pPr>
        <w:widowControl w:val="0"/>
        <w:autoSpaceDE w:val="0"/>
        <w:autoSpaceDN w:val="0"/>
        <w:adjustRightInd w:val="0"/>
        <w:spacing w:line="480" w:lineRule="exact"/>
        <w:ind w:firstLine="480" w:firstLineChars="200"/>
        <w:rPr>
          <w:rFonts w:ascii="宋体" w:hAnsi="宋体"/>
        </w:rPr>
      </w:pPr>
      <w:r>
        <w:rPr>
          <w:rFonts w:hint="eastAsia" w:ascii="宋体" w:hAnsi="宋体"/>
        </w:rPr>
        <w:t>地下连续墙竖向承载力的计算，可参照桩基竖向承载力的计算原则。当地下连续墙仅作为地下室外墙、承受较小的竖向荷载时，在墙顶设置统一的圈梁，槽段间采用柔性接头也能够满足承重和沉降控制要求。</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.7 </w:t>
      </w:r>
      <w:r>
        <w:rPr>
          <w:rFonts w:hint="eastAsia" w:ascii="宋体" w:hAnsi="宋体"/>
        </w:rPr>
        <w:t>兼作主体结构的地下连续墙和主体结构变形协调至关重要。</w:t>
      </w:r>
    </w:p>
    <w:p>
      <w:pPr>
        <w:widowControl w:val="0"/>
        <w:autoSpaceDE w:val="0"/>
        <w:autoSpaceDN w:val="0"/>
        <w:adjustRightInd w:val="0"/>
        <w:spacing w:line="480" w:lineRule="exact"/>
        <w:ind w:firstLine="480" w:firstLineChars="200"/>
        <w:rPr>
          <w:rFonts w:ascii="宋体" w:hAnsi="宋体"/>
        </w:rPr>
      </w:pPr>
      <w:r>
        <w:rPr>
          <w:rFonts w:hint="eastAsia" w:ascii="宋体" w:hAnsi="宋体"/>
        </w:rPr>
        <w:t>一般情况下主体结构工程桩的深度大于地下连续墙深度，不可能处于同一持力层；另外地下连续墙分布于地下室的周边，正常使用状态下与桩基承担的上部荷载存在较大差异，对于两者的变形协调有较大的影响；再者施工工艺的不同，地下连续墙成槽时采用泥浆护壁，槽段为矩形断面且长度较大，槽底清淤难度较钻孔灌注桩大。因此主体结构沉降过程中地下连续墙和工程桩之间可能会产生差异沉降，如果不采取针对性的措施控制差异沉降，地下连续墙与主体结构之间可能产生开裂现象，甚至影响结构的正常使用。地下连续墙墙底注浆可作为控制差异沉降的一种手段。本条已给出了其他几种控制差异沉降的技术措施。</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.8 </w:t>
      </w:r>
      <w:r>
        <w:rPr>
          <w:rFonts w:hint="eastAsia" w:ascii="宋体" w:hAnsi="宋体"/>
        </w:rPr>
        <w:t>地下连续墙在槽段接头位置较可能发生渗漏，因此在接头位置内外都需要设置隔水防渗的加强技术措施。工程中常采用在地下连续墙内侧槽段接缝位置设置刚性防水抗渗混凝土内衬墙（地下连续墙与内衬墙界面位置涂水泥基渗透结晶型防水材料），在地下连续墙外侧槽段接缝位置加打高压旋喷桩截水。</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.10 </w:t>
      </w:r>
      <w:r>
        <w:rPr>
          <w:rFonts w:hint="eastAsia" w:ascii="宋体" w:hAnsi="宋体"/>
        </w:rPr>
        <w:t>兼作主体结构的地下连续墙采用的接头形式在满足结构受力性能的前提下，可优先选用防水性能更好的刚性接头</w:t>
      </w:r>
      <w:r>
        <w:rPr>
          <w:rFonts w:hint="eastAsia"/>
        </w:rPr>
        <w:t>。</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.14</w:t>
      </w:r>
      <w:r>
        <w:rPr>
          <w:rFonts w:hint="eastAsia" w:ascii="宋体" w:hAnsi="宋体"/>
        </w:rPr>
        <w:t xml:space="preserve"> 兼作主体结构的地下连续墙由于是永久结构，在成槽垂直度、沉渣厚度等方面要求比临时地下连续墙的要求高。</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.15</w:t>
      </w:r>
      <w:r>
        <w:rPr>
          <w:rFonts w:hint="eastAsia" w:ascii="宋体" w:hAnsi="宋体"/>
        </w:rPr>
        <w:t xml:space="preserve"> 兼作主体结构的地下连续墙的墙身强度检测通常采用试块抗压强度试验的方法。在对墙身混凝土强度产生异议时，可采用钻孔取芯的方法进行强度检测，作为墙身强度检测的参考依据。</w:t>
      </w:r>
    </w:p>
    <w:p>
      <w:pPr>
        <w:bidi w:val="0"/>
        <w:jc w:val="center"/>
        <w:rPr>
          <w:rFonts w:hint="eastAsia"/>
          <w:b/>
          <w:bCs/>
          <w:sz w:val="28"/>
          <w:szCs w:val="24"/>
        </w:rPr>
      </w:pPr>
      <w:r>
        <w:rPr>
          <w:rFonts w:hint="eastAsia"/>
          <w:b/>
          <w:bCs/>
          <w:sz w:val="28"/>
          <w:szCs w:val="24"/>
        </w:rPr>
        <w:t>Ⅲ 水平支撑兼作主体结构</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.16 </w:t>
      </w:r>
      <w:r>
        <w:rPr>
          <w:rFonts w:hint="eastAsia" w:ascii="宋体" w:hAnsi="宋体"/>
        </w:rPr>
        <w:t>水平支撑兼作主体结构的设计中可用受力明确的梁板（或现浇混凝土空心楼盖）结构体系作为水平支撑施工</w:t>
      </w:r>
      <w:r>
        <w:rPr>
          <w:rFonts w:hint="eastAsia"/>
        </w:rPr>
        <w:t>时</w:t>
      </w:r>
      <w:r>
        <w:rPr>
          <w:rFonts w:hint="eastAsia" w:ascii="宋体" w:hAnsi="宋体"/>
        </w:rPr>
        <w:t>需要在梁间预留孔洞，梁周边预留止水片，在逆作法完毕后再浇筑封闭；也可采用结构楼板后作的梁格体系，在开挖阶段仅浇筑框架梁作为内支撑梁，梁格空间均可作为出土口，基础底板浇筑后再封闭楼板结构。另外，结构水平构件与支撑相结合设计中也可采用无梁楼盖作为水平支撑，其整体性好、支撑刚度大，并便于结构模板体系的施工。在无梁楼盖上设置施工孔洞时，一般需设置边梁并附加截水构造。无梁楼板一般在梁柱节点位置设置一定长宽的柱帽，逆作阶段竖向支承钢立柱的尺寸一般占柱帽尺寸的比例较小，因此，无梁楼盖体系梁柱节点位置钢筋穿越矛盾相对梁板体系比较容易解决。对用作支撑的结构水平构件，当采用梁板体系且结构开口较多时，可简化为仅考虑梁系的作用，。当梁板体系需考虑板的共同作用，或结构为无梁楼盖时，应采用平面有限元的方法进行整体计算分析，根据计算分析结果并结合工程概念和经验，合理确定用于结构构件设计的内力。</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.17</w:t>
      </w:r>
      <w:r>
        <w:rPr>
          <w:rFonts w:hint="eastAsia" w:ascii="宋体" w:hAnsi="宋体"/>
          <w:b/>
        </w:rPr>
        <w:t xml:space="preserve"> </w:t>
      </w:r>
      <w:r>
        <w:rPr>
          <w:rFonts w:hint="eastAsia" w:ascii="宋体" w:hAnsi="宋体"/>
        </w:rPr>
        <w:t>水平支撑兼作主体结构的设计中，立柱桩的竖向变形应严格控制。其竖向变形主要包含两个方面，一是基坑开挖卸荷引起的立柱向上的回弹隆起，另一方面为在已施工完成的水平结构和施工荷载等竖向荷重的加载作用下，立柱桩的沉降。过大的立柱桩竖向变形量和立柱桩间的差异变形，将引发对已施工完成结构的不利影响，因此在主体地下水平结构构件设计时，应通过必要的计算与构造措施来控制有害裂缝的产生。</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.18 </w:t>
      </w:r>
      <w:r>
        <w:rPr>
          <w:rFonts w:hint="eastAsia" w:ascii="宋体" w:hAnsi="宋体"/>
        </w:rPr>
        <w:t>水平支撑结构应具有直接的、完整的传力体系。当同层楼板面标高出现较大的高差时，应通过计算采取有效的转换结构以利于水平力的传递和扩散。另外，在结构楼板开洞面积较大区域和各层水平结构梁板的结构缝以及后浇带等位置，</w:t>
      </w:r>
      <w:r>
        <w:rPr>
          <w:rFonts w:hint="eastAsia"/>
        </w:rPr>
        <w:t>应</w:t>
      </w:r>
      <w:r>
        <w:rPr>
          <w:rFonts w:hint="eastAsia" w:ascii="宋体" w:hAnsi="宋体"/>
        </w:rPr>
        <w:t>通过计算和构造措施设置必要的水平支撑传力体系。</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.19 </w:t>
      </w:r>
      <w:r>
        <w:rPr>
          <w:rFonts w:hint="eastAsia" w:ascii="宋体" w:hAnsi="宋体"/>
        </w:rPr>
        <w:t>水平支撑兼作主体结构的设计中，梁柱节点处由于竖向立柱桩的存在，使得该位置框架梁钢筋穿越立柱桩的问题十分突出。支护设计应与主体设计在方案前期充分沟通协调，有条件地增大框架梁截面宽度，以降低梁柱节点位置钢筋穿越的难度。当采用钢管混凝土立柱桩时，可采取如环梁节点、加强连接环板或双梁节点等措施，以满足梁柱节点位置的各个阶段的受力要求。</w:t>
      </w:r>
    </w:p>
    <w:p>
      <w:pPr>
        <w:bidi w:val="0"/>
        <w:jc w:val="center"/>
        <w:rPr>
          <w:rFonts w:hint="eastAsia"/>
          <w:b/>
          <w:bCs/>
          <w:sz w:val="28"/>
          <w:szCs w:val="24"/>
        </w:rPr>
      </w:pPr>
      <w:r>
        <w:rPr>
          <w:rFonts w:hint="eastAsia"/>
          <w:b/>
          <w:bCs/>
          <w:sz w:val="28"/>
          <w:szCs w:val="24"/>
        </w:rPr>
        <w:t>Ⅳ 竖向支撑构件兼作主体结构</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 xml:space="preserve">.28 </w:t>
      </w:r>
      <w:r>
        <w:rPr>
          <w:rFonts w:hint="eastAsia" w:ascii="宋体" w:hAnsi="宋体"/>
        </w:rPr>
        <w:t>竖向支撑构件兼作主体结构的工程中，由于逆作阶段结构梁板的自重较大，立柱部分多采用承载力较高而断面小的角钢拼接格构立柱或钢管混凝土立柱。</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.30</w:t>
      </w:r>
      <w:r>
        <w:rPr>
          <w:rFonts w:hint="eastAsia" w:ascii="宋体" w:hAnsi="宋体"/>
          <w:b/>
        </w:rPr>
        <w:t xml:space="preserve"> </w:t>
      </w:r>
      <w:r>
        <w:rPr>
          <w:rFonts w:hint="eastAsia" w:ascii="宋体" w:hAnsi="宋体"/>
        </w:rPr>
        <w:t>兼作主体结构的竖向支撑立柱应将其垂直度允许偏差计入竖向荷载偏心的影响，偏心距应按计算跨度乘以允许偏差，并按双向偏心考虑。当利用各层水平结构体系作为支护结构的水平内支撑体系</w:t>
      </w:r>
      <w:r>
        <w:rPr>
          <w:rFonts w:hint="eastAsia"/>
        </w:rPr>
        <w:t>时</w:t>
      </w:r>
      <w:r>
        <w:rPr>
          <w:rFonts w:hint="eastAsia" w:ascii="宋体" w:hAnsi="宋体"/>
        </w:rPr>
        <w:t>，其水平支撑的刚度可假定为无限大，立柱假定为无水平位移。</w:t>
      </w:r>
    </w:p>
    <w:p>
      <w:pPr>
        <w:widowControl w:val="0"/>
        <w:autoSpaceDE w:val="0"/>
        <w:autoSpaceDN w:val="0"/>
        <w:adjustRightInd w:val="0"/>
        <w:spacing w:line="480" w:lineRule="exact"/>
        <w:rPr>
          <w:rFonts w:ascii="宋体" w:hAnsi="宋体"/>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.31</w:t>
      </w:r>
      <w:r>
        <w:rPr>
          <w:rFonts w:hint="eastAsia" w:ascii="宋体" w:hAnsi="宋体"/>
          <w:b/>
        </w:rPr>
        <w:t xml:space="preserve"> </w:t>
      </w:r>
      <w:r>
        <w:rPr>
          <w:rFonts w:hint="eastAsia" w:ascii="宋体" w:hAnsi="宋体"/>
        </w:rPr>
        <w:t>竖向支撑构件的立柱与结构梁板节点的设计，应确保节点在基坑逆作施工阶段能够可靠地承担和传递结构梁板的自重和各种施工工况荷载。</w:t>
      </w:r>
    </w:p>
    <w:p>
      <w:pPr>
        <w:widowControl w:val="0"/>
        <w:autoSpaceDE w:val="0"/>
        <w:autoSpaceDN w:val="0"/>
        <w:adjustRightInd w:val="0"/>
        <w:spacing w:line="480" w:lineRule="exact"/>
        <w:rPr>
          <w:rFonts w:hint="eastAsia" w:ascii="宋体" w:hAnsi="宋体" w:eastAsia="宋体" w:cs="Times New Roman"/>
          <w:b w:val="0"/>
          <w:bCs w:val="0"/>
          <w:kern w:val="2"/>
          <w:sz w:val="24"/>
          <w:szCs w:val="22"/>
          <w:lang w:val="en-US" w:eastAsia="zh-CN" w:bidi="ar-SA"/>
        </w:rPr>
      </w:pPr>
      <w:r>
        <w:rPr>
          <w:rFonts w:hint="eastAsia" w:ascii="Times New Roman" w:hAnsi="Times New Roman"/>
          <w:b/>
        </w:rPr>
        <w:t>8.</w:t>
      </w:r>
      <w:r>
        <w:rPr>
          <w:rFonts w:hint="eastAsia" w:ascii="Times New Roman" w:hAnsi="Times New Roman"/>
          <w:b/>
          <w:color w:val="0000FF"/>
          <w:lang w:eastAsia="zh-CN"/>
        </w:rPr>
        <w:t>7</w:t>
      </w:r>
      <w:r>
        <w:rPr>
          <w:rFonts w:hint="eastAsia" w:ascii="Times New Roman" w:hAnsi="Times New Roman"/>
          <w:b/>
        </w:rPr>
        <w:t>.34</w:t>
      </w:r>
      <w:r>
        <w:rPr>
          <w:rFonts w:hint="eastAsia" w:ascii="宋体" w:hAnsi="宋体"/>
        </w:rPr>
        <w:t xml:space="preserve"> 在逆作实施阶段，立柱桩在上部荷载的作用下以及基坑开挖后土体应力释放的影响</w:t>
      </w:r>
      <w:r>
        <w:rPr>
          <w:rFonts w:hint="eastAsia" w:ascii="宋体" w:hAnsi="宋体" w:eastAsia="宋体" w:cs="Times New Roman"/>
          <w:b w:val="0"/>
          <w:bCs w:val="0"/>
          <w:kern w:val="2"/>
          <w:sz w:val="24"/>
          <w:szCs w:val="22"/>
          <w:lang w:val="en-US" w:eastAsia="zh-CN" w:bidi="ar-SA"/>
        </w:rPr>
        <w:t>下，将发生竖向变形。当立柱桩承载不均匀时，立柱桩之间及立柱桩与地下连续墙之间可能产生较大的差异沉降，引起水平结构梁板或支撑的次生应力。如差异沉降过大，将会使水平结构梁板或支撑产生裂缝，甚至影响结构体系的安全。因此，采用支护结构与主体结构相结合逆作法设计的工程中，必须要控制竖向支承构件的不均匀沉降。通过桩端后注浆措施增大立柱桩的承载力、减少立柱桩的沉降量是缩小立柱桩差异沉降的有效措施。</w:t>
      </w:r>
    </w:p>
    <w:p>
      <w:pPr>
        <w:rPr>
          <w:rFonts w:hint="eastAsia" w:ascii="宋体" w:hAnsi="宋体" w:cs="宋体"/>
          <w:i/>
          <w:iCs/>
          <w:color w:val="000000" w:themeColor="text1"/>
          <w:sz w:val="28"/>
          <w:szCs w:val="28"/>
          <w14:textFill>
            <w14:solidFill>
              <w14:schemeClr w14:val="tx1"/>
            </w14:solidFill>
          </w14:textFill>
        </w:rPr>
      </w:pPr>
      <w:r>
        <w:rPr>
          <w:rFonts w:hint="eastAsia" w:ascii="宋体" w:hAnsi="宋体" w:cs="宋体"/>
          <w:i/>
          <w:iCs/>
          <w:color w:val="000000" w:themeColor="text1"/>
          <w:sz w:val="28"/>
          <w:szCs w:val="28"/>
          <w14:textFill>
            <w14:solidFill>
              <w14:schemeClr w14:val="tx1"/>
            </w14:solidFill>
          </w14:textFill>
        </w:rPr>
        <w:br w:type="page"/>
      </w:r>
    </w:p>
    <w:p>
      <w:pPr>
        <w:keepNext/>
        <w:keepLines/>
        <w:widowControl/>
        <w:spacing w:before="340" w:after="330" w:line="578" w:lineRule="auto"/>
        <w:jc w:val="center"/>
        <w:outlineLvl w:val="0"/>
        <w:rPr>
          <w:rFonts w:ascii="Times New Roman" w:hAnsi="Times New Roman" w:eastAsia="黑体" w:cs="Times New Roman"/>
          <w:b/>
          <w:bCs/>
          <w:kern w:val="44"/>
          <w:sz w:val="44"/>
          <w:szCs w:val="44"/>
        </w:rPr>
      </w:pPr>
      <w:r>
        <w:rPr>
          <w:rFonts w:ascii="Times New Roman" w:hAnsi="Times New Roman" w:eastAsia="黑体" w:cs="Times New Roman"/>
          <w:b/>
          <w:bCs/>
          <w:kern w:val="44"/>
          <w:sz w:val="44"/>
          <w:szCs w:val="44"/>
        </w:rPr>
        <w:t>9  土钉墙及复合土钉墙</w:t>
      </w:r>
      <w:bookmarkEnd w:id="1332"/>
    </w:p>
    <w:p>
      <w:pPr>
        <w:keepNext/>
        <w:keepLines/>
        <w:widowControl/>
        <w:spacing w:line="416" w:lineRule="auto"/>
        <w:jc w:val="center"/>
        <w:outlineLvl w:val="1"/>
        <w:rPr>
          <w:rFonts w:ascii="Cambria" w:hAnsi="Cambria" w:eastAsia="宋体" w:cs="Times New Roman"/>
          <w:b/>
          <w:bCs/>
          <w:sz w:val="32"/>
          <w:szCs w:val="32"/>
        </w:rPr>
      </w:pPr>
      <w:bookmarkStart w:id="1338" w:name="_Toc7652"/>
      <w:r>
        <w:rPr>
          <w:rFonts w:ascii="Cambria" w:hAnsi="Cambria" w:eastAsia="宋体" w:cs="Times New Roman"/>
          <w:b/>
          <w:bCs/>
          <w:sz w:val="32"/>
          <w:szCs w:val="32"/>
        </w:rPr>
        <w:t>9.1 一般规定</w:t>
      </w:r>
      <w:bookmarkEnd w:id="1338"/>
    </w:p>
    <w:p>
      <w:pPr>
        <w:autoSpaceDE w:val="0"/>
        <w:autoSpaceDN w:val="0"/>
        <w:adjustRightInd w:val="0"/>
        <w:spacing w:line="480" w:lineRule="exact"/>
        <w:jc w:val="lef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.1</w:t>
      </w:r>
      <w:r>
        <w:rPr>
          <w:rFonts w:hint="eastAsia" w:ascii="宋体" w:hAnsi="宋体" w:eastAsia="宋体" w:cs="Times New Roman"/>
          <w:sz w:val="24"/>
        </w:rPr>
        <w:t xml:space="preserve"> 土钉墙支护结构中主要受力构件是土钉，土钉成孔多采用人工洛阳铲掏土，此工艺适合的地层是粘性土和粉土</w:t>
      </w:r>
      <w:r>
        <w:rPr>
          <w:rFonts w:hint="eastAsia" w:ascii="Calibri" w:hAnsi="Calibri" w:eastAsia="宋体" w:cs="Times New Roman"/>
          <w:sz w:val="24"/>
        </w:rPr>
        <w:t>，</w:t>
      </w:r>
      <w:r>
        <w:rPr>
          <w:rFonts w:hint="eastAsia" w:ascii="宋体" w:hAnsi="宋体" w:eastAsia="宋体" w:cs="Times New Roman"/>
          <w:sz w:val="24"/>
        </w:rPr>
        <w:t>其次是稍密的砂土，土质坚硬的红粘土和砾石、卵石均不适应。如果采用锚杆钻机成孔工艺，则钻孔成本会大幅度提高，土钉墙造价的优势就得不到体现。采用直接打入型土钉，打入机械多为气动冲击器，也不适合于坚硬土质和密实的砂、砾层。</w:t>
      </w:r>
    </w:p>
    <w:p>
      <w:pPr>
        <w:autoSpaceDE w:val="0"/>
        <w:autoSpaceDN w:val="0"/>
        <w:adjustRightInd w:val="0"/>
        <w:spacing w:line="480" w:lineRule="exact"/>
        <w:ind w:firstLine="480" w:firstLineChars="200"/>
        <w:rPr>
          <w:rFonts w:ascii="宋体" w:hAnsi="宋体" w:eastAsia="宋体" w:cs="Times New Roman"/>
          <w:sz w:val="24"/>
        </w:rPr>
      </w:pPr>
      <w:r>
        <w:rPr>
          <w:rFonts w:hint="eastAsia" w:ascii="宋体" w:hAnsi="宋体" w:eastAsia="宋体" w:cs="Times New Roman"/>
          <w:sz w:val="24"/>
        </w:rPr>
        <w:t>边坡的坡率小于</w:t>
      </w:r>
      <w:r>
        <w:rPr>
          <w:rFonts w:hint="eastAsia" w:ascii="Times New Roman" w:hAnsi="Times New Roman" w:eastAsia="宋体" w:cs="Times New Roman"/>
          <w:sz w:val="24"/>
        </w:rPr>
        <w:t>1</w:t>
      </w:r>
      <w:r>
        <w:rPr>
          <w:rFonts w:hint="eastAsia" w:ascii="宋体" w:hAnsi="宋体" w:eastAsia="宋体" w:cs="Times New Roman"/>
          <w:sz w:val="24"/>
        </w:rPr>
        <w:t>：</w:t>
      </w:r>
      <w:r>
        <w:rPr>
          <w:rFonts w:hint="eastAsia" w:ascii="Times New Roman" w:hAnsi="Times New Roman" w:eastAsia="宋体" w:cs="Times New Roman"/>
          <w:sz w:val="24"/>
        </w:rPr>
        <w:t>0.2</w:t>
      </w:r>
      <w:r>
        <w:rPr>
          <w:rFonts w:hint="eastAsia" w:ascii="宋体" w:hAnsi="宋体" w:eastAsia="宋体" w:cs="Times New Roman"/>
          <w:sz w:val="24"/>
        </w:rPr>
        <w:t>可增大边坡的稳定性，满足土钉在本工况未完成前边坡的稳定。</w:t>
      </w:r>
    </w:p>
    <w:p>
      <w:pPr>
        <w:autoSpaceDE w:val="0"/>
        <w:autoSpaceDN w:val="0"/>
        <w:adjustRightInd w:val="0"/>
        <w:spacing w:line="48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.3</w:t>
      </w:r>
      <w:r>
        <w:rPr>
          <w:rFonts w:hint="eastAsia" w:ascii="宋体" w:hAnsi="宋体" w:eastAsia="宋体" w:cs="Times New Roman"/>
          <w:sz w:val="24"/>
        </w:rPr>
        <w:t xml:space="preserve"> 地下水位高于基坑底标高，同时基坑周边不允许降低地下水位时，应采用截水帷幕与土钉相结合的复合结构；截水帷幕长度和渗流性按基坑渗流稳定性和基坑周边建筑物沉降变形要求进行设计。截水帷幕一般采用水泥土搅拌桩，对基坑可起到超前支护作用，搅拌桩连续墙与土钉墙的面层叠加后可增大面层的刚度，提高抗剪强度。</w:t>
      </w:r>
    </w:p>
    <w:p>
      <w:pPr>
        <w:autoSpaceDE w:val="0"/>
        <w:autoSpaceDN w:val="0"/>
        <w:adjustRightInd w:val="0"/>
        <w:spacing w:line="480" w:lineRule="exact"/>
        <w:ind w:firstLine="480" w:firstLineChars="200"/>
        <w:rPr>
          <w:rFonts w:ascii="宋体" w:hAnsi="宋体" w:eastAsia="宋体" w:cs="Times New Roman"/>
          <w:sz w:val="24"/>
        </w:rPr>
      </w:pPr>
      <w:r>
        <w:rPr>
          <w:rFonts w:hint="eastAsia" w:ascii="宋体" w:hAnsi="宋体" w:eastAsia="宋体" w:cs="Times New Roman"/>
          <w:sz w:val="24"/>
        </w:rPr>
        <w:t>如果基坑深度较大，土钉墙+截水帷幕复合结构对基坑变形和稳定性控制仍不能满足要求时，可采用土钉墙+截水帷幕+预应力锚杆复合结构。</w:t>
      </w:r>
    </w:p>
    <w:p>
      <w:pPr>
        <w:autoSpaceDE w:val="0"/>
        <w:autoSpaceDN w:val="0"/>
        <w:adjustRightInd w:val="0"/>
        <w:spacing w:line="480" w:lineRule="exact"/>
        <w:ind w:firstLine="480" w:firstLineChars="200"/>
        <w:rPr>
          <w:rFonts w:ascii="宋体" w:hAnsi="宋体" w:eastAsia="宋体" w:cs="Times New Roman"/>
          <w:sz w:val="24"/>
        </w:rPr>
      </w:pPr>
      <w:r>
        <w:rPr>
          <w:rFonts w:hint="eastAsia" w:ascii="宋体" w:hAnsi="宋体" w:eastAsia="宋体" w:cs="Times New Roman"/>
          <w:sz w:val="24"/>
        </w:rPr>
        <w:t>土钉墙+预应力锚杆常用在边坡开挖深度大，对基坑变形</w:t>
      </w:r>
      <w:r>
        <w:rPr>
          <w:rFonts w:hint="eastAsia" w:ascii="Calibri" w:hAnsi="Calibri" w:eastAsia="宋体" w:cs="Times New Roman"/>
          <w:sz w:val="24"/>
        </w:rPr>
        <w:t>要求</w:t>
      </w:r>
      <w:r>
        <w:rPr>
          <w:rFonts w:hint="eastAsia" w:ascii="宋体" w:hAnsi="宋体" w:eastAsia="宋体" w:cs="Times New Roman"/>
          <w:sz w:val="24"/>
        </w:rPr>
        <w:t>较高的基坑工程，预应力锚杆可分担较大的水平荷载，同时减少边坡的变形，提高边坡的稳定性。</w:t>
      </w:r>
    </w:p>
    <w:p>
      <w:pPr>
        <w:autoSpaceDE w:val="0"/>
        <w:autoSpaceDN w:val="0"/>
        <w:adjustRightInd w:val="0"/>
        <w:spacing w:line="480" w:lineRule="exact"/>
        <w:ind w:firstLine="480" w:firstLineChars="200"/>
        <w:rPr>
          <w:rFonts w:ascii="宋体" w:hAnsi="宋体" w:eastAsia="宋体" w:cs="Times New Roman"/>
          <w:sz w:val="24"/>
        </w:rPr>
      </w:pPr>
      <w:r>
        <w:rPr>
          <w:rFonts w:hint="eastAsia" w:ascii="宋体" w:hAnsi="宋体" w:eastAsia="宋体" w:cs="Times New Roman"/>
          <w:sz w:val="24"/>
        </w:rPr>
        <w:t>土钉墙+微型桩常用于需要直立开挖的基坑，基坑开挖深度内不见地下水，土体松散，自立性差，坡顶对变形要求较严格</w:t>
      </w:r>
      <w:r>
        <w:rPr>
          <w:rFonts w:hint="eastAsia" w:ascii="Calibri" w:hAnsi="Calibri" w:eastAsia="宋体" w:cs="Times New Roman"/>
          <w:sz w:val="24"/>
        </w:rPr>
        <w:t>。</w:t>
      </w:r>
      <w:r>
        <w:rPr>
          <w:rFonts w:hint="eastAsia" w:ascii="宋体" w:hAnsi="宋体" w:eastAsia="宋体" w:cs="Times New Roman"/>
          <w:sz w:val="24"/>
        </w:rPr>
        <w:t>采用微型桩与土钉墙复合，起到超前支护作用，减少基坑变形，由于微型桩嵌入到基坑底面一定深度，提高了基坑的稳定性。若基坑深度较大，坡顶建筑物对变形要求严格时，可采用土钉墙+微型桩+预应力锚杆复合结构。</w:t>
      </w:r>
    </w:p>
    <w:p>
      <w:pPr>
        <w:autoSpaceDE w:val="0"/>
        <w:autoSpaceDN w:val="0"/>
        <w:adjustRightInd w:val="0"/>
        <w:spacing w:line="48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.4 </w:t>
      </w:r>
      <w:r>
        <w:rPr>
          <w:rFonts w:hint="eastAsia" w:ascii="宋体" w:hAnsi="宋体" w:eastAsia="宋体" w:cs="Times New Roman"/>
          <w:sz w:val="24"/>
        </w:rPr>
        <w:t>我省采用土钉墙和复合土钉墙支护的基坑，当地下水位高于基坑底标高，采用截水帷幕+土钉墙+预应力锚杆，基坑深度可达</w:t>
      </w:r>
      <w:r>
        <w:rPr>
          <w:rFonts w:hint="eastAsia" w:ascii="Times New Roman" w:hAnsi="Times New Roman" w:eastAsia="宋体" w:cs="Times New Roman"/>
          <w:sz w:val="24"/>
        </w:rPr>
        <w:t>10</w:t>
      </w:r>
      <w:r>
        <w:rPr>
          <w:rFonts w:hint="eastAsia" w:ascii="Calibri" w:hAnsi="Calibri" w:eastAsia="宋体" w:cs="Times New Roman"/>
          <w:sz w:val="24"/>
        </w:rPr>
        <w:t>～</w:t>
      </w:r>
      <w:r>
        <w:rPr>
          <w:rFonts w:hint="eastAsia" w:ascii="Times New Roman" w:hAnsi="Times New Roman" w:eastAsia="宋体" w:cs="Times New Roman"/>
          <w:sz w:val="24"/>
        </w:rPr>
        <w:t>13</w:t>
      </w:r>
      <w:r>
        <w:rPr>
          <w:rFonts w:hint="eastAsia" w:ascii="宋体" w:hAnsi="宋体" w:eastAsia="宋体" w:cs="Times New Roman"/>
          <w:sz w:val="24"/>
        </w:rPr>
        <w:t>m，常规</w:t>
      </w:r>
      <w:r>
        <w:rPr>
          <w:rFonts w:ascii="宋体" w:hAnsi="宋体" w:eastAsia="宋体" w:cs="Times New Roman"/>
          <w:sz w:val="24"/>
        </w:rPr>
        <w:t>的</w:t>
      </w:r>
      <w:r>
        <w:rPr>
          <w:rFonts w:hint="eastAsia" w:ascii="宋体" w:hAnsi="宋体" w:eastAsia="宋体" w:cs="Times New Roman"/>
          <w:sz w:val="24"/>
        </w:rPr>
        <w:t>土钉墙较适合的基坑深度为</w:t>
      </w:r>
      <w:r>
        <w:rPr>
          <w:rFonts w:hint="eastAsia" w:ascii="Times New Roman" w:hAnsi="Times New Roman" w:eastAsia="宋体" w:cs="Times New Roman"/>
          <w:sz w:val="24"/>
        </w:rPr>
        <w:t>6</w:t>
      </w:r>
      <w:r>
        <w:rPr>
          <w:rFonts w:hint="eastAsia" w:ascii="Calibri" w:hAnsi="Calibri" w:eastAsia="宋体" w:cs="Times New Roman"/>
          <w:sz w:val="24"/>
        </w:rPr>
        <w:t>～</w:t>
      </w:r>
      <w:r>
        <w:rPr>
          <w:rFonts w:hint="eastAsia" w:ascii="Times New Roman" w:hAnsi="Times New Roman" w:eastAsia="宋体" w:cs="Times New Roman"/>
          <w:sz w:val="24"/>
        </w:rPr>
        <w:t>9</w:t>
      </w:r>
      <w:r>
        <w:rPr>
          <w:rFonts w:hint="eastAsia" w:ascii="宋体" w:hAnsi="宋体" w:eastAsia="宋体" w:cs="Times New Roman"/>
          <w:sz w:val="24"/>
        </w:rPr>
        <w:t>m。</w:t>
      </w:r>
    </w:p>
    <w:p>
      <w:pPr>
        <w:autoSpaceDE w:val="0"/>
        <w:autoSpaceDN w:val="0"/>
        <w:adjustRightInd w:val="0"/>
        <w:spacing w:line="48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.6 </w:t>
      </w:r>
      <w:r>
        <w:rPr>
          <w:rFonts w:hint="eastAsia" w:ascii="宋体" w:hAnsi="宋体" w:eastAsia="宋体" w:cs="Times New Roman"/>
          <w:sz w:val="24"/>
        </w:rPr>
        <w:t>土钉墙作为一种“轻型”支护结构，属于柔性支护体系，如果基坑坡顶</w:t>
      </w:r>
      <w:r>
        <w:rPr>
          <w:rFonts w:hint="eastAsia" w:ascii="Times New Roman" w:hAnsi="Times New Roman" w:eastAsia="宋体" w:cs="Times New Roman"/>
          <w:sz w:val="24"/>
        </w:rPr>
        <w:t>1</w:t>
      </w:r>
      <w:r>
        <w:rPr>
          <w:rFonts w:hint="eastAsia" w:ascii="Calibri" w:hAnsi="Calibri" w:eastAsia="宋体" w:cs="Times New Roman"/>
          <w:sz w:val="24"/>
        </w:rPr>
        <w:t>～</w:t>
      </w:r>
      <w:r>
        <w:rPr>
          <w:rFonts w:hint="eastAsia" w:ascii="Times New Roman" w:hAnsi="Times New Roman" w:eastAsia="宋体" w:cs="Times New Roman"/>
          <w:sz w:val="24"/>
        </w:rPr>
        <w:t>1</w:t>
      </w:r>
      <w:r>
        <w:rPr>
          <w:rFonts w:hint="eastAsia" w:ascii="宋体" w:hAnsi="宋体" w:eastAsia="宋体" w:cs="Times New Roman"/>
          <w:sz w:val="24"/>
        </w:rPr>
        <w:t>.</w:t>
      </w:r>
      <w:r>
        <w:rPr>
          <w:rFonts w:hint="eastAsia" w:ascii="Times New Roman" w:hAnsi="Times New Roman" w:eastAsia="宋体" w:cs="Times New Roman"/>
          <w:sz w:val="24"/>
        </w:rPr>
        <w:t>5</w:t>
      </w:r>
      <w:r>
        <w:rPr>
          <w:rFonts w:hint="eastAsia" w:ascii="宋体" w:hAnsi="宋体" w:eastAsia="宋体" w:cs="Times New Roman"/>
          <w:sz w:val="24"/>
        </w:rPr>
        <w:t>倍基坑深度范围内有建筑物、管线，则不应采用土钉墙或复合土钉墙支护</w:t>
      </w:r>
      <w:r>
        <w:rPr>
          <w:rFonts w:hint="eastAsia" w:ascii="Calibri" w:hAnsi="Calibri" w:eastAsia="宋体" w:cs="Times New Roman"/>
          <w:sz w:val="24"/>
        </w:rPr>
        <w:t>。</w:t>
      </w:r>
      <w:r>
        <w:rPr>
          <w:rFonts w:hint="eastAsia" w:ascii="宋体" w:hAnsi="宋体" w:eastAsia="宋体" w:cs="Times New Roman"/>
          <w:sz w:val="24"/>
        </w:rPr>
        <w:t>当建筑物作为临时设施可采用锚杆、微型桩复合土钉墙控制变形。</w:t>
      </w:r>
    </w:p>
    <w:p>
      <w:pPr>
        <w:autoSpaceDE w:val="0"/>
        <w:autoSpaceDN w:val="0"/>
        <w:adjustRightInd w:val="0"/>
        <w:spacing w:line="480" w:lineRule="exact"/>
        <w:ind w:firstLine="480" w:firstLineChars="200"/>
        <w:rPr>
          <w:rFonts w:ascii="宋体" w:hAnsi="宋体" w:eastAsia="宋体" w:cs="Times New Roman"/>
          <w:sz w:val="24"/>
        </w:rPr>
      </w:pPr>
      <w:r>
        <w:rPr>
          <w:rFonts w:hint="eastAsia" w:ascii="宋体" w:hAnsi="宋体" w:eastAsia="宋体" w:cs="Times New Roman"/>
          <w:sz w:val="24"/>
        </w:rPr>
        <w:t>土钉、锚杆均是水平支护构件，原则上是不允许超出规划红线，进入他人地下空间</w:t>
      </w:r>
      <w:r>
        <w:rPr>
          <w:rFonts w:hint="eastAsia" w:ascii="Calibri" w:hAnsi="Calibri" w:eastAsia="宋体" w:cs="Times New Roman"/>
          <w:sz w:val="24"/>
        </w:rPr>
        <w:t>。</w:t>
      </w:r>
      <w:r>
        <w:rPr>
          <w:rFonts w:hint="eastAsia" w:ascii="宋体" w:hAnsi="宋体" w:eastAsia="宋体" w:cs="Times New Roman"/>
          <w:sz w:val="24"/>
        </w:rPr>
        <w:t>随着《中华人民共和国物权法》的实施，对地下空间的维权意识越来越强，土钉锚杆的使用受到很大的限制。</w:t>
      </w:r>
    </w:p>
    <w:p>
      <w:pPr>
        <w:autoSpaceDE w:val="0"/>
        <w:autoSpaceDN w:val="0"/>
        <w:adjustRightInd w:val="0"/>
        <w:spacing w:line="480" w:lineRule="exact"/>
        <w:ind w:firstLine="480" w:firstLineChars="200"/>
        <w:rPr>
          <w:rFonts w:ascii="宋体" w:hAnsi="宋体" w:eastAsia="宋体" w:cs="Times New Roman"/>
          <w:sz w:val="24"/>
        </w:rPr>
      </w:pPr>
      <w:r>
        <w:rPr>
          <w:rFonts w:hint="eastAsia" w:ascii="宋体" w:hAnsi="宋体" w:eastAsia="宋体" w:cs="Times New Roman"/>
          <w:sz w:val="24"/>
        </w:rPr>
        <w:t>土钉、锚杆成孔作业时均会对地基土产生施工扰动破坏，特别是采用振动冲击成孔工艺时，对土的扰动更大。高灵敏度土质结构受到扰动破坏后，很难恢复其原有强度，大大削弱了土钉锚杆的抗拔力。</w:t>
      </w:r>
    </w:p>
    <w:p>
      <w:pPr>
        <w:autoSpaceDE w:val="0"/>
        <w:autoSpaceDN w:val="0"/>
        <w:adjustRightInd w:val="0"/>
        <w:spacing w:line="48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.7 </w:t>
      </w:r>
      <w:r>
        <w:rPr>
          <w:rFonts w:hint="eastAsia" w:ascii="宋体" w:hAnsi="宋体" w:eastAsia="宋体" w:cs="Times New Roman"/>
          <w:sz w:val="24"/>
        </w:rPr>
        <w:t>成孔注浆钢筋土钉先用钻机等机械设备在土体中钻孔，成孔后置入杆体，然后沿全长注入水泥浆，水泥结石体强度高，直径大，抗拔力较高，质量较可靠。直接打钢管土钉多采用直径</w:t>
      </w:r>
      <w:r>
        <w:rPr>
          <w:rFonts w:hint="eastAsia" w:ascii="Times New Roman" w:hAnsi="Times New Roman" w:eastAsia="宋体" w:cs="Times New Roman"/>
          <w:sz w:val="24"/>
        </w:rPr>
        <w:t>48</w:t>
      </w:r>
      <w:r>
        <w:rPr>
          <w:rFonts w:ascii="Times New Roman" w:hAnsi="Times New Roman" w:eastAsia="宋体" w:cs="Times New Roman"/>
          <w:sz w:val="24"/>
        </w:rPr>
        <w:t>mm</w:t>
      </w:r>
      <w:r>
        <w:rPr>
          <w:rFonts w:hint="eastAsia" w:ascii="宋体" w:hAnsi="宋体" w:eastAsia="宋体" w:cs="Times New Roman"/>
          <w:sz w:val="24"/>
        </w:rPr>
        <w:t>的焊接钢管，把钢管加工成花管并加倒刺，即作为受拉杆件，又作为注浆管，其缺点是水泥浆液很难形成圆柱状结石体，受钢管直径限制，土体与钢管周边结石体的有效摩阻面较成孔注浆钢筋土钉小，抗拔力不高。</w:t>
      </w:r>
    </w:p>
    <w:p>
      <w:pPr>
        <w:keepNext/>
        <w:keepLines/>
        <w:widowControl/>
        <w:spacing w:line="416" w:lineRule="auto"/>
        <w:jc w:val="center"/>
        <w:outlineLvl w:val="1"/>
        <w:rPr>
          <w:rFonts w:ascii="Cambria" w:hAnsi="Cambria" w:eastAsia="宋体" w:cs="Times New Roman"/>
          <w:b/>
          <w:bCs/>
          <w:sz w:val="32"/>
          <w:szCs w:val="32"/>
        </w:rPr>
      </w:pPr>
      <w:bookmarkStart w:id="1339" w:name="_Toc21757"/>
      <w:r>
        <w:rPr>
          <w:rFonts w:ascii="Cambria" w:hAnsi="Cambria" w:eastAsia="宋体" w:cs="Times New Roman"/>
          <w:b/>
          <w:bCs/>
          <w:sz w:val="32"/>
          <w:szCs w:val="32"/>
        </w:rPr>
        <w:t>9.2 设 计</w:t>
      </w:r>
      <w:bookmarkEnd w:id="1339"/>
    </w:p>
    <w:p>
      <w:pPr>
        <w:spacing w:line="48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宋体" w:hAnsi="宋体" w:eastAsia="宋体" w:cs="Times New Roman"/>
          <w:sz w:val="24"/>
        </w:rPr>
        <w:t xml:space="preserve"> 土钉墙不同于以往任何一种挡土结构</w:t>
      </w:r>
      <w:r>
        <w:rPr>
          <w:rFonts w:hint="eastAsia" w:ascii="Calibri" w:hAnsi="Calibri" w:eastAsia="宋体" w:cs="Times New Roman"/>
          <w:sz w:val="24"/>
        </w:rPr>
        <w:t>。</w:t>
      </w:r>
      <w:r>
        <w:rPr>
          <w:rFonts w:hint="eastAsia" w:ascii="宋体" w:hAnsi="宋体" w:eastAsia="宋体" w:cs="Times New Roman"/>
          <w:sz w:val="24"/>
        </w:rPr>
        <w:t>不论是重力式支挡结构，还是排桩，地连墙支挡结构，主动土压力均是全部直接作用在支挡结构上，而土钉墙的主动土压力并非全部作用在面层上，大部分直接作用在土钉上，这是土钉墙与其他挡土结构受力特性的本质不同。</w:t>
      </w:r>
    </w:p>
    <w:p>
      <w:pPr>
        <w:spacing w:line="480" w:lineRule="exact"/>
        <w:ind w:firstLine="480" w:firstLineChars="200"/>
        <w:rPr>
          <w:rFonts w:ascii="宋体" w:hAnsi="宋体" w:eastAsia="宋体" w:cs="Times New Roman"/>
          <w:sz w:val="24"/>
        </w:rPr>
      </w:pPr>
      <w:r>
        <w:rPr>
          <w:rFonts w:hint="eastAsia" w:ascii="宋体" w:hAnsi="宋体" w:eastAsia="宋体" w:cs="Times New Roman"/>
          <w:sz w:val="24"/>
        </w:rPr>
        <w:t>土钉墙上作用的土压力不符合库仑土压力假定条件，也不符合</w:t>
      </w:r>
      <w:r>
        <w:rPr>
          <w:rFonts w:hint="eastAsia" w:ascii="Calibri" w:hAnsi="Calibri" w:eastAsia="宋体" w:cs="Times New Roman"/>
          <w:sz w:val="24"/>
        </w:rPr>
        <w:t>朗</w:t>
      </w:r>
      <w:r>
        <w:rPr>
          <w:rFonts w:hint="eastAsia" w:ascii="宋体" w:hAnsi="宋体" w:eastAsia="宋体" w:cs="Times New Roman"/>
          <w:sz w:val="24"/>
        </w:rPr>
        <w:t>肯土压力理论的假定，故不能直接引用其理论公式。根据工程实测数据对</w:t>
      </w:r>
      <w:r>
        <w:rPr>
          <w:rFonts w:hint="eastAsia" w:ascii="Calibri" w:hAnsi="Calibri" w:eastAsia="宋体" w:cs="Times New Roman"/>
          <w:sz w:val="24"/>
        </w:rPr>
        <w:t>朗</w:t>
      </w:r>
      <w:r>
        <w:rPr>
          <w:rFonts w:hint="eastAsia" w:ascii="宋体" w:hAnsi="宋体" w:eastAsia="宋体" w:cs="Times New Roman"/>
          <w:sz w:val="24"/>
        </w:rPr>
        <w:t>肯土压力理论进行修正，得到了土钉墙的经验土压力分布曲线，修正系数见第</w:t>
      </w:r>
      <w:r>
        <w:rPr>
          <w:rFonts w:ascii="Times New Roman" w:hAnsi="Times New Roman" w:eastAsia="宋体" w:cs="Times New Roman"/>
          <w:sz w:val="24"/>
        </w:rPr>
        <w:t>9</w:t>
      </w:r>
      <w:r>
        <w:rPr>
          <w:rFonts w:hint="eastAsia" w:ascii="Times New Roman" w:hAnsi="Times New Roman" w:eastAsia="宋体" w:cs="Times New Roman"/>
          <w:sz w:val="24"/>
        </w:rPr>
        <w:t>.2.5条</w:t>
      </w:r>
      <w:r>
        <w:rPr>
          <w:rFonts w:hint="eastAsia" w:ascii="宋体" w:hAnsi="宋体" w:eastAsia="宋体" w:cs="Times New Roman"/>
          <w:sz w:val="24"/>
        </w:rPr>
        <w:t>。目前普遍把土钉所受的最大拉力视为主动土压力，主动土压力作用在潜在破裂面处的土钉上，面层所受的土压力仅为主动土压力的一少部分。</w:t>
      </w:r>
    </w:p>
    <w:p>
      <w:pPr>
        <w:spacing w:line="48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 xml:space="preserve">.2.4 </w:t>
      </w:r>
      <w:r>
        <w:rPr>
          <w:rFonts w:hint="eastAsia" w:ascii="Calibri" w:hAnsi="Calibri" w:eastAsia="宋体" w:cs="Times New Roman"/>
          <w:sz w:val="24"/>
        </w:rPr>
        <w:t>朗</w:t>
      </w:r>
      <w:r>
        <w:rPr>
          <w:rFonts w:hint="eastAsia" w:ascii="宋体" w:hAnsi="宋体" w:eastAsia="宋体" w:cs="Times New Roman"/>
          <w:sz w:val="24"/>
        </w:rPr>
        <w:t>肯主动土压力</w:t>
      </w:r>
      <w:r>
        <w:rPr>
          <w:rFonts w:ascii="Times New Roman" w:hAnsi="Times New Roman" w:eastAsia="宋体" w:cs="Times New Roman"/>
          <w:position w:val="-12"/>
          <w:sz w:val="24"/>
        </w:rPr>
        <w:object>
          <v:shape id="_x0000_i1344" o:spt="75" type="#_x0000_t75" style="height:18pt;width:19.8pt;" o:ole="t" filled="f" o:preferrelative="t" stroked="f" coordsize="21600,21600">
            <v:path/>
            <v:fill on="f" focussize="0,0"/>
            <v:stroke on="f" joinstyle="miter"/>
            <v:imagedata r:id="rId882" o:title=""/>
            <o:lock v:ext="edit" aspectratio="t"/>
            <w10:wrap type="none"/>
            <w10:anchorlock/>
          </v:shape>
          <o:OLEObject Type="Embed" ProgID="Equation.DSMT4" ShapeID="_x0000_i1344" DrawAspect="Content" ObjectID="_1468076024" r:id="rId881">
            <o:LockedField>false</o:LockedField>
          </o:OLEObject>
        </w:object>
      </w:r>
      <w:r>
        <w:rPr>
          <w:rFonts w:hint="eastAsia" w:ascii="宋体" w:hAnsi="宋体" w:eastAsia="宋体" w:cs="Times New Roman"/>
          <w:sz w:val="24"/>
        </w:rPr>
        <w:t>是在假定墙背垂直的条件下推导而来的，坡面倾斜时，主动土压力减小，其值可通过对</w:t>
      </w:r>
      <w:r>
        <w:rPr>
          <w:rFonts w:ascii="Times New Roman" w:hAnsi="Times New Roman" w:eastAsia="宋体" w:cs="Times New Roman"/>
          <w:position w:val="-12"/>
          <w:sz w:val="24"/>
        </w:rPr>
        <w:object>
          <v:shape id="_x0000_i1345" o:spt="75" type="#_x0000_t75" style="height:18pt;width:19.8pt;" o:ole="t" filled="f" o:preferrelative="t" stroked="f" coordsize="21600,21600">
            <v:path/>
            <v:fill on="f" focussize="0,0"/>
            <v:stroke on="f" joinstyle="miter"/>
            <v:imagedata r:id="rId882" o:title=""/>
            <o:lock v:ext="edit" aspectratio="t"/>
            <w10:wrap type="none"/>
            <w10:anchorlock/>
          </v:shape>
          <o:OLEObject Type="Embed" ProgID="Equation.DSMT4" ShapeID="_x0000_i1345" DrawAspect="Content" ObjectID="_1468076025" r:id="rId883">
            <o:LockedField>false</o:LockedField>
          </o:OLEObject>
        </w:object>
      </w:r>
      <w:r>
        <w:rPr>
          <w:rFonts w:hint="eastAsia" w:ascii="宋体" w:hAnsi="宋体" w:eastAsia="宋体" w:cs="Times New Roman"/>
          <w:sz w:val="24"/>
        </w:rPr>
        <w:t>折减的办法得到。</w:t>
      </w:r>
    </w:p>
    <w:p>
      <w:pPr>
        <w:spacing w:line="500" w:lineRule="exact"/>
        <w:rPr>
          <w:rFonts w:ascii="宋体" w:hAnsi="宋体" w:eastAsia="宋体" w:cs="Times New Roman"/>
          <w:sz w:val="24"/>
        </w:rPr>
      </w:pPr>
      <w:r>
        <w:rPr>
          <w:rFonts w:ascii="Times New Roman" w:hAnsi="Times New Roman" w:eastAsia="宋体" w:cs="Times New Roman"/>
          <w:b/>
          <w:sz w:val="24"/>
        </w:rPr>
        <w:t>9</w:t>
      </w:r>
      <w:r>
        <w:rPr>
          <w:rFonts w:hint="eastAsia" w:ascii="Times New Roman" w:hAnsi="Times New Roman" w:eastAsia="宋体" w:cs="Times New Roman"/>
          <w:b/>
          <w:sz w:val="24"/>
        </w:rPr>
        <w:t xml:space="preserve">.2.5 </w:t>
      </w:r>
      <w:r>
        <w:rPr>
          <w:rFonts w:hint="eastAsia" w:ascii="宋体" w:hAnsi="宋体" w:eastAsia="宋体" w:cs="Times New Roman"/>
          <w:sz w:val="24"/>
        </w:rPr>
        <w:t>主动土压力分布调整系数</w:t>
      </w:r>
      <w:r>
        <w:rPr>
          <w:rFonts w:ascii="宋体" w:hAnsi="宋体" w:eastAsia="宋体" w:cs="Times New Roman"/>
          <w:position w:val="-14"/>
          <w:sz w:val="24"/>
        </w:rPr>
        <w:object>
          <v:shape id="_x0000_i1346" o:spt="75" type="#_x0000_t75" style="height:19.2pt;width:13.8pt;" o:ole="t" filled="f" o:preferrelative="t" stroked="f" coordsize="21600,21600">
            <v:path/>
            <v:fill on="f" focussize="0,0"/>
            <v:stroke on="f" joinstyle="miter"/>
            <v:imagedata r:id="rId885" o:title=""/>
            <o:lock v:ext="edit" aspectratio="t"/>
            <w10:wrap type="none"/>
            <w10:anchorlock/>
          </v:shape>
          <o:OLEObject Type="Embed" ProgID="Equation.3" ShapeID="_x0000_i1346" DrawAspect="Content" ObjectID="_1468076026" r:id="rId884">
            <o:LockedField>false</o:LockedField>
          </o:OLEObject>
        </w:object>
      </w:r>
    </w:p>
    <w:p>
      <w:pPr>
        <w:spacing w:line="500" w:lineRule="exact"/>
        <w:ind w:firstLine="480" w:firstLineChars="200"/>
        <w:rPr>
          <w:rFonts w:ascii="宋体" w:hAnsi="宋体" w:eastAsia="宋体" w:cs="Times New Roman"/>
          <w:sz w:val="24"/>
          <w:szCs w:val="21"/>
        </w:rPr>
      </w:pPr>
      <w:r>
        <w:rPr>
          <w:rFonts w:hint="eastAsia" w:ascii="宋体" w:hAnsi="宋体" w:eastAsia="宋体" w:cs="Times New Roman"/>
          <w:sz w:val="24"/>
          <w:szCs w:val="21"/>
        </w:rPr>
        <w:t>土钉轴向拉力调整系数是认为作用在土钉墙上的主动土压力之和仍为郎肯土压力，只不过不再是上小下大的三角形分布形式，根据经验将其调整为近似梯形分布的形式。</w:t>
      </w:r>
    </w:p>
    <w:p>
      <w:pPr>
        <w:spacing w:line="500" w:lineRule="exact"/>
        <w:rPr>
          <w:rFonts w:ascii="宋体" w:hAnsi="宋体" w:eastAsia="宋体" w:cs="Times New Roman"/>
          <w:sz w:val="24"/>
          <w:szCs w:val="21"/>
        </w:rPr>
      </w:pPr>
      <w:r>
        <w:rPr>
          <w:rFonts w:ascii="Calibri" w:hAnsi="Calibri" w:eastAsia="宋体" w:cs="Times New Roman"/>
          <w:sz w:val="24"/>
        </w:rPr>
        <w:pict>
          <v:shape id="_x0000_s1301" o:spid="_x0000_s1301" o:spt="75" type="#_x0000_t75" style="position:absolute;left:0pt;margin-left:42.2pt;margin-top:7.25pt;height:176.35pt;width:401.9pt;mso-wrap-distance-left:9pt;mso-wrap-distance-right:9pt;z-index:251683840;mso-width-relative:page;mso-height-relative:page;" o:ole="t" filled="f" o:preferrelative="t" stroked="f" coordsize="21600,21600" wrapcoords="21592 -2 0 0 0 21600 21592 21602 8 21602 21600 21600 21600 0 8 -2 21592 -2">
            <v:path/>
            <v:fill on="f" focussize="0,0"/>
            <v:stroke on="f" joinstyle="miter"/>
            <v:imagedata r:id="rId887" cropleft="19828f" croptop="29953f" cropright="28931f" cropbottom="23686f" o:title=""/>
            <o:lock v:ext="edit" aspectratio="t"/>
            <w10:wrap type="through"/>
          </v:shape>
          <o:OLEObject Type="Embed" ProgID="AutoCAD.Drawing.17" ShapeID="_x0000_s1301" DrawAspect="Content" ObjectID="_1468076027" r:id="rId886">
            <o:LockedField>false</o:LockedField>
          </o:OLEObject>
        </w:pict>
      </w:r>
      <w:r>
        <w:rPr>
          <w:rFonts w:hint="eastAsia" w:ascii="宋体" w:hAnsi="宋体" w:eastAsia="宋体" w:cs="Times New Roman"/>
          <w:sz w:val="24"/>
          <w:szCs w:val="21"/>
        </w:rPr>
        <w:t xml:space="preserve">                                                             </w:t>
      </w:r>
    </w:p>
    <w:p>
      <w:pPr>
        <w:spacing w:line="500" w:lineRule="exact"/>
        <w:rPr>
          <w:rFonts w:ascii="宋体" w:hAnsi="宋体" w:eastAsia="宋体" w:cs="Times New Roman"/>
          <w:sz w:val="24"/>
          <w:szCs w:val="21"/>
        </w:rPr>
      </w:pPr>
      <w:r>
        <w:rPr>
          <w:rFonts w:hint="eastAsia" w:ascii="宋体" w:hAnsi="宋体" w:eastAsia="宋体" w:cs="Times New Roman"/>
          <w:sz w:val="24"/>
          <w:szCs w:val="21"/>
        </w:rPr>
        <w:t xml:space="preserve">                                                                                                                                                                                                                                            </w:t>
      </w:r>
    </w:p>
    <w:p>
      <w:pPr>
        <w:spacing w:line="500" w:lineRule="exact"/>
        <w:ind w:firstLine="480" w:firstLineChars="200"/>
        <w:rPr>
          <w:rFonts w:ascii="宋体" w:hAnsi="宋体" w:eastAsia="宋体" w:cs="Times New Roman"/>
          <w:sz w:val="24"/>
          <w:szCs w:val="21"/>
        </w:rPr>
      </w:pPr>
      <w:r>
        <w:rPr>
          <w:rFonts w:hint="eastAsia" w:ascii="宋体" w:hAnsi="宋体" w:eastAsia="宋体" w:cs="Times New Roman"/>
          <w:sz w:val="24"/>
          <w:szCs w:val="21"/>
        </w:rPr>
        <w:t xml:space="preserve">                                      </w:t>
      </w:r>
    </w:p>
    <w:p>
      <w:pPr>
        <w:spacing w:line="500" w:lineRule="exact"/>
        <w:ind w:firstLine="480" w:firstLineChars="200"/>
        <w:rPr>
          <w:rFonts w:ascii="宋体" w:hAnsi="宋体" w:eastAsia="宋体" w:cs="Times New Roman"/>
          <w:sz w:val="24"/>
          <w:szCs w:val="21"/>
        </w:rPr>
      </w:pPr>
    </w:p>
    <w:p>
      <w:pPr>
        <w:spacing w:line="500" w:lineRule="exact"/>
        <w:ind w:firstLine="480" w:firstLineChars="200"/>
        <w:rPr>
          <w:rFonts w:ascii="宋体" w:hAnsi="宋体" w:eastAsia="宋体" w:cs="Times New Roman"/>
          <w:sz w:val="24"/>
          <w:szCs w:val="21"/>
        </w:rPr>
      </w:pPr>
    </w:p>
    <w:p>
      <w:pPr>
        <w:spacing w:line="500" w:lineRule="exact"/>
        <w:jc w:val="center"/>
        <w:rPr>
          <w:rFonts w:ascii="宋体" w:hAnsi="宋体" w:eastAsia="宋体" w:cs="Times New Roman"/>
          <w:sz w:val="24"/>
          <w:szCs w:val="24"/>
        </w:rPr>
      </w:pPr>
    </w:p>
    <w:p>
      <w:pPr>
        <w:spacing w:line="500" w:lineRule="exact"/>
        <w:jc w:val="center"/>
        <w:rPr>
          <w:rFonts w:ascii="宋体" w:hAnsi="宋体" w:eastAsia="宋体" w:cs="Times New Roman"/>
          <w:sz w:val="24"/>
          <w:szCs w:val="24"/>
        </w:rPr>
      </w:pPr>
    </w:p>
    <w:p>
      <w:pPr>
        <w:spacing w:line="500" w:lineRule="exact"/>
        <w:jc w:val="center"/>
        <w:rPr>
          <w:rFonts w:ascii="宋体" w:hAnsi="宋体" w:eastAsia="宋体" w:cs="Times New Roman"/>
          <w:sz w:val="24"/>
          <w:szCs w:val="24"/>
        </w:rPr>
      </w:pPr>
    </w:p>
    <w:p>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主动土压力分布调整系数</w:t>
      </w:r>
    </w:p>
    <w:p>
      <w:pPr>
        <w:spacing w:line="500" w:lineRule="exact"/>
        <w:ind w:firstLine="270" w:firstLineChars="150"/>
        <w:jc w:val="center"/>
        <w:rPr>
          <w:rFonts w:ascii="宋体" w:hAnsi="宋体" w:eastAsia="宋体" w:cs="Times New Roman"/>
          <w:sz w:val="18"/>
          <w:szCs w:val="18"/>
        </w:rPr>
      </w:pPr>
      <w:r>
        <w:rPr>
          <w:rFonts w:hint="eastAsia" w:ascii="宋体" w:hAnsi="宋体" w:eastAsia="宋体" w:cs="Times New Roman"/>
          <w:sz w:val="18"/>
          <w:szCs w:val="18"/>
        </w:rPr>
        <w:t>（a）计算模型  （b）郎肯主动土压力  （c）主动土压力调整系数  （d）调整后土压力</w:t>
      </w:r>
    </w:p>
    <w:p>
      <w:pPr>
        <w:spacing w:line="500" w:lineRule="exact"/>
        <w:rPr>
          <w:rFonts w:ascii="宋体" w:hAnsi="宋体" w:eastAsia="宋体" w:cs="Times New Roman"/>
          <w:sz w:val="24"/>
          <w:szCs w:val="21"/>
        </w:rPr>
      </w:pPr>
      <w:r>
        <w:rPr>
          <w:rFonts w:ascii="宋体" w:hAnsi="宋体" w:eastAsia="宋体" w:cs="Times New Roman"/>
          <w:sz w:val="24"/>
          <w:szCs w:val="21"/>
        </w:rPr>
        <w:pict>
          <v:shape id="_x0000_s1302" o:spid="_x0000_s1302" o:spt="75" type="#_x0000_t75" style="position:absolute;left:0pt;margin-left:144pt;margin-top:18.95pt;height:40.6pt;width:93.7pt;mso-wrap-distance-left:9pt;mso-wrap-distance-right:9pt;z-index:251680768;mso-width-relative:page;mso-height-relative:page;" o:ole="t" filled="f" o:preferrelative="t" stroked="f" coordsize="21600,21600" wrapcoords="21592 -2 0 0 0 21600 21592 21602 8 21602 21600 21600 21600 0 8 -2 21592 -2">
            <v:path/>
            <v:fill on="f" focussize="0,0"/>
            <v:stroke on="f" joinstyle="miter"/>
            <v:imagedata r:id="rId889" o:title=""/>
            <o:lock v:ext="edit" aspectratio="t"/>
            <w10:wrap type="through"/>
          </v:shape>
          <o:OLEObject Type="Embed" ProgID="Equation.3" ShapeID="_x0000_s1302" DrawAspect="Content" ObjectID="_1468076028" r:id="rId888">
            <o:LockedField>false</o:LockedField>
          </o:OLEObject>
        </w:pict>
      </w:r>
    </w:p>
    <w:p>
      <w:pPr>
        <w:spacing w:line="500" w:lineRule="exact"/>
        <w:ind w:left="7229" w:leftChars="3012"/>
        <w:rPr>
          <w:rFonts w:ascii="宋体" w:hAnsi="宋体" w:eastAsia="宋体" w:cs="Times New Roman"/>
          <w:sz w:val="24"/>
          <w:szCs w:val="21"/>
        </w:rPr>
      </w:pPr>
      <w:r>
        <w:rPr>
          <w:rFonts w:hint="eastAsia" w:ascii="宋体" w:hAnsi="宋体" w:eastAsia="宋体" w:cs="Times New Roman"/>
          <w:sz w:val="24"/>
          <w:szCs w:val="21"/>
        </w:rPr>
        <w:t>（</w:t>
      </w:r>
      <w:r>
        <w:rPr>
          <w:rFonts w:ascii="宋体" w:hAnsi="宋体" w:eastAsia="宋体" w:cs="Times New Roman"/>
          <w:sz w:val="24"/>
          <w:szCs w:val="21"/>
        </w:rPr>
        <w:t>9</w:t>
      </w:r>
      <w:r>
        <w:rPr>
          <w:rFonts w:hint="eastAsia" w:ascii="宋体" w:hAnsi="宋体" w:eastAsia="宋体" w:cs="Times New Roman"/>
          <w:sz w:val="24"/>
          <w:szCs w:val="21"/>
        </w:rPr>
        <w:t>.</w:t>
      </w:r>
      <w:r>
        <w:rPr>
          <w:rFonts w:ascii="宋体" w:hAnsi="宋体" w:eastAsia="宋体" w:cs="Times New Roman"/>
          <w:sz w:val="24"/>
          <w:szCs w:val="21"/>
        </w:rPr>
        <w:t>2</w:t>
      </w:r>
      <w:r>
        <w:rPr>
          <w:rFonts w:hint="eastAsia" w:ascii="宋体" w:hAnsi="宋体" w:eastAsia="宋体" w:cs="Times New Roman"/>
          <w:sz w:val="24"/>
          <w:szCs w:val="21"/>
        </w:rPr>
        <w:t>.</w:t>
      </w:r>
      <w:r>
        <w:rPr>
          <w:rFonts w:ascii="宋体" w:hAnsi="宋体" w:eastAsia="宋体" w:cs="Times New Roman"/>
          <w:sz w:val="24"/>
          <w:szCs w:val="21"/>
        </w:rPr>
        <w:t>5</w:t>
      </w:r>
      <w:r>
        <w:rPr>
          <w:rFonts w:hint="eastAsia" w:ascii="宋体" w:hAnsi="宋体" w:eastAsia="宋体" w:cs="Times New Roman"/>
          <w:sz w:val="24"/>
          <w:szCs w:val="21"/>
        </w:rPr>
        <w:t>-1）</w:t>
      </w:r>
    </w:p>
    <w:p>
      <w:pPr>
        <w:spacing w:line="500" w:lineRule="exact"/>
        <w:ind w:left="7229" w:leftChars="3012"/>
        <w:rPr>
          <w:rFonts w:ascii="宋体" w:hAnsi="宋体" w:eastAsia="宋体" w:cs="Times New Roman"/>
          <w:sz w:val="24"/>
          <w:szCs w:val="21"/>
        </w:rPr>
      </w:pPr>
    </w:p>
    <w:p>
      <w:pPr>
        <w:spacing w:line="500" w:lineRule="exact"/>
        <w:ind w:left="7229" w:leftChars="3012"/>
        <w:rPr>
          <w:rFonts w:ascii="宋体" w:hAnsi="宋体" w:eastAsia="宋体" w:cs="Times New Roman"/>
          <w:sz w:val="24"/>
          <w:szCs w:val="21"/>
        </w:rPr>
      </w:pPr>
      <w:r>
        <w:rPr>
          <w:rFonts w:ascii="宋体" w:hAnsi="宋体" w:eastAsia="宋体" w:cs="Times New Roman"/>
          <w:sz w:val="24"/>
          <w:szCs w:val="21"/>
        </w:rPr>
        <w:pict>
          <v:shape id="_x0000_s1303" o:spid="_x0000_s1303" o:spt="75" type="#_x0000_t75" style="position:absolute;left:0pt;margin-left:131.55pt;margin-top:0.2pt;height:36.25pt;width:130.85pt;mso-wrap-distance-left:9pt;mso-wrap-distance-right:9pt;z-index:251681792;mso-width-relative:page;mso-height-relative:page;" o:ole="t" filled="f" o:preferrelative="t" stroked="f" coordsize="21600,21600" wrapcoords="21592 -2 0 0 0 21600 21592 21602 8 21602 21600 21600 21600 0 8 -2 21592 -2">
            <v:path/>
            <v:fill on="f" focussize="0,0"/>
            <v:stroke on="f" joinstyle="miter"/>
            <v:imagedata r:id="rId891" o:title=""/>
            <o:lock v:ext="edit" aspectratio="t"/>
            <w10:wrap type="through"/>
          </v:shape>
          <o:OLEObject Type="Embed" ProgID="Equation.3" ShapeID="_x0000_s1303" DrawAspect="Content" ObjectID="_1468076029" r:id="rId890">
            <o:LockedField>false</o:LockedField>
          </o:OLEObject>
        </w:pict>
      </w:r>
      <w:r>
        <w:rPr>
          <w:rFonts w:hint="eastAsia" w:ascii="宋体" w:hAnsi="宋体" w:eastAsia="宋体" w:cs="Times New Roman"/>
          <w:sz w:val="24"/>
          <w:szCs w:val="21"/>
        </w:rPr>
        <w:t>（</w:t>
      </w:r>
      <w:r>
        <w:rPr>
          <w:rFonts w:ascii="宋体" w:hAnsi="宋体" w:eastAsia="宋体" w:cs="Times New Roman"/>
          <w:sz w:val="24"/>
          <w:szCs w:val="21"/>
        </w:rPr>
        <w:t>9</w:t>
      </w:r>
      <w:r>
        <w:rPr>
          <w:rFonts w:hint="eastAsia" w:ascii="宋体" w:hAnsi="宋体" w:eastAsia="宋体" w:cs="Times New Roman"/>
          <w:sz w:val="24"/>
          <w:szCs w:val="21"/>
        </w:rPr>
        <w:t>.</w:t>
      </w:r>
      <w:r>
        <w:rPr>
          <w:rFonts w:ascii="宋体" w:hAnsi="宋体" w:eastAsia="宋体" w:cs="Times New Roman"/>
          <w:sz w:val="24"/>
          <w:szCs w:val="21"/>
        </w:rPr>
        <w:t>2</w:t>
      </w:r>
      <w:r>
        <w:rPr>
          <w:rFonts w:hint="eastAsia" w:ascii="宋体" w:hAnsi="宋体" w:eastAsia="宋体" w:cs="Times New Roman"/>
          <w:sz w:val="24"/>
          <w:szCs w:val="21"/>
        </w:rPr>
        <w:t>.</w:t>
      </w:r>
      <w:r>
        <w:rPr>
          <w:rFonts w:ascii="宋体" w:hAnsi="宋体" w:eastAsia="宋体" w:cs="Times New Roman"/>
          <w:sz w:val="24"/>
          <w:szCs w:val="21"/>
        </w:rPr>
        <w:t>5</w:t>
      </w:r>
      <w:r>
        <w:rPr>
          <w:rFonts w:hint="eastAsia" w:ascii="宋体" w:hAnsi="宋体" w:eastAsia="宋体" w:cs="Times New Roman"/>
          <w:sz w:val="24"/>
          <w:szCs w:val="21"/>
        </w:rPr>
        <w:t>-2）</w:t>
      </w:r>
    </w:p>
    <w:p>
      <w:pPr>
        <w:spacing w:line="500" w:lineRule="exact"/>
        <w:ind w:firstLine="480" w:firstLineChars="200"/>
        <w:rPr>
          <w:rFonts w:ascii="宋体" w:hAnsi="宋体" w:eastAsia="宋体" w:cs="Times New Roman"/>
          <w:sz w:val="24"/>
          <w:szCs w:val="21"/>
        </w:rPr>
      </w:pPr>
    </w:p>
    <w:p>
      <w:pPr>
        <w:spacing w:line="500" w:lineRule="exact"/>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如图所示，令第</w:t>
      </w:r>
      <w:r>
        <w:rPr>
          <w:rFonts w:ascii="Times New Roman" w:hAnsi="Times New Roman" w:eastAsia="宋体" w:cs="Times New Roman"/>
          <w:i/>
          <w:sz w:val="24"/>
          <w:szCs w:val="21"/>
        </w:rPr>
        <w:t>j</w:t>
      </w:r>
      <w:r>
        <w:rPr>
          <w:rFonts w:ascii="Times New Roman" w:hAnsi="Times New Roman" w:eastAsia="宋体" w:cs="Times New Roman"/>
          <w:sz w:val="24"/>
          <w:szCs w:val="21"/>
        </w:rPr>
        <w:t>条土钉调整系数所承担的主动土压力为</w:t>
      </w:r>
      <w:r>
        <w:rPr>
          <w:rFonts w:ascii="Times New Roman" w:hAnsi="Times New Roman" w:eastAsia="宋体" w:cs="Times New Roman"/>
          <w:position w:val="-14"/>
          <w:sz w:val="24"/>
        </w:rPr>
        <w:object>
          <v:shape id="_x0000_i1347" o:spt="75" type="#_x0000_t75" style="height:19.8pt;width:16.8pt;" o:ole="t" filled="f" o:preferrelative="t" stroked="f" coordsize="21600,21600">
            <v:path/>
            <v:fill on="f" focussize="0,0"/>
            <v:stroke on="f" joinstyle="miter"/>
            <v:imagedata r:id="rId893" o:title=""/>
            <o:lock v:ext="edit" aspectratio="t"/>
            <w10:wrap type="none"/>
            <w10:anchorlock/>
          </v:shape>
          <o:OLEObject Type="Embed" ProgID="Equation.DSMT4" ShapeID="_x0000_i1347" DrawAspect="Content" ObjectID="_1468076030" r:id="rId892">
            <o:LockedField>false</o:LockedField>
          </o:OLEObject>
        </w:object>
      </w:r>
      <w:r>
        <w:rPr>
          <w:rFonts w:ascii="Times New Roman" w:hAnsi="Times New Roman" w:eastAsia="宋体" w:cs="Times New Roman"/>
          <w:sz w:val="24"/>
          <w:szCs w:val="21"/>
        </w:rPr>
        <w:t>,调整后为调整前的</w:t>
      </w:r>
      <w:r>
        <w:rPr>
          <w:rFonts w:ascii="Times New Roman" w:hAnsi="Times New Roman" w:eastAsia="宋体" w:cs="Times New Roman"/>
          <w:position w:val="-14"/>
          <w:sz w:val="24"/>
          <w:szCs w:val="24"/>
        </w:rPr>
        <w:object>
          <v:shape id="_x0000_i1348" o:spt="75" type="#_x0000_t75" style="height:19.2pt;width:13.8pt;" o:ole="t" filled="f" o:preferrelative="t" stroked="f" coordsize="21600,21600">
            <v:path/>
            <v:fill on="f" focussize="0,0"/>
            <v:stroke on="f" joinstyle="miter"/>
            <v:imagedata r:id="rId885" o:title=""/>
            <o:lock v:ext="edit" aspectratio="t"/>
            <w10:wrap type="none"/>
            <w10:anchorlock/>
          </v:shape>
          <o:OLEObject Type="Embed" ProgID="Equation.3" ShapeID="_x0000_i1348" DrawAspect="Content" ObjectID="_1468076031" r:id="rId894">
            <o:LockedField>false</o:LockedField>
          </o:OLEObject>
        </w:object>
      </w:r>
      <w:r>
        <w:rPr>
          <w:rFonts w:ascii="Times New Roman" w:hAnsi="Times New Roman" w:eastAsia="宋体" w:cs="Times New Roman"/>
          <w:sz w:val="24"/>
          <w:szCs w:val="24"/>
        </w:rPr>
        <w:t>倍</w:t>
      </w:r>
      <w:r>
        <w:rPr>
          <w:rFonts w:ascii="Times New Roman" w:hAnsi="Times New Roman" w:eastAsia="宋体" w:cs="Times New Roman"/>
          <w:sz w:val="24"/>
          <w:szCs w:val="21"/>
        </w:rPr>
        <w:t>，假定</w:t>
      </w:r>
      <w:r>
        <w:rPr>
          <w:rFonts w:ascii="Times New Roman" w:hAnsi="Times New Roman" w:eastAsia="宋体" w:cs="Times New Roman"/>
          <w:position w:val="-14"/>
          <w:sz w:val="24"/>
        </w:rPr>
        <w:object>
          <v:shape id="_x0000_i1349" o:spt="75" type="#_x0000_t75" style="height:19.2pt;width:13.8pt;" o:ole="t" filled="f" o:preferrelative="t" stroked="f" coordsize="21600,21600">
            <v:path/>
            <v:fill on="f" focussize="0,0"/>
            <v:stroke on="f" joinstyle="miter"/>
            <v:imagedata r:id="rId885" o:title=""/>
            <o:lock v:ext="edit" aspectratio="t"/>
            <w10:wrap type="none"/>
            <w10:anchorlock/>
          </v:shape>
          <o:OLEObject Type="Embed" ProgID="Equation.3" ShapeID="_x0000_i1349" DrawAspect="Content" ObjectID="_1468076032" r:id="rId895">
            <o:LockedField>false</o:LockedField>
          </o:OLEObject>
        </w:object>
      </w:r>
      <w:r>
        <w:rPr>
          <w:rFonts w:ascii="Times New Roman" w:hAnsi="Times New Roman" w:eastAsia="宋体" w:cs="Times New Roman"/>
          <w:sz w:val="24"/>
          <w:szCs w:val="21"/>
        </w:rPr>
        <w:t>与基坑深度</w:t>
      </w:r>
      <w:r>
        <w:rPr>
          <w:rFonts w:ascii="Times New Roman" w:hAnsi="Times New Roman" w:eastAsia="宋体" w:cs="Times New Roman"/>
          <w:i/>
          <w:sz w:val="24"/>
          <w:szCs w:val="21"/>
        </w:rPr>
        <w:t>h</w:t>
      </w:r>
      <w:r>
        <w:rPr>
          <w:rFonts w:ascii="Times New Roman" w:hAnsi="Times New Roman" w:eastAsia="宋体" w:cs="Times New Roman"/>
          <w:sz w:val="24"/>
          <w:szCs w:val="21"/>
        </w:rPr>
        <w:t>为线性关系，其值在墙底处为小于1的</w:t>
      </w:r>
      <w:r>
        <w:rPr>
          <w:rFonts w:ascii="Times New Roman" w:hAnsi="Times New Roman" w:eastAsia="宋体" w:cs="Times New Roman"/>
          <w:position w:val="-12"/>
          <w:sz w:val="24"/>
        </w:rPr>
        <w:object>
          <v:shape id="_x0000_i1350" o:spt="75" type="#_x0000_t75" style="height:18pt;width:13.8pt;" o:ole="t" filled="f" o:preferrelative="t" stroked="f" coordsize="21600,21600">
            <v:path/>
            <v:fill on="f" focussize="0,0"/>
            <v:stroke on="f" joinstyle="miter"/>
            <v:imagedata r:id="rId897" o:title=""/>
            <o:lock v:ext="edit" aspectratio="t"/>
            <w10:wrap type="none"/>
            <w10:anchorlock/>
          </v:shape>
          <o:OLEObject Type="Embed" ProgID="Equation.3" ShapeID="_x0000_i1350" DrawAspect="Content" ObjectID="_1468076033" r:id="rId896">
            <o:LockedField>false</o:LockedField>
          </o:OLEObject>
        </w:object>
      </w:r>
      <w:r>
        <w:rPr>
          <w:rFonts w:ascii="Times New Roman" w:hAnsi="Times New Roman" w:eastAsia="宋体" w:cs="Times New Roman"/>
          <w:sz w:val="24"/>
          <w:szCs w:val="21"/>
        </w:rPr>
        <w:t>，在墙顶处为大于1的</w:t>
      </w:r>
      <w:r>
        <w:rPr>
          <w:rFonts w:ascii="Times New Roman" w:hAnsi="Times New Roman" w:eastAsia="宋体" w:cs="Times New Roman"/>
          <w:position w:val="-10"/>
          <w:sz w:val="24"/>
        </w:rPr>
        <w:object>
          <v:shape id="_x0000_i1351" o:spt="75" type="#_x0000_t75" style="height:13.2pt;width:13.2pt;" o:ole="t" filled="f" o:preferrelative="t" stroked="f" coordsize="21600,21600">
            <v:path/>
            <v:fill on="f" focussize="0,0"/>
            <v:stroke on="f" joinstyle="miter"/>
            <v:imagedata r:id="rId899" o:title=""/>
            <o:lock v:ext="edit" aspectratio="t"/>
            <w10:wrap type="none"/>
            <w10:anchorlock/>
          </v:shape>
          <o:OLEObject Type="Embed" ProgID="Equation.3" ShapeID="_x0000_i1351" DrawAspect="Content" ObjectID="_1468076034" r:id="rId898">
            <o:LockedField>false</o:LockedField>
          </o:OLEObject>
        </w:object>
      </w:r>
      <w:r>
        <w:rPr>
          <w:rFonts w:ascii="Times New Roman" w:hAnsi="Times New Roman" w:eastAsia="宋体" w:cs="Times New Roman"/>
          <w:sz w:val="24"/>
          <w:szCs w:val="21"/>
        </w:rPr>
        <w:t>，第</w:t>
      </w:r>
      <w:r>
        <w:rPr>
          <w:rFonts w:ascii="Times New Roman" w:hAnsi="Times New Roman" w:eastAsia="宋体" w:cs="Times New Roman"/>
          <w:i/>
          <w:sz w:val="24"/>
          <w:szCs w:val="21"/>
        </w:rPr>
        <w:t>j</w:t>
      </w:r>
      <w:r>
        <w:rPr>
          <w:rFonts w:ascii="Times New Roman" w:hAnsi="Times New Roman" w:eastAsia="宋体" w:cs="Times New Roman"/>
          <w:sz w:val="24"/>
          <w:szCs w:val="21"/>
        </w:rPr>
        <w:t>条土钉的深度为</w:t>
      </w:r>
      <w:r>
        <w:rPr>
          <w:rFonts w:ascii="Times New Roman" w:hAnsi="Times New Roman" w:eastAsia="宋体" w:cs="Times New Roman"/>
          <w:position w:val="-8"/>
          <w:sz w:val="24"/>
        </w:rPr>
        <w:object>
          <v:shape id="_x0000_i1352" o:spt="75" type="#_x0000_t75" style="height:15pt;width:16.8pt;" o:ole="t" filled="f" o:preferrelative="t" stroked="f" coordsize="21600,21600">
            <v:path/>
            <v:fill on="f" focussize="0,0"/>
            <v:stroke on="f" joinstyle="miter"/>
            <v:imagedata r:id="rId901" o:title=""/>
            <o:lock v:ext="edit" aspectratio="t"/>
            <w10:wrap type="none"/>
            <w10:anchorlock/>
          </v:shape>
          <o:OLEObject Type="Embed" ProgID="Equation.3" ShapeID="_x0000_i1352" DrawAspect="Content" ObjectID="_1468076035" r:id="rId900">
            <o:LockedField>false</o:LockedField>
          </o:OLEObject>
        </w:object>
      </w:r>
      <w:r>
        <w:rPr>
          <w:rFonts w:ascii="Times New Roman" w:hAnsi="Times New Roman" w:eastAsia="宋体" w:cs="Times New Roman"/>
          <w:sz w:val="24"/>
          <w:szCs w:val="21"/>
        </w:rPr>
        <w:t>，由图示几何关系可得公式：9.2.5-1、9.2.5-2。</w:t>
      </w:r>
    </w:p>
    <w:p>
      <w:pPr>
        <w:spacing w:line="500" w:lineRule="exact"/>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pict>
          <v:shape id="_x0000_s1304" o:spid="_x0000_s1304" o:spt="75" type="#_x0000_t75" style="position:absolute;left:0pt;margin-left:348pt;margin-top:6.4pt;height:20pt;width:96.25pt;mso-wrap-distance-left:9pt;mso-wrap-distance-right:9pt;z-index:251682816;mso-width-relative:page;mso-height-relative:page;" o:ole="t" filled="f" o:preferrelative="t" stroked="f" coordsize="21600,21600" wrapcoords="21591 -2 0 0 0 21600 21591 21602 8 21602 21599 21600 21599 0 8 -2 21591 -2">
            <v:path/>
            <v:fill on="f" focussize="0,0"/>
            <v:stroke on="f" joinstyle="miter"/>
            <v:imagedata r:id="rId903" o:title=""/>
            <o:lock v:ext="edit" aspectratio="t"/>
            <w10:wrap type="through"/>
          </v:shape>
          <o:OLEObject Type="Embed" ProgID="Equation.3" ShapeID="_x0000_s1304" DrawAspect="Content" ObjectID="_1468076036" r:id="rId902">
            <o:LockedField>false</o:LockedField>
          </o:OLEObject>
        </w:pict>
      </w:r>
      <w:r>
        <w:rPr>
          <w:rFonts w:ascii="Times New Roman" w:hAnsi="Times New Roman" w:eastAsia="宋体" w:cs="Times New Roman"/>
          <w:sz w:val="24"/>
          <w:szCs w:val="21"/>
        </w:rPr>
        <w:t>因所有土钉承担的总主动土压力在调整前后保持不变，故有</w:t>
      </w:r>
    </w:p>
    <w:p>
      <w:pPr>
        <w:spacing w:line="500" w:lineRule="exact"/>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将9.2.5-2式代入解之，得到：</w:t>
      </w:r>
    </w:p>
    <w:p>
      <w:pPr>
        <w:spacing w:line="500" w:lineRule="exact"/>
        <w:jc w:val="center"/>
        <w:rPr>
          <w:rFonts w:ascii="Times New Roman" w:hAnsi="Times New Roman" w:eastAsia="黑体" w:cs="Times New Roman"/>
          <w:sz w:val="28"/>
          <w:szCs w:val="28"/>
        </w:rPr>
      </w:pPr>
      <w:r>
        <w:rPr>
          <w:rFonts w:ascii="Times New Roman" w:hAnsi="Times New Roman" w:eastAsia="宋体" w:cs="Times New Roman"/>
          <w:sz w:val="24"/>
          <w:szCs w:val="21"/>
        </w:rPr>
        <w:pict>
          <v:shape id="_x0000_s1305" o:spid="_x0000_s1305" o:spt="75" type="#_x0000_t75" style="position:absolute;left:0pt;margin-left:126pt;margin-top:6.05pt;height:77.2pt;width:128.2pt;mso-wrap-distance-left:9pt;mso-wrap-distance-right:9pt;z-index:251679744;mso-width-relative:page;mso-height-relative:page;" o:ole="t" filled="f" o:preferrelative="t" stroked="f" coordsize="21600,21600" wrapcoords="21592 -2 0 0 0 21600 21592 21602 8 21602 21600 21600 21600 0 8 -2 21592 -2">
            <v:path/>
            <v:fill on="f" focussize="0,0"/>
            <v:stroke on="f" joinstyle="miter"/>
            <v:imagedata r:id="rId905" o:title=""/>
            <o:lock v:ext="edit" aspectratio="t"/>
            <w10:wrap type="through"/>
          </v:shape>
          <o:OLEObject Type="Embed" ProgID="Equation.3" ShapeID="_x0000_s1305" DrawAspect="Content" ObjectID="_1468076037" r:id="rId904">
            <o:LockedField>false</o:LockedField>
          </o:OLEObject>
        </w:pict>
      </w:r>
      <w:r>
        <w:rPr>
          <w:rFonts w:ascii="Times New Roman" w:hAnsi="Times New Roman" w:eastAsia="黑体" w:cs="Times New Roman"/>
          <w:sz w:val="28"/>
          <w:szCs w:val="28"/>
        </w:rPr>
        <w:t xml:space="preserve">                  </w:t>
      </w:r>
    </w:p>
    <w:p>
      <w:pPr>
        <w:spacing w:line="500" w:lineRule="exact"/>
        <w:jc w:val="right"/>
        <w:rPr>
          <w:rFonts w:ascii="Times New Roman" w:hAnsi="Times New Roman" w:eastAsia="黑体" w:cs="Times New Roman"/>
          <w:sz w:val="28"/>
          <w:szCs w:val="28"/>
        </w:rPr>
      </w:pPr>
      <w:r>
        <w:rPr>
          <w:rFonts w:ascii="Times New Roman" w:hAnsi="Times New Roman" w:eastAsia="宋体" w:cs="Times New Roman"/>
          <w:sz w:val="24"/>
          <w:szCs w:val="21"/>
        </w:rPr>
        <w:t xml:space="preserve">                        （9.2.5-3 ）</w:t>
      </w:r>
    </w:p>
    <w:p>
      <w:pPr>
        <w:spacing w:line="500" w:lineRule="exact"/>
        <w:jc w:val="center"/>
        <w:rPr>
          <w:rFonts w:ascii="Times New Roman" w:hAnsi="Times New Roman" w:eastAsia="黑体" w:cs="Times New Roman"/>
          <w:sz w:val="28"/>
          <w:szCs w:val="28"/>
        </w:rPr>
      </w:pPr>
    </w:p>
    <w:p>
      <w:pPr>
        <w:spacing w:line="50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 xml:space="preserve">              </w:t>
      </w:r>
    </w:p>
    <w:p>
      <w:pPr>
        <w:spacing w:line="500" w:lineRule="exact"/>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调整后的土压力强度曲线如图（d）所示，该曲线能够较好的模拟绝大多数工程的实测结果。</w:t>
      </w:r>
      <w:r>
        <w:rPr>
          <w:rFonts w:ascii="Times New Roman" w:hAnsi="Times New Roman" w:eastAsia="宋体" w:cs="Times New Roman"/>
          <w:position w:val="-12"/>
          <w:sz w:val="24"/>
        </w:rPr>
        <w:object>
          <v:shape id="_x0000_i1353" o:spt="75" type="#_x0000_t75" style="height:18pt;width:13.8pt;" o:ole="t" filled="f" o:preferrelative="t" stroked="f" coordsize="21600,21600">
            <v:path/>
            <v:fill on="f" focussize="0,0"/>
            <v:stroke on="f" joinstyle="miter"/>
            <v:imagedata r:id="rId897" o:title=""/>
            <o:lock v:ext="edit" aspectratio="t"/>
            <w10:wrap type="none"/>
            <w10:anchorlock/>
          </v:shape>
          <o:OLEObject Type="Embed" ProgID="Equation.3" ShapeID="_x0000_i1353" DrawAspect="Content" ObjectID="_1468076038" r:id="rId906">
            <o:LockedField>false</o:LockedField>
          </o:OLEObject>
        </w:object>
      </w:r>
      <w:r>
        <w:rPr>
          <w:rFonts w:ascii="Times New Roman" w:hAnsi="Times New Roman" w:eastAsia="宋体" w:cs="Times New Roman"/>
          <w:sz w:val="24"/>
          <w:szCs w:val="21"/>
        </w:rPr>
        <w:t>是个重要的经验数据，与土的抗剪强度及含水量有关，一般</w:t>
      </w:r>
      <w:r>
        <w:rPr>
          <w:rFonts w:ascii="Times New Roman" w:hAnsi="Times New Roman" w:eastAsia="宋体" w:cs="Times New Roman"/>
          <w:position w:val="-12"/>
          <w:sz w:val="24"/>
        </w:rPr>
        <w:object>
          <v:shape id="_x0000_i1354" o:spt="75" type="#_x0000_t75" style="height:18pt;width:13.8pt;" o:ole="t" filled="f" o:preferrelative="t" stroked="f" coordsize="21600,21600">
            <v:path/>
            <v:fill on="f" focussize="0,0"/>
            <v:stroke on="f" joinstyle="miter"/>
            <v:imagedata r:id="rId897" o:title=""/>
            <o:lock v:ext="edit" aspectratio="t"/>
            <w10:wrap type="none"/>
            <w10:anchorlock/>
          </v:shape>
          <o:OLEObject Type="Embed" ProgID="Equation.3" ShapeID="_x0000_i1354" DrawAspect="Content" ObjectID="_1468076039" r:id="rId907">
            <o:LockedField>false</o:LockedField>
          </o:OLEObject>
        </w:object>
      </w:r>
      <w:r>
        <w:rPr>
          <w:rFonts w:ascii="Times New Roman" w:hAnsi="Times New Roman" w:eastAsia="宋体" w:cs="Times New Roman"/>
          <w:sz w:val="24"/>
          <w:szCs w:val="21"/>
        </w:rPr>
        <w:t>=0.6～1.0。</w:t>
      </w:r>
    </w:p>
    <w:p>
      <w:pPr>
        <w:spacing w:line="500" w:lineRule="exact"/>
        <w:rPr>
          <w:rFonts w:ascii="Times New Roman" w:hAnsi="Times New Roman" w:eastAsia="宋体" w:cs="Times New Roman"/>
          <w:sz w:val="24"/>
        </w:rPr>
      </w:pPr>
      <w:r>
        <w:rPr>
          <w:rFonts w:ascii="Times New Roman" w:hAnsi="Times New Roman" w:eastAsia="宋体" w:cs="Times New Roman"/>
          <w:b/>
          <w:sz w:val="24"/>
        </w:rPr>
        <w:t xml:space="preserve">9.2.8 </w:t>
      </w:r>
      <w:r>
        <w:rPr>
          <w:rFonts w:ascii="Times New Roman" w:hAnsi="Times New Roman" w:eastAsia="宋体" w:cs="Times New Roman"/>
          <w:sz w:val="24"/>
        </w:rPr>
        <w:t>土钉墙是分层开挖、分层设置土钉及面层形成的。每一开挖状况都可能是不利工况，也就需要对每一开挖工况进行土钉墙整体滑动稳定性验算。圆弧滑动条分法一直广泛采用，大量工程应用证明是符合实际情况的。</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考虑到圆弧滑动条分法需要适用于复合土钉墙的要求，公式（9.2.8-2）增加了锚杆作用下的抗滑力矩项，因锚杆和土钉对滑动稳定性的作用是一样的，公式中将锚杆和土钉的极限拉力用同一符号</w:t>
      </w:r>
      <w:r>
        <w:rPr>
          <w:rFonts w:ascii="Times New Roman" w:hAnsi="Times New Roman" w:eastAsia="宋体" w:cs="Times New Roman"/>
          <w:position w:val="-14"/>
          <w:sz w:val="24"/>
          <w:szCs w:val="24"/>
        </w:rPr>
        <w:object>
          <v:shape id="_x0000_i1355" o:spt="75" type="#_x0000_t75" style="height:19.2pt;width:21pt;" o:ole="t" filled="f" o:preferrelative="t" stroked="f" coordsize="21600,21600">
            <v:path/>
            <v:fill on="f" focussize="0,0"/>
            <v:stroke on="f" joinstyle="miter"/>
            <v:imagedata r:id="rId591" o:title=""/>
            <o:lock v:ext="edit" aspectratio="t"/>
            <w10:wrap type="none"/>
            <w10:anchorlock/>
          </v:shape>
          <o:OLEObject Type="Embed" ProgID="Equation.DSMT4" ShapeID="_x0000_i1355" DrawAspect="Content" ObjectID="_1468076040" r:id="rId908">
            <o:LockedField>false</o:LockedField>
          </o:OLEObject>
        </w:object>
      </w:r>
      <w:r>
        <w:rPr>
          <w:rFonts w:ascii="Times New Roman" w:hAnsi="Times New Roman" w:eastAsia="宋体" w:cs="Times New Roman"/>
          <w:sz w:val="24"/>
          <w:szCs w:val="24"/>
        </w:rPr>
        <w:t>表示。由于土钉墙整体稳定性验算采用的是极限平衡法，假定锚杆和土钉同时达到极限状态，与锚杆预加力无关，因而，验算公式中不含锚杆预应力项。</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复合土钉墙中锚杆应施加预应力，预应力的大小应考虑土钉与锚杆的变形协调，土钉在基坑有一定变形发生后才受力，预应力锚杆随基坑变形拉力也会增长。土钉和锚杆同时达到极限状态是最理想的，选取锚杆长度和确定锚杆预加力时，应按此原则考虑。</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在复合土钉墙中，微型桩、搅拌桩或旋喷桩对总抗滑力矩是有贡献的，但难以定量。对水泥土桩，其截面的抗剪强度不能按全部考虑。因为水泥土桩比土的刚度大的多，当水泥土桩达到强度极限时，土的抗剪强度还未充分发挥，而土达到极限强度时，水泥土桩在此之前已被剪断，即两者不能同时达到极限。对微型钢管桩，当土达到极限强度时，微型钢管桩是有上拔趋势的，而不是剪切强度控制。因此，尚不能定量给出水泥土桩、微型桩的抵抗力矩，需要考虑其作用时，只能根据经验和水泥土桩、微型桩的设计参数，适当考虑其抗滑作用。当无经验时，最好不考虑其抗滑作用，当作安全储备来处理。</w:t>
      </w:r>
    </w:p>
    <w:p>
      <w:pPr>
        <w:widowControl w:val="0"/>
        <w:spacing w:line="500" w:lineRule="exact"/>
        <w:ind w:firstLine="480" w:firstLineChars="200"/>
        <w:rPr>
          <w:rFonts w:ascii="宋体" w:hAnsi="宋体" w:eastAsia="宋体" w:cs="Times New Roman"/>
          <w:sz w:val="24"/>
        </w:rPr>
      </w:pPr>
      <w:r>
        <w:rPr>
          <w:rFonts w:ascii="Times New Roman" w:hAnsi="Times New Roman"/>
          <w:szCs w:val="24"/>
        </w:rPr>
        <w:br w:type="page"/>
      </w:r>
    </w:p>
    <w:p>
      <w:pPr>
        <w:widowControl/>
        <w:jc w:val="left"/>
        <w:rPr>
          <w:rFonts w:ascii="宋体" w:hAnsi="宋体" w:eastAsia="宋体" w:cs="Times New Roman"/>
          <w:sz w:val="24"/>
        </w:rPr>
      </w:pPr>
    </w:p>
    <w:p>
      <w:pPr>
        <w:keepNext/>
        <w:keepLines/>
        <w:widowControl/>
        <w:spacing w:before="340" w:after="330" w:line="578" w:lineRule="auto"/>
        <w:jc w:val="center"/>
        <w:outlineLvl w:val="0"/>
        <w:rPr>
          <w:rFonts w:ascii="Times New Roman" w:hAnsi="Times New Roman" w:eastAsia="黑体" w:cs="Times New Roman"/>
          <w:b/>
          <w:bCs/>
          <w:kern w:val="44"/>
          <w:sz w:val="44"/>
          <w:szCs w:val="44"/>
        </w:rPr>
      </w:pPr>
      <w:bookmarkStart w:id="1340" w:name="_Toc22642"/>
      <w:r>
        <w:rPr>
          <w:rFonts w:ascii="Times New Roman" w:hAnsi="Times New Roman" w:eastAsia="黑体" w:cs="Times New Roman"/>
          <w:b/>
          <w:bCs/>
          <w:kern w:val="44"/>
          <w:sz w:val="44"/>
          <w:szCs w:val="44"/>
        </w:rPr>
        <w:t>10  重力式水泥土墙</w:t>
      </w:r>
      <w:bookmarkEnd w:id="1340"/>
    </w:p>
    <w:p>
      <w:pPr>
        <w:keepNext/>
        <w:keepLines/>
        <w:widowControl/>
        <w:spacing w:line="416" w:lineRule="auto"/>
        <w:jc w:val="center"/>
        <w:outlineLvl w:val="1"/>
        <w:rPr>
          <w:rFonts w:ascii="Cambria" w:hAnsi="Cambria" w:eastAsia="宋体" w:cs="Times New Roman"/>
          <w:b/>
          <w:bCs/>
          <w:sz w:val="32"/>
          <w:szCs w:val="32"/>
        </w:rPr>
      </w:pPr>
      <w:bookmarkStart w:id="1341" w:name="_Toc11399"/>
      <w:r>
        <w:rPr>
          <w:rFonts w:ascii="Times New Roman" w:hAnsi="Times New Roman" w:eastAsia="宋体" w:cs="Times New Roman"/>
          <w:b/>
          <w:bCs/>
          <w:sz w:val="32"/>
          <w:szCs w:val="32"/>
        </w:rPr>
        <w:t>10.1 一</w:t>
      </w:r>
      <w:r>
        <w:rPr>
          <w:rFonts w:hint="eastAsia" w:ascii="Cambria" w:hAnsi="Cambria" w:eastAsia="宋体" w:cs="Times New Roman"/>
          <w:b/>
          <w:bCs/>
          <w:sz w:val="32"/>
          <w:szCs w:val="32"/>
        </w:rPr>
        <w:t>般规定</w:t>
      </w:r>
      <w:bookmarkEnd w:id="1341"/>
    </w:p>
    <w:p>
      <w:pPr>
        <w:spacing w:line="480" w:lineRule="exact"/>
        <w:rPr>
          <w:rFonts w:ascii="宋体" w:hAnsi="宋体" w:eastAsia="宋体" w:cs="Times New Roman"/>
          <w:sz w:val="24"/>
          <w:szCs w:val="24"/>
        </w:rPr>
      </w:pPr>
      <w:r>
        <w:rPr>
          <w:rFonts w:ascii="Times New Roman" w:hAnsi="Times New Roman" w:eastAsia="宋体" w:cs="Times New Roman"/>
          <w:b/>
          <w:sz w:val="24"/>
        </w:rPr>
        <w:t xml:space="preserve">10.1.2 </w:t>
      </w:r>
      <w:r>
        <w:rPr>
          <w:rFonts w:hint="eastAsia" w:ascii="Times New Roman" w:hAnsi="Times New Roman" w:eastAsia="宋体" w:cs="Times New Roman"/>
          <w:sz w:val="24"/>
          <w:szCs w:val="24"/>
        </w:rPr>
        <w:t>深层搅拌法</w:t>
      </w:r>
      <w:r>
        <w:rPr>
          <w:rFonts w:hint="eastAsia" w:ascii="宋体" w:hAnsi="宋体" w:eastAsia="宋体" w:cs="Times New Roman"/>
          <w:sz w:val="24"/>
          <w:szCs w:val="24"/>
        </w:rPr>
        <w:t>与</w:t>
      </w:r>
      <w:r>
        <w:rPr>
          <w:rFonts w:hint="eastAsia" w:ascii="Times New Roman" w:hAnsi="Times New Roman" w:eastAsia="宋体" w:cs="Times New Roman"/>
          <w:sz w:val="24"/>
          <w:szCs w:val="24"/>
        </w:rPr>
        <w:t>高压喷射注浆法相比较</w:t>
      </w:r>
      <w:r>
        <w:rPr>
          <w:rFonts w:ascii="Times New Roman" w:hAnsi="Times New Roman" w:eastAsia="宋体" w:cs="Times New Roman"/>
          <w:sz w:val="24"/>
          <w:szCs w:val="24"/>
        </w:rPr>
        <w:t>而言，</w:t>
      </w:r>
      <w:r>
        <w:rPr>
          <w:rFonts w:hint="eastAsia" w:ascii="Times New Roman" w:hAnsi="Times New Roman" w:eastAsia="宋体" w:cs="Times New Roman"/>
          <w:sz w:val="24"/>
          <w:szCs w:val="24"/>
        </w:rPr>
        <w:t>深层搅拌法</w:t>
      </w:r>
      <w:r>
        <w:rPr>
          <w:rFonts w:hint="eastAsia" w:ascii="宋体" w:hAnsi="宋体" w:eastAsia="宋体" w:cs="Times New Roman"/>
          <w:sz w:val="24"/>
          <w:szCs w:val="24"/>
        </w:rPr>
        <w:t>成桩桩体断面尺寸更稳定，更容易保证桩与桩的咬合，同时施工成本也更低，因此广泛运用。但有时受场地作业面或施工空间的限制，可采用水泥高压喷射注浆法。</w:t>
      </w:r>
    </w:p>
    <w:p>
      <w:pPr>
        <w:spacing w:line="480" w:lineRule="exact"/>
        <w:rPr>
          <w:rFonts w:ascii="宋体" w:hAnsi="宋体"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.5 </w:t>
      </w:r>
      <w:r>
        <w:rPr>
          <w:rFonts w:hint="eastAsia" w:ascii="宋体" w:hAnsi="宋体" w:eastAsia="宋体" w:cs="Times New Roman"/>
          <w:sz w:val="24"/>
          <w:szCs w:val="24"/>
        </w:rPr>
        <w:t>在地下水存在腐蚀性时，水泥搅拌桩的设计要慎重</w:t>
      </w:r>
      <w:r>
        <w:rPr>
          <w:rFonts w:hint="eastAsia" w:ascii="Calibri" w:hAnsi="Calibri" w:eastAsia="宋体" w:cs="Times New Roman"/>
          <w:sz w:val="24"/>
        </w:rPr>
        <w:t>。</w:t>
      </w:r>
      <w:r>
        <w:rPr>
          <w:rFonts w:hint="eastAsia" w:ascii="宋体" w:hAnsi="宋体" w:eastAsia="宋体" w:cs="Times New Roman"/>
          <w:sz w:val="24"/>
          <w:szCs w:val="24"/>
        </w:rPr>
        <w:t>在太原市晋源区某场地进行过专门试验，该场地地下水对混凝土的腐蚀性为中等到严重，采用矿渣硅酸盐水泥，掺和水泥量重量</w:t>
      </w:r>
      <w:r>
        <w:rPr>
          <w:rFonts w:hint="eastAsia" w:ascii="Times New Roman" w:hAnsi="Times New Roman" w:eastAsia="宋体" w:cs="Times New Roman"/>
          <w:sz w:val="24"/>
          <w:szCs w:val="24"/>
        </w:rPr>
        <w:t>10</w:t>
      </w:r>
      <w:r>
        <w:rPr>
          <w:rFonts w:hint="eastAsia" w:ascii="宋体" w:hAnsi="宋体" w:eastAsia="宋体" w:cs="Times New Roman"/>
          <w:sz w:val="24"/>
          <w:szCs w:val="24"/>
        </w:rPr>
        <w:t>%的粉煤灰，</w:t>
      </w:r>
      <w:r>
        <w:rPr>
          <w:rFonts w:hint="eastAsia" w:ascii="Times New Roman" w:hAnsi="Times New Roman" w:eastAsia="宋体" w:cs="Times New Roman"/>
          <w:sz w:val="24"/>
          <w:szCs w:val="24"/>
        </w:rPr>
        <w:t>28</w:t>
      </w:r>
      <w:r>
        <w:rPr>
          <w:rFonts w:hint="eastAsia" w:ascii="宋体" w:hAnsi="宋体" w:eastAsia="宋体" w:cs="Times New Roman"/>
          <w:sz w:val="24"/>
          <w:szCs w:val="24"/>
        </w:rPr>
        <w:t>d水泥土无侧限抗压强度最小值也大于</w:t>
      </w:r>
      <w:r>
        <w:rPr>
          <w:rFonts w:hint="eastAsia" w:ascii="Times New Roman" w:hAnsi="Times New Roman" w:eastAsia="宋体" w:cs="Times New Roman"/>
          <w:sz w:val="24"/>
          <w:szCs w:val="24"/>
        </w:rPr>
        <w:t>1</w:t>
      </w:r>
      <w:r>
        <w:rPr>
          <w:rFonts w:hint="eastAsia" w:ascii="宋体" w:hAnsi="宋体" w:eastAsia="宋体" w:cs="Times New Roman"/>
          <w:sz w:val="24"/>
          <w:szCs w:val="24"/>
        </w:rPr>
        <w:t>.</w:t>
      </w:r>
      <w:r>
        <w:rPr>
          <w:rFonts w:hint="eastAsia" w:ascii="Times New Roman" w:hAnsi="Times New Roman" w:eastAsia="宋体" w:cs="Times New Roman"/>
          <w:sz w:val="24"/>
          <w:szCs w:val="24"/>
        </w:rPr>
        <w:t>5</w:t>
      </w:r>
      <w:r>
        <w:rPr>
          <w:rFonts w:ascii="Times New Roman" w:hAnsi="Times New Roman" w:eastAsia="宋体" w:cs="Times New Roman"/>
          <w:sz w:val="24"/>
          <w:szCs w:val="24"/>
        </w:rPr>
        <w:t>MPa</w:t>
      </w:r>
      <w:r>
        <w:rPr>
          <w:rFonts w:hint="eastAsia" w:ascii="宋体" w:hAnsi="宋体" w:eastAsia="宋体" w:cs="Times New Roman"/>
          <w:sz w:val="24"/>
          <w:szCs w:val="24"/>
        </w:rPr>
        <w:t>。</w:t>
      </w:r>
    </w:p>
    <w:p>
      <w:pPr>
        <w:keepNext/>
        <w:keepLines/>
        <w:widowControl/>
        <w:spacing w:line="416" w:lineRule="auto"/>
        <w:jc w:val="center"/>
        <w:outlineLvl w:val="1"/>
        <w:rPr>
          <w:rFonts w:ascii="Times New Roman" w:hAnsi="Times New Roman" w:eastAsia="宋体" w:cs="Times New Roman"/>
          <w:b/>
          <w:bCs/>
          <w:sz w:val="32"/>
          <w:szCs w:val="32"/>
        </w:rPr>
      </w:pPr>
      <w:bookmarkStart w:id="1342" w:name="_Toc19162"/>
      <w:r>
        <w:rPr>
          <w:rFonts w:ascii="Times New Roman" w:hAnsi="Times New Roman" w:eastAsia="宋体" w:cs="Times New Roman"/>
          <w:b/>
          <w:bCs/>
          <w:sz w:val="32"/>
          <w:szCs w:val="32"/>
        </w:rPr>
        <w:t>10.2 设计</w:t>
      </w:r>
      <w:bookmarkEnd w:id="1342"/>
    </w:p>
    <w:p>
      <w:pPr>
        <w:spacing w:line="480" w:lineRule="exact"/>
        <w:rPr>
          <w:rFonts w:ascii="宋体" w:hAnsi="宋体"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1~10</w:t>
      </w:r>
      <w:r>
        <w:rPr>
          <w:rFonts w:hint="eastAsia" w:ascii="Times New Roman" w:hAnsi="Times New Roman" w:eastAsia="宋体" w:cs="Times New Roman"/>
          <w:b/>
          <w:sz w:val="24"/>
        </w:rPr>
        <w:t>.</w:t>
      </w:r>
      <w:r>
        <w:rPr>
          <w:rFonts w:ascii="Times New Roman" w:hAnsi="Times New Roman" w:eastAsia="宋体" w:cs="Times New Roman"/>
          <w:b/>
          <w:sz w:val="24"/>
        </w:rPr>
        <w:t>2</w:t>
      </w:r>
      <w:r>
        <w:rPr>
          <w:rFonts w:hint="eastAsia" w:ascii="Times New Roman" w:hAnsi="Times New Roman" w:eastAsia="宋体" w:cs="Times New Roman"/>
          <w:b/>
          <w:sz w:val="24"/>
        </w:rPr>
        <w:t>.</w:t>
      </w:r>
      <w:r>
        <w:rPr>
          <w:rFonts w:ascii="Times New Roman" w:hAnsi="Times New Roman" w:eastAsia="宋体" w:cs="Times New Roman"/>
          <w:b/>
          <w:sz w:val="24"/>
        </w:rPr>
        <w:t xml:space="preserve">3 </w:t>
      </w:r>
      <w:r>
        <w:rPr>
          <w:rFonts w:hint="eastAsia" w:ascii="宋体" w:hAnsi="宋体" w:eastAsia="宋体" w:cs="Times New Roman"/>
          <w:sz w:val="24"/>
          <w:szCs w:val="24"/>
        </w:rPr>
        <w:t>按重力式设计的水泥土墙，其破坏形式包括以下几类：①墙整体倾覆；②墙整体滑移；③沿墙体以外土中某一滑动面的土体整体滑动；④墙下地基承载力不足而使墙体下沉并伴随基坑隆起；⑤墙身材料的应力超过抗拉、抗压或抗剪强度而使墙体断裂；⑥地下水渗流造成的土体渗透破坯。重力式水泥土墙的设计，墙的嵌固深度和墙的宽度是两个主要设计参数，土体整体滑动稳定性、基坑隆起稳定性与嵌固深度密切相关，而基本与墙宽无关。墙的倾覆稳定性、墙的滑移稳定性不仅与嵌固深度有关，而且与墙宽有关。</w:t>
      </w:r>
    </w:p>
    <w:p>
      <w:pPr>
        <w:spacing w:line="480" w:lineRule="exact"/>
        <w:rPr>
          <w:rFonts w:ascii="宋体" w:hAnsi="宋体" w:eastAsia="宋体" w:cs="Times New Roman"/>
          <w:sz w:val="24"/>
          <w:szCs w:val="24"/>
        </w:rPr>
      </w:pPr>
      <w:r>
        <w:rPr>
          <w:rFonts w:hint="eastAsia" w:ascii="Times New Roman" w:hAnsi="Times New Roman" w:eastAsia="宋体" w:cs="Times New Roman"/>
          <w:b/>
          <w:sz w:val="24"/>
        </w:rPr>
        <w:t>10.2.6</w:t>
      </w:r>
      <w:r>
        <w:rPr>
          <w:rFonts w:ascii="Times New Roman" w:hAnsi="Times New Roman" w:eastAsia="宋体" w:cs="Times New Roman"/>
          <w:b/>
          <w:sz w:val="24"/>
        </w:rPr>
        <w:t xml:space="preserve"> </w:t>
      </w:r>
      <w:r>
        <w:rPr>
          <w:rFonts w:hint="eastAsia" w:ascii="宋体" w:hAnsi="宋体" w:eastAsia="宋体" w:cs="Times New Roman"/>
          <w:sz w:val="24"/>
          <w:szCs w:val="24"/>
        </w:rPr>
        <w:t>水泥土墙的上述各种稳定性验算基于重力式结构的假定，应保证墙为整体。墙体满足抗拉、抗压和抗剪要求是保证墙为整体条件。</w:t>
      </w:r>
    </w:p>
    <w:p>
      <w:pPr>
        <w:keepNext/>
        <w:keepLines/>
        <w:widowControl/>
        <w:spacing w:line="416" w:lineRule="auto"/>
        <w:jc w:val="center"/>
        <w:outlineLvl w:val="1"/>
        <w:rPr>
          <w:rFonts w:ascii="Cambria" w:hAnsi="Cambria" w:eastAsia="宋体" w:cs="Times New Roman"/>
          <w:b/>
          <w:bCs/>
          <w:sz w:val="32"/>
          <w:szCs w:val="32"/>
        </w:rPr>
      </w:pPr>
      <w:bookmarkStart w:id="1343" w:name="_Toc15964"/>
      <w:r>
        <w:rPr>
          <w:rFonts w:ascii="Cambria" w:hAnsi="Cambria" w:eastAsia="宋体" w:cs="Times New Roman"/>
          <w:b/>
          <w:bCs/>
          <w:sz w:val="32"/>
          <w:szCs w:val="32"/>
        </w:rPr>
        <w:t>10.3</w:t>
      </w:r>
      <w:r>
        <w:rPr>
          <w:rFonts w:hint="eastAsia" w:ascii="Cambria" w:hAnsi="Cambria" w:eastAsia="宋体" w:cs="Times New Roman"/>
          <w:b/>
          <w:bCs/>
          <w:sz w:val="32"/>
          <w:szCs w:val="32"/>
        </w:rPr>
        <w:t xml:space="preserve"> 构造</w:t>
      </w:r>
      <w:bookmarkEnd w:id="1343"/>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w:t>
      </w:r>
      <w:r>
        <w:rPr>
          <w:rFonts w:ascii="Times New Roman" w:hAnsi="Times New Roman" w:eastAsia="宋体" w:cs="Times New Roman"/>
          <w:b/>
          <w:sz w:val="24"/>
        </w:rPr>
        <w:t xml:space="preserve">2 </w:t>
      </w:r>
      <w:r>
        <w:rPr>
          <w:rFonts w:ascii="Times New Roman" w:hAnsi="Times New Roman" w:eastAsia="宋体" w:cs="Times New Roman"/>
          <w:sz w:val="24"/>
          <w:szCs w:val="24"/>
        </w:rPr>
        <w:t>水泥搅拌桩桩体的固化剂宜采用普通硅酸盐水泥，强度等级不</w:t>
      </w:r>
      <w:r>
        <w:rPr>
          <w:rFonts w:hint="eastAsia" w:ascii="Times New Roman" w:hAnsi="Times New Roman" w:eastAsia="宋体" w:cs="Times New Roman"/>
          <w:sz w:val="24"/>
          <w:szCs w:val="24"/>
        </w:rPr>
        <w:t>宜</w:t>
      </w:r>
      <w:r>
        <w:rPr>
          <w:rFonts w:ascii="Times New Roman" w:hAnsi="Times New Roman" w:eastAsia="宋体" w:cs="Times New Roman"/>
          <w:sz w:val="24"/>
          <w:szCs w:val="24"/>
        </w:rPr>
        <w:t>低于42.5 级，水灰比不宜大于0.5，水泥掺入比应根据土质条件确定且不宜小于15%。单轴搅拌桩水泥掺入比可取15％～20％，三轴搅拌桩水泥掺入比20%～22%，高压旋喷桩水泥掺入比25%～35%。</w:t>
      </w:r>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rPr>
        <w:t>10</w:t>
      </w:r>
      <w:r>
        <w:rPr>
          <w:rFonts w:hint="eastAsia" w:ascii="Times New Roman" w:hAnsi="Times New Roman" w:eastAsia="宋体" w:cs="Times New Roman"/>
          <w:b/>
          <w:sz w:val="24"/>
        </w:rPr>
        <w:t>.</w:t>
      </w:r>
      <w:r>
        <w:rPr>
          <w:rFonts w:ascii="Times New Roman" w:hAnsi="Times New Roman" w:eastAsia="宋体" w:cs="Times New Roman"/>
          <w:b/>
          <w:sz w:val="24"/>
        </w:rPr>
        <w:t>3</w:t>
      </w:r>
      <w:r>
        <w:rPr>
          <w:rFonts w:hint="eastAsia" w:ascii="Times New Roman" w:hAnsi="Times New Roman" w:eastAsia="宋体" w:cs="Times New Roman"/>
          <w:b/>
          <w:sz w:val="24"/>
        </w:rPr>
        <w:t xml:space="preserve">.7 </w:t>
      </w:r>
      <w:r>
        <w:rPr>
          <w:rFonts w:ascii="Times New Roman" w:hAnsi="Times New Roman" w:eastAsia="宋体" w:cs="Times New Roman"/>
          <w:sz w:val="24"/>
          <w:szCs w:val="24"/>
        </w:rPr>
        <w:t>第6款考虑到山西地方经验及山西土质特性，每米水泥掺入量为60kg，其28d无侧限抗压强度值一般大于1.5Mpa</w:t>
      </w:r>
      <w:r>
        <w:rPr>
          <w:rFonts w:hint="eastAsia" w:ascii="Times New Roman" w:hAnsi="Times New Roman" w:eastAsia="宋体" w:cs="Times New Roman"/>
          <w:sz w:val="24"/>
          <w:szCs w:val="24"/>
        </w:rPr>
        <w:t>，</w:t>
      </w:r>
      <w:r>
        <w:rPr>
          <w:rFonts w:ascii="Times New Roman" w:hAnsi="Times New Roman" w:eastAsia="宋体" w:cs="Times New Roman"/>
          <w:sz w:val="24"/>
          <w:szCs w:val="24"/>
        </w:rPr>
        <w:t>结合国标要求，建议水泥搅拌桩28d无侧限抗压强度值要求不小于1.2MPa</w:t>
      </w:r>
      <w:r>
        <w:rPr>
          <w:rFonts w:ascii="Times New Roman" w:hAnsi="Times New Roman" w:eastAsia="宋体" w:cs="Times New Roman"/>
          <w:position w:val="-6"/>
          <w:sz w:val="24"/>
        </w:rPr>
        <w:t>，</w:t>
      </w:r>
      <w:r>
        <w:rPr>
          <w:rFonts w:ascii="Times New Roman" w:hAnsi="Times New Roman" w:eastAsia="宋体" w:cs="Times New Roman"/>
          <w:sz w:val="24"/>
          <w:szCs w:val="24"/>
        </w:rPr>
        <w:t>水泥土体局部段抗拉强度的提高也可采用在水泥土墙内侧设置钢筋（丝）网片喷射混凝土加强带的做法。</w:t>
      </w:r>
    </w:p>
    <w:p>
      <w:pPr>
        <w:keepNext/>
        <w:keepLines/>
        <w:widowControl/>
        <w:spacing w:before="340" w:after="330" w:line="578" w:lineRule="auto"/>
        <w:jc w:val="center"/>
        <w:outlineLvl w:val="0"/>
        <w:rPr>
          <w:rFonts w:ascii="Times New Roman" w:hAnsi="Times New Roman" w:eastAsia="黑体" w:cs="Times New Roman"/>
          <w:b/>
          <w:bCs/>
          <w:kern w:val="44"/>
          <w:sz w:val="44"/>
          <w:szCs w:val="44"/>
        </w:rPr>
      </w:pPr>
      <w:r>
        <w:rPr>
          <w:rFonts w:ascii="Times New Roman" w:hAnsi="Times New Roman"/>
          <w:szCs w:val="24"/>
        </w:rPr>
        <w:br w:type="page"/>
      </w:r>
      <w:bookmarkStart w:id="1344" w:name="_Toc24021"/>
      <w:r>
        <w:rPr>
          <w:rFonts w:ascii="Times New Roman" w:hAnsi="Times New Roman" w:eastAsia="黑体" w:cs="Times New Roman"/>
          <w:b/>
          <w:bCs/>
          <w:kern w:val="44"/>
          <w:sz w:val="44"/>
          <w:szCs w:val="44"/>
        </w:rPr>
        <w:t>12  土体加固</w:t>
      </w:r>
      <w:bookmarkEnd w:id="1344"/>
    </w:p>
    <w:p>
      <w:pPr>
        <w:spacing w:line="480" w:lineRule="exact"/>
        <w:rPr>
          <w:rFonts w:ascii="Times New Roman" w:hAnsi="Times New Roman" w:eastAsia="宋体" w:cs="Times New Roman"/>
          <w:sz w:val="24"/>
          <w:szCs w:val="24"/>
        </w:rPr>
      </w:pPr>
      <w:r>
        <w:rPr>
          <w:rFonts w:ascii="Times New Roman" w:hAnsi="Times New Roman" w:eastAsia="宋体" w:cs="Times New Roman"/>
          <w:b/>
          <w:sz w:val="24"/>
        </w:rPr>
        <w:t>12</w:t>
      </w:r>
      <w:r>
        <w:rPr>
          <w:rFonts w:hint="eastAsia" w:ascii="Times New Roman" w:hAnsi="Times New Roman" w:eastAsia="宋体" w:cs="Times New Roman"/>
          <w:b/>
          <w:sz w:val="24"/>
        </w:rPr>
        <w:t>.</w:t>
      </w:r>
      <w:r>
        <w:rPr>
          <w:rFonts w:ascii="Times New Roman" w:hAnsi="Times New Roman" w:eastAsia="宋体" w:cs="Times New Roman"/>
          <w:b/>
          <w:sz w:val="24"/>
        </w:rPr>
        <w:t>0</w:t>
      </w:r>
      <w:r>
        <w:rPr>
          <w:rFonts w:hint="eastAsia" w:ascii="Times New Roman" w:hAnsi="Times New Roman" w:eastAsia="宋体" w:cs="Times New Roman"/>
          <w:b/>
          <w:sz w:val="24"/>
        </w:rPr>
        <w:t>.</w:t>
      </w:r>
      <w:r>
        <w:rPr>
          <w:rFonts w:ascii="Times New Roman" w:hAnsi="Times New Roman" w:eastAsia="宋体" w:cs="Times New Roman"/>
          <w:b/>
          <w:sz w:val="24"/>
        </w:rPr>
        <w:t>1</w:t>
      </w:r>
      <w:r>
        <w:rPr>
          <w:rFonts w:hint="eastAsia" w:ascii="Times New Roman" w:hAnsi="Times New Roman" w:eastAsia="宋体" w:cs="Times New Roman"/>
          <w:b/>
          <w:sz w:val="24"/>
        </w:rPr>
        <w:t xml:space="preserve"> </w:t>
      </w:r>
      <w:r>
        <w:rPr>
          <w:rFonts w:hint="eastAsia" w:ascii="Times New Roman" w:hAnsi="Times New Roman" w:eastAsia="宋体" w:cs="Times New Roman"/>
          <w:sz w:val="24"/>
          <w:szCs w:val="24"/>
        </w:rPr>
        <w:t>常规的基坑土体加固包括水泥土搅拌、注浆、高压喷射注浆、降水、微型桩等方法。其中水泥土搅拌法包括单轴搅拌桩、双轴搅拌桩、三轴搅拌桩及多轴搅拌桩。注浆法按照浆液在土中的流动方式可分为渗透注浆、压密注浆、劈裂注浆；按照施工方法可分为袖阀管注浆、直接注浆法、埋管注浆法、低坍落度砂浆压密注浆法、柱状布袋注浆法、后退式注浆法等；按照注浆材料可分为水泥浆液和化学浆液。常见的高压喷射注浆法有旋喷法、定喷法和摆喷法；按施工工艺可分为单管法、双管法和三管法，此外还包括超高压喷射注浆法、全方位超高压喷射注浆法等新型工艺。微型桩按桩型和施工工艺可分为树根桩、预制桩及注浆钢管桩等。</w:t>
      </w:r>
    </w:p>
    <w:p>
      <w:pPr>
        <w:widowControl w:val="0"/>
        <w:spacing w:line="480" w:lineRule="exact"/>
        <w:rPr>
          <w:rFonts w:ascii="Times New Roman" w:hAnsi="Times New Roman" w:eastAsia="宋体" w:cs="Times New Roman"/>
          <w:sz w:val="24"/>
          <w:szCs w:val="24"/>
        </w:rPr>
      </w:pPr>
    </w:p>
    <w:bookmarkEnd w:id="1333"/>
    <w:bookmarkEnd w:id="1334"/>
    <w:bookmarkEnd w:id="1335"/>
    <w:bookmarkEnd w:id="1336"/>
    <w:bookmarkEnd w:id="1337"/>
    <w:p>
      <w:pPr>
        <w:rPr>
          <w:rFonts w:hint="default" w:ascii="宋体" w:hAnsi="宋体" w:cs="Times New Roman"/>
          <w:szCs w:val="24"/>
          <w:lang w:val="en-US" w:eastAsia="zh-CN"/>
        </w:rPr>
      </w:pPr>
      <w:r>
        <w:rPr>
          <w:rFonts w:hint="default" w:ascii="宋体" w:hAnsi="宋体" w:cs="Times New Roman"/>
          <w:szCs w:val="24"/>
          <w:lang w:val="en-US" w:eastAsia="zh-CN"/>
        </w:rPr>
        <w:br w:type="page"/>
      </w:r>
    </w:p>
    <w:p>
      <w:pPr>
        <w:widowControl w:val="0"/>
        <w:spacing w:line="480" w:lineRule="exact"/>
        <w:rPr>
          <w:rFonts w:hint="default" w:ascii="宋体" w:hAnsi="宋体" w:cs="Times New Roman"/>
          <w:szCs w:val="24"/>
          <w:lang w:val="en-US" w:eastAsia="zh-CN"/>
        </w:rPr>
      </w:pPr>
    </w:p>
    <w:p>
      <w:pPr>
        <w:pStyle w:val="2"/>
        <w:bidi w:val="0"/>
      </w:pPr>
      <w:bookmarkStart w:id="1345" w:name="_Toc8473"/>
      <w:r>
        <w:rPr>
          <w:rFonts w:hint="eastAsia"/>
          <w:lang w:val="en-US" w:eastAsia="zh-CN"/>
        </w:rPr>
        <w:t>13</w:t>
      </w:r>
      <w:r>
        <w:rPr>
          <w:rFonts w:hint="eastAsia"/>
        </w:rPr>
        <w:t xml:space="preserve">  地下水控制</w:t>
      </w:r>
      <w:bookmarkEnd w:id="1345"/>
    </w:p>
    <w:p>
      <w:pPr>
        <w:pStyle w:val="3"/>
        <w:bidi w:val="0"/>
      </w:pPr>
      <w:bookmarkStart w:id="1346" w:name="_Toc816"/>
      <w:r>
        <w:rPr>
          <w:rFonts w:hint="eastAsia"/>
          <w:lang w:val="en-US" w:eastAsia="zh-CN"/>
        </w:rPr>
        <w:t>13</w:t>
      </w:r>
      <w:r>
        <w:rPr>
          <w:rFonts w:hint="eastAsia"/>
        </w:rPr>
        <w:t>.1  一般规定</w:t>
      </w:r>
      <w:bookmarkEnd w:id="1346"/>
    </w:p>
    <w:p>
      <w:pPr>
        <w:spacing w:line="480" w:lineRule="exact"/>
        <w:rPr>
          <w:rFonts w:ascii="宋体" w:hAnsi="宋体" w:cs="宋体"/>
        </w:rPr>
      </w:pPr>
      <w:r>
        <w:rPr>
          <w:rFonts w:hint="eastAsia" w:ascii="宋体" w:hAnsi="宋体" w:cs="宋体"/>
          <w:b/>
          <w:szCs w:val="24"/>
          <w:lang w:val="en-US" w:eastAsia="zh-CN"/>
        </w:rPr>
        <w:t>13</w:t>
      </w:r>
      <w:r>
        <w:rPr>
          <w:rFonts w:hint="eastAsia" w:ascii="宋体" w:hAnsi="宋体" w:cs="宋体"/>
          <w:b/>
          <w:szCs w:val="24"/>
        </w:rPr>
        <w:t>.1.1</w:t>
      </w:r>
      <w:r>
        <w:rPr>
          <w:rFonts w:hint="eastAsia" w:ascii="宋体" w:hAnsi="宋体" w:cs="宋体"/>
          <w:szCs w:val="24"/>
        </w:rPr>
        <w:t xml:space="preserve"> 地下水直接影响着岩土体的工程特性和状态，因此，勘察中要求查明与工程有关的水文地质条件，评价地下水对岩土体和建筑物的作用和影响，预测可能产生的岩土工程危害，为设计和施工提供必要的水文地质资料。不仅要查明地下水的天然状态和天然条件，评价地下水对岩土体和建筑物的作用和影响，更重要的是要分析、预测在人为工程活动中地下水天然状态和天然条件变化后对岩土体和建筑物的作用，预测可能产生的后果，提出防治措施。</w:t>
      </w:r>
    </w:p>
    <w:p>
      <w:pPr>
        <w:spacing w:line="480" w:lineRule="exact"/>
        <w:ind w:firstLine="480" w:firstLineChars="200"/>
        <w:rPr>
          <w:rFonts w:ascii="宋体" w:hAnsi="宋体" w:cs="宋体"/>
        </w:rPr>
      </w:pPr>
      <w:r>
        <w:rPr>
          <w:rFonts w:hint="eastAsia" w:ascii="宋体" w:hAnsi="宋体" w:cs="宋体"/>
          <w:szCs w:val="24"/>
        </w:rPr>
        <w:t>1 评价施工采取降、排水措施可能引起的周边建筑物变形、市政道路的下沉、塌陷、地下水动态的变化和地下管线及各种设施的变形等不利影响，并提出防治措施。</w:t>
      </w:r>
    </w:p>
    <w:p>
      <w:pPr>
        <w:spacing w:line="480" w:lineRule="exact"/>
        <w:ind w:firstLine="480" w:firstLineChars="200"/>
        <w:rPr>
          <w:rFonts w:ascii="宋体" w:hAnsi="宋体" w:cs="宋体"/>
        </w:rPr>
      </w:pPr>
      <w:r>
        <w:rPr>
          <w:rFonts w:hint="eastAsia" w:ascii="宋体" w:hAnsi="宋体" w:cs="宋体"/>
          <w:szCs w:val="24"/>
        </w:rPr>
        <w:t>2 基坑下有承压水含水层时，评价承压水头对基坑稳定性的影响。</w:t>
      </w:r>
    </w:p>
    <w:p>
      <w:pPr>
        <w:spacing w:line="480" w:lineRule="exact"/>
        <w:ind w:firstLine="480" w:firstLineChars="200"/>
        <w:rPr>
          <w:rFonts w:ascii="宋体" w:hAnsi="宋体" w:cs="宋体"/>
        </w:rPr>
      </w:pPr>
      <w:r>
        <w:rPr>
          <w:rFonts w:hint="eastAsia" w:ascii="宋体" w:hAnsi="宋体" w:cs="宋体"/>
          <w:szCs w:val="24"/>
        </w:rPr>
        <w:t>3 预测开挖引起管涌、流土的可能性。</w:t>
      </w:r>
    </w:p>
    <w:p>
      <w:pPr>
        <w:spacing w:line="480" w:lineRule="exact"/>
        <w:ind w:firstLine="480" w:firstLineChars="200"/>
        <w:rPr>
          <w:rFonts w:ascii="宋体" w:hAnsi="宋体" w:cs="宋体"/>
        </w:rPr>
      </w:pPr>
      <w:r>
        <w:rPr>
          <w:rFonts w:hint="eastAsia" w:ascii="宋体" w:hAnsi="宋体" w:cs="宋体"/>
          <w:szCs w:val="24"/>
        </w:rPr>
        <w:t>4 评价地下水对岩土的软化、崩解、湿陷、潜蚀等有害作用。</w:t>
      </w:r>
    </w:p>
    <w:p>
      <w:pPr>
        <w:spacing w:line="480" w:lineRule="exact"/>
        <w:ind w:firstLine="480" w:firstLineChars="200"/>
        <w:rPr>
          <w:rFonts w:ascii="宋体" w:hAnsi="宋体" w:cs="宋体"/>
        </w:rPr>
      </w:pPr>
      <w:r>
        <w:rPr>
          <w:rFonts w:hint="eastAsia" w:ascii="宋体" w:hAnsi="宋体" w:cs="宋体"/>
          <w:szCs w:val="24"/>
        </w:rPr>
        <w:t>5 调查周边人防工程等人工洞室及渠系的充水情况，评价对基坑的影响。</w:t>
      </w:r>
    </w:p>
    <w:p>
      <w:pPr>
        <w:bidi w:val="0"/>
        <w:ind w:firstLine="480" w:firstLineChars="200"/>
        <w:rPr>
          <w:rFonts w:hint="eastAsia"/>
        </w:rPr>
      </w:pPr>
      <w:r>
        <w:rPr>
          <w:rFonts w:hint="eastAsia" w:ascii="宋体" w:hAnsi="宋体" w:cs="宋体"/>
          <w:szCs w:val="24"/>
        </w:rPr>
        <w:t>6 评价降水</w:t>
      </w:r>
      <w:r>
        <w:rPr>
          <w:rFonts w:hint="eastAsia"/>
        </w:rPr>
        <w:t>带来的地下水资源及环境的影响。</w:t>
      </w:r>
    </w:p>
    <w:p>
      <w:pPr>
        <w:spacing w:line="480" w:lineRule="exact"/>
        <w:ind w:firstLine="480" w:firstLineChars="200"/>
        <w:rPr>
          <w:rFonts w:ascii="宋体" w:hAnsi="宋体" w:cs="宋体"/>
        </w:rPr>
      </w:pPr>
      <w:r>
        <w:rPr>
          <w:rFonts w:hint="eastAsia" w:ascii="宋体" w:hAnsi="宋体" w:cs="宋体"/>
          <w:szCs w:val="24"/>
        </w:rPr>
        <w:t>含水层是指饱含地下水又导水的地层，而隔水层（或称不透水层）指地下水渗透率小到可以忽略不计的地层。划分含水层和隔水层是评价水文地质条件的基础工作，主要由岩土的透水性强弱、含水性质和工程环境条件综合决定。</w:t>
      </w:r>
    </w:p>
    <w:p>
      <w:pPr>
        <w:spacing w:line="480" w:lineRule="exact"/>
        <w:ind w:firstLine="480" w:firstLineChars="200"/>
        <w:rPr>
          <w:rFonts w:ascii="宋体" w:hAnsi="宋体" w:cs="宋体"/>
        </w:rPr>
      </w:pPr>
      <w:r>
        <w:rPr>
          <w:rFonts w:hint="eastAsia" w:ascii="宋体" w:hAnsi="宋体" w:cs="宋体"/>
          <w:szCs w:val="24"/>
        </w:rPr>
        <w:t>地下水位包括历年最高水位、最低水位、静止水位、初见水位、稳定水位等。埋测压管是测量地下水位较准确的方法。</w:t>
      </w:r>
    </w:p>
    <w:p>
      <w:pPr>
        <w:spacing w:line="480" w:lineRule="exact"/>
        <w:ind w:firstLine="480" w:firstLineChars="200"/>
        <w:rPr>
          <w:rFonts w:ascii="宋体" w:hAnsi="宋体" w:cs="宋体"/>
        </w:rPr>
      </w:pPr>
      <w:r>
        <w:rPr>
          <w:rFonts w:hint="eastAsia" w:ascii="宋体" w:hAnsi="宋体" w:cs="宋体"/>
          <w:szCs w:val="24"/>
        </w:rPr>
        <w:t>历年最高水位、最低水位指长期观测孔中历年地下水达到的最高、最低记录。</w:t>
      </w:r>
    </w:p>
    <w:p>
      <w:pPr>
        <w:spacing w:line="480" w:lineRule="exact"/>
        <w:ind w:firstLine="480" w:firstLineChars="200"/>
        <w:rPr>
          <w:rFonts w:ascii="宋体" w:hAnsi="宋体" w:cs="宋体"/>
        </w:rPr>
      </w:pPr>
      <w:r>
        <w:rPr>
          <w:rFonts w:hint="eastAsia" w:ascii="宋体" w:hAnsi="宋体" w:cs="宋体"/>
          <w:szCs w:val="24"/>
        </w:rPr>
        <w:t>静止水位系指天然条件下的地下水水位，也指</w:t>
      </w:r>
      <w:r>
        <w:rPr>
          <w:rFonts w:hint="eastAsia" w:ascii="宋体" w:hAnsi="宋体" w:cs="宋体"/>
          <w:szCs w:val="24"/>
          <w:lang w:eastAsia="zh-CN"/>
        </w:rPr>
        <w:t>没有人为</w:t>
      </w:r>
      <w:r>
        <w:rPr>
          <w:rFonts w:hint="eastAsia" w:ascii="宋体" w:hAnsi="宋体" w:cs="宋体"/>
          <w:szCs w:val="24"/>
        </w:rPr>
        <w:t>抽水前处于相对稳定状态时地下水位；稳定水位一般指抽水试验中某时间段内不随时间变化或变化很小时的水位。稳定水位和自然静止水位是计算渗透系数、涌水量等地下水参数的重要数据之一。</w:t>
      </w:r>
    </w:p>
    <w:p>
      <w:pPr>
        <w:spacing w:line="480" w:lineRule="exact"/>
        <w:ind w:firstLine="480" w:firstLineChars="200"/>
        <w:rPr>
          <w:rFonts w:ascii="宋体" w:hAnsi="宋体" w:cs="宋体"/>
        </w:rPr>
      </w:pPr>
      <w:r>
        <w:rPr>
          <w:rFonts w:hint="eastAsia" w:ascii="宋体" w:hAnsi="宋体" w:cs="宋体"/>
          <w:szCs w:val="24"/>
        </w:rPr>
        <w:t>初见水位的测量，一般在工程勘察中从钻具带上的土样中观测，土样由湿到很湿带水时的标高，即为初见水位。在测得初见水位后，粘性土每隔20min～30min，砂土每隔5min～10min测量水位一次，连续两次水位相差小于2cm，即为静止水位。</w:t>
      </w:r>
    </w:p>
    <w:p>
      <w:pPr>
        <w:spacing w:line="480" w:lineRule="exact"/>
        <w:rPr>
          <w:rFonts w:ascii="宋体" w:hAnsi="宋体" w:cs="宋体"/>
        </w:rPr>
      </w:pPr>
      <w:r>
        <w:rPr>
          <w:rFonts w:hint="eastAsia" w:ascii="宋体" w:hAnsi="宋体" w:cs="宋体"/>
          <w:b/>
          <w:szCs w:val="24"/>
          <w:lang w:val="en-US" w:eastAsia="zh-CN"/>
        </w:rPr>
        <w:t>13</w:t>
      </w:r>
      <w:r>
        <w:rPr>
          <w:rFonts w:hint="eastAsia" w:ascii="宋体" w:hAnsi="宋体" w:cs="宋体"/>
          <w:b/>
          <w:szCs w:val="24"/>
        </w:rPr>
        <w:t>.1.2</w:t>
      </w:r>
      <w:r>
        <w:rPr>
          <w:rFonts w:hint="eastAsia" w:ascii="宋体" w:hAnsi="宋体" w:cs="宋体"/>
          <w:szCs w:val="24"/>
        </w:rPr>
        <w:t xml:space="preserve"> 在调查地下水与地表水的水力联系时，尤其应注意查明地下水与江、河、湖、海大水体的水力联系。</w:t>
      </w:r>
    </w:p>
    <w:p>
      <w:pPr>
        <w:spacing w:line="480" w:lineRule="exact"/>
        <w:ind w:firstLine="480" w:firstLineChars="200"/>
        <w:rPr>
          <w:rFonts w:ascii="宋体" w:hAnsi="宋体" w:cs="宋体"/>
        </w:rPr>
      </w:pPr>
      <w:r>
        <w:rPr>
          <w:rFonts w:hint="eastAsia" w:ascii="宋体" w:hAnsi="宋体" w:cs="宋体"/>
          <w:szCs w:val="24"/>
        </w:rPr>
        <w:t>施工期间的降水会直接造成地下水位降低，引起城市水资源减少。施工降排水引起的潜水位或承压水头的下降，一方面减少了水的浮托力，增加了土的有效压力，使土体产生附加沉降变形；另一方面，产生的动水压力可能使粉细砂地层产生流砂、潜蚀现象，使粘性土地层中也可能出现“流泥”现象，从而引起局部地层被掏空，造成沿线路两侧建筑物下沉，周围地面产生塌陷。当不均匀沉降超过地下管线及其它市政设施承受变形的能力时，还将发生各种设施的错位、开裂等现象，以致造成供水、供气的漏失和中断，以及下水管道堵塞等环境问题。</w:t>
      </w:r>
    </w:p>
    <w:p>
      <w:pPr>
        <w:spacing w:line="480" w:lineRule="exact"/>
        <w:ind w:firstLine="480" w:firstLineChars="200"/>
        <w:rPr>
          <w:rFonts w:ascii="宋体" w:hAnsi="宋体" w:cs="宋体"/>
        </w:rPr>
      </w:pPr>
      <w:r>
        <w:rPr>
          <w:rFonts w:hint="eastAsia" w:ascii="宋体" w:hAnsi="宋体" w:cs="宋体"/>
          <w:szCs w:val="24"/>
        </w:rPr>
        <w:t>降水井点施工中，泥浆废液还可能引起周围环境的污染、阻碍交通和堵塞下水道等环境问题，所以必须加强管理，防止泥浆废液流入城市下水管网和污染周围环境。降排水期间，对排出的地下水须合理安排出路，防止淹没农田、道路或周围建筑物。</w:t>
      </w:r>
    </w:p>
    <w:p>
      <w:pPr>
        <w:spacing w:line="480" w:lineRule="exact"/>
        <w:ind w:firstLine="480" w:firstLineChars="200"/>
        <w:rPr>
          <w:rFonts w:ascii="宋体" w:hAnsi="宋体" w:cs="宋体"/>
        </w:rPr>
      </w:pPr>
      <w:r>
        <w:rPr>
          <w:rFonts w:hint="eastAsia" w:ascii="宋体" w:hAnsi="宋体" w:cs="宋体"/>
          <w:szCs w:val="24"/>
        </w:rPr>
        <w:t>室内渗透试验求得的渗透系数往往与实际出入较大，应分析使用。由于在某些情况下现场抽水试验难度大，室内试验结果尚有参考意义。下面列出的渗透系数经验值可供参考。</w:t>
      </w:r>
    </w:p>
    <w:p>
      <w:pPr>
        <w:bidi w:val="0"/>
        <w:jc w:val="center"/>
        <w:rPr>
          <w:rFonts w:hint="eastAsia"/>
        </w:rPr>
      </w:pPr>
      <w:r>
        <w:rPr>
          <w:rFonts w:hint="eastAsia"/>
        </w:rPr>
        <w:t>岩土的渗透系数经验值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413"/>
        <w:gridCol w:w="3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68" w:type="dxa"/>
            <w:vMerge w:val="restart"/>
            <w:vAlign w:val="center"/>
          </w:tcPr>
          <w:p>
            <w:pPr>
              <w:tabs>
                <w:tab w:val="left" w:pos="5745"/>
              </w:tabs>
              <w:spacing w:line="340" w:lineRule="exact"/>
              <w:jc w:val="center"/>
              <w:rPr>
                <w:rFonts w:ascii="宋体" w:hAnsi="宋体" w:cs="宋体"/>
              </w:rPr>
            </w:pPr>
            <w:r>
              <w:rPr>
                <w:rFonts w:hint="eastAsia" w:ascii="宋体" w:hAnsi="宋体" w:cs="宋体"/>
                <w:szCs w:val="24"/>
              </w:rPr>
              <w:t>岩土工程</w:t>
            </w:r>
          </w:p>
        </w:tc>
        <w:tc>
          <w:tcPr>
            <w:tcW w:w="6840" w:type="dxa"/>
            <w:gridSpan w:val="2"/>
          </w:tcPr>
          <w:p>
            <w:pPr>
              <w:tabs>
                <w:tab w:val="left" w:pos="5745"/>
              </w:tabs>
              <w:spacing w:line="340" w:lineRule="exact"/>
              <w:jc w:val="center"/>
              <w:rPr>
                <w:rFonts w:ascii="宋体" w:hAnsi="宋体" w:cs="宋体"/>
              </w:rPr>
            </w:pPr>
            <w:r>
              <w:rPr>
                <w:rFonts w:hint="eastAsia" w:ascii="宋体" w:hAnsi="宋体" w:cs="宋体"/>
                <w:szCs w:val="24"/>
              </w:rPr>
              <w:t>渗透系数k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68" w:type="dxa"/>
            <w:vMerge w:val="continue"/>
          </w:tcPr>
          <w:p>
            <w:pPr>
              <w:tabs>
                <w:tab w:val="left" w:pos="5745"/>
              </w:tabs>
              <w:spacing w:line="340" w:lineRule="exact"/>
              <w:jc w:val="center"/>
              <w:rPr>
                <w:rFonts w:ascii="宋体" w:hAnsi="宋体" w:cs="宋体"/>
              </w:rPr>
            </w:pP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（m/d）</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粘土</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＜0.001</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＜1.2×10</w:t>
            </w:r>
            <w:r>
              <w:rPr>
                <w:rFonts w:hint="eastAsia" w:ascii="宋体" w:hAnsi="宋体" w:cs="宋体"/>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粉质粘土</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0.001～0.100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1.2×10</w:t>
            </w:r>
            <w:r>
              <w:rPr>
                <w:rFonts w:hint="eastAsia" w:ascii="宋体" w:hAnsi="宋体" w:cs="宋体"/>
                <w:szCs w:val="24"/>
                <w:vertAlign w:val="superscript"/>
              </w:rPr>
              <w:t>-6</w:t>
            </w:r>
            <w:r>
              <w:rPr>
                <w:rFonts w:hint="eastAsia" w:ascii="宋体" w:hAnsi="宋体" w:cs="宋体"/>
                <w:szCs w:val="24"/>
              </w:rPr>
              <w:t>～1.2×10</w:t>
            </w:r>
            <w:r>
              <w:rPr>
                <w:rFonts w:hint="eastAsia" w:ascii="宋体" w:hAnsi="宋体" w:cs="宋体"/>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粉土</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0.100～0.500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1.2×10</w:t>
            </w:r>
            <w:r>
              <w:rPr>
                <w:rFonts w:hint="eastAsia" w:ascii="宋体" w:hAnsi="宋体" w:cs="宋体"/>
                <w:szCs w:val="24"/>
                <w:vertAlign w:val="superscript"/>
              </w:rPr>
              <w:t>-4</w:t>
            </w:r>
            <w:r>
              <w:rPr>
                <w:rFonts w:hint="eastAsia" w:ascii="宋体" w:hAnsi="宋体" w:cs="宋体"/>
                <w:szCs w:val="24"/>
              </w:rPr>
              <w:t>～6.0×10</w:t>
            </w:r>
            <w:r>
              <w:rPr>
                <w:rFonts w:hint="eastAsia" w:ascii="宋体" w:hAnsi="宋体" w:cs="宋体"/>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黄土</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0.250～0.500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3.0×10</w:t>
            </w:r>
            <w:r>
              <w:rPr>
                <w:rFonts w:hint="eastAsia" w:ascii="宋体" w:hAnsi="宋体" w:cs="宋体"/>
                <w:szCs w:val="24"/>
                <w:vertAlign w:val="superscript"/>
              </w:rPr>
              <w:t>-4</w:t>
            </w:r>
            <w:r>
              <w:rPr>
                <w:rFonts w:hint="eastAsia" w:ascii="宋体" w:hAnsi="宋体" w:cs="宋体"/>
                <w:szCs w:val="24"/>
              </w:rPr>
              <w:t>～6.0×10</w:t>
            </w:r>
            <w:r>
              <w:rPr>
                <w:rFonts w:hint="eastAsia" w:ascii="宋体" w:hAnsi="宋体" w:cs="宋体"/>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粉砂</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0.500～1.000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6.0×10</w:t>
            </w:r>
            <w:r>
              <w:rPr>
                <w:rFonts w:hint="eastAsia" w:ascii="宋体" w:hAnsi="宋体" w:cs="宋体"/>
                <w:szCs w:val="24"/>
                <w:vertAlign w:val="superscript"/>
              </w:rPr>
              <w:t>-4</w:t>
            </w:r>
            <w:r>
              <w:rPr>
                <w:rFonts w:hint="eastAsia" w:ascii="宋体" w:hAnsi="宋体" w:cs="宋体"/>
                <w:szCs w:val="24"/>
              </w:rPr>
              <w:t>～1.2×10</w:t>
            </w:r>
            <w:r>
              <w:rPr>
                <w:rFonts w:hint="eastAsia" w:ascii="宋体" w:hAnsi="宋体" w:cs="宋体"/>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细砂</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1.000～5.000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1.2×10</w:t>
            </w:r>
            <w:r>
              <w:rPr>
                <w:rFonts w:hint="eastAsia" w:ascii="宋体" w:hAnsi="宋体" w:cs="宋体"/>
                <w:szCs w:val="24"/>
                <w:vertAlign w:val="superscript"/>
              </w:rPr>
              <w:t>-3</w:t>
            </w:r>
            <w:r>
              <w:rPr>
                <w:rFonts w:hint="eastAsia" w:ascii="宋体" w:hAnsi="宋体" w:cs="宋体"/>
                <w:szCs w:val="24"/>
              </w:rPr>
              <w:t>～6.0×10</w:t>
            </w:r>
            <w:r>
              <w:rPr>
                <w:rFonts w:hint="eastAsia" w:ascii="宋体" w:hAnsi="宋体" w:cs="宋体"/>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中砂</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5.000～20.000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6.0×10</w:t>
            </w:r>
            <w:r>
              <w:rPr>
                <w:rFonts w:hint="eastAsia" w:ascii="宋体" w:hAnsi="宋体" w:cs="宋体"/>
                <w:szCs w:val="24"/>
                <w:vertAlign w:val="superscript"/>
              </w:rPr>
              <w:t>-3</w:t>
            </w:r>
            <w:r>
              <w:rPr>
                <w:rFonts w:hint="eastAsia" w:ascii="宋体" w:hAnsi="宋体" w:cs="宋体"/>
                <w:szCs w:val="24"/>
              </w:rPr>
              <w:t>～2.4×10</w:t>
            </w:r>
            <w:r>
              <w:rPr>
                <w:rFonts w:hint="eastAsia" w:ascii="宋体" w:hAnsi="宋体" w:cs="宋体"/>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均质中砂</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35.000～50.000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4.0×10</w:t>
            </w:r>
            <w:r>
              <w:rPr>
                <w:rFonts w:hint="eastAsia" w:ascii="宋体" w:hAnsi="宋体" w:cs="宋体"/>
                <w:szCs w:val="24"/>
                <w:vertAlign w:val="superscript"/>
              </w:rPr>
              <w:t>-2</w:t>
            </w:r>
            <w:r>
              <w:rPr>
                <w:rFonts w:hint="eastAsia" w:ascii="宋体" w:hAnsi="宋体" w:cs="宋体"/>
                <w:szCs w:val="24"/>
              </w:rPr>
              <w:t>～6.0×10</w:t>
            </w:r>
            <w:r>
              <w:rPr>
                <w:rFonts w:hint="eastAsia" w:ascii="宋体" w:hAnsi="宋体" w:cs="宋体"/>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粗砂</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20.000～50.000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2.4×10</w:t>
            </w:r>
            <w:r>
              <w:rPr>
                <w:rFonts w:hint="eastAsia" w:ascii="宋体" w:hAnsi="宋体" w:cs="宋体"/>
                <w:szCs w:val="24"/>
                <w:vertAlign w:val="superscript"/>
              </w:rPr>
              <w:t>-2</w:t>
            </w:r>
            <w:r>
              <w:rPr>
                <w:rFonts w:hint="eastAsia" w:ascii="宋体" w:hAnsi="宋体" w:cs="宋体"/>
                <w:szCs w:val="24"/>
              </w:rPr>
              <w:t>～6.0×10</w:t>
            </w:r>
            <w:r>
              <w:rPr>
                <w:rFonts w:hint="eastAsia" w:ascii="宋体" w:hAnsi="宋体" w:cs="宋体"/>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均质粗砂</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60.000～75.000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7.0×10</w:t>
            </w:r>
            <w:r>
              <w:rPr>
                <w:rFonts w:hint="eastAsia" w:ascii="宋体" w:hAnsi="宋体" w:cs="宋体"/>
                <w:szCs w:val="24"/>
                <w:vertAlign w:val="superscript"/>
              </w:rPr>
              <w:t>-2</w:t>
            </w:r>
            <w:r>
              <w:rPr>
                <w:rFonts w:hint="eastAsia" w:ascii="宋体" w:hAnsi="宋体" w:cs="宋体"/>
                <w:szCs w:val="24"/>
              </w:rPr>
              <w:t>～8.6×10</w:t>
            </w:r>
            <w:r>
              <w:rPr>
                <w:rFonts w:hint="eastAsia" w:ascii="宋体" w:hAnsi="宋体" w:cs="宋体"/>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Pr>
          <w:p>
            <w:pPr>
              <w:tabs>
                <w:tab w:val="left" w:pos="5745"/>
              </w:tabs>
              <w:spacing w:line="340" w:lineRule="exact"/>
              <w:jc w:val="center"/>
              <w:rPr>
                <w:rFonts w:ascii="宋体" w:hAnsi="宋体" w:cs="宋体"/>
              </w:rPr>
            </w:pPr>
            <w:r>
              <w:rPr>
                <w:rFonts w:hint="eastAsia" w:ascii="宋体" w:hAnsi="宋体" w:cs="宋体"/>
                <w:szCs w:val="24"/>
              </w:rPr>
              <w:t>圆砾</w:t>
            </w:r>
          </w:p>
        </w:tc>
        <w:tc>
          <w:tcPr>
            <w:tcW w:w="3413" w:type="dxa"/>
          </w:tcPr>
          <w:p>
            <w:pPr>
              <w:tabs>
                <w:tab w:val="left" w:pos="5745"/>
              </w:tabs>
              <w:spacing w:line="340" w:lineRule="exact"/>
              <w:jc w:val="center"/>
              <w:rPr>
                <w:rFonts w:ascii="宋体" w:hAnsi="宋体" w:cs="宋体"/>
              </w:rPr>
            </w:pPr>
            <w:r>
              <w:rPr>
                <w:rFonts w:hint="eastAsia" w:ascii="宋体" w:hAnsi="宋体" w:cs="宋体"/>
                <w:szCs w:val="24"/>
              </w:rPr>
              <w:t>50.000～100.000</w:t>
            </w:r>
          </w:p>
        </w:tc>
        <w:tc>
          <w:tcPr>
            <w:tcW w:w="3427" w:type="dxa"/>
          </w:tcPr>
          <w:p>
            <w:pPr>
              <w:tabs>
                <w:tab w:val="left" w:pos="5745"/>
              </w:tabs>
              <w:spacing w:line="340" w:lineRule="exact"/>
              <w:jc w:val="center"/>
              <w:rPr>
                <w:rFonts w:ascii="宋体" w:hAnsi="宋体" w:cs="宋体"/>
              </w:rPr>
            </w:pPr>
            <w:r>
              <w:rPr>
                <w:rFonts w:hint="eastAsia" w:ascii="宋体" w:hAnsi="宋体" w:cs="宋体"/>
                <w:szCs w:val="24"/>
              </w:rPr>
              <w:t>6.0×10</w:t>
            </w:r>
            <w:r>
              <w:rPr>
                <w:rFonts w:hint="eastAsia" w:ascii="宋体" w:hAnsi="宋体" w:cs="宋体"/>
                <w:szCs w:val="24"/>
                <w:vertAlign w:val="superscript"/>
              </w:rPr>
              <w:t>-2</w:t>
            </w:r>
            <w:r>
              <w:rPr>
                <w:rFonts w:hint="eastAsia" w:ascii="宋体" w:hAnsi="宋体" w:cs="宋体"/>
                <w:szCs w:val="24"/>
              </w:rPr>
              <w:t>～1.2×10</w:t>
            </w:r>
            <w:r>
              <w:rPr>
                <w:rFonts w:hint="eastAsia" w:ascii="宋体" w:hAnsi="宋体" w:cs="宋体"/>
                <w:szCs w:val="24"/>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卵石</w:t>
            </w:r>
          </w:p>
        </w:tc>
        <w:tc>
          <w:tcPr>
            <w:tcW w:w="3413"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100.000～500.000</w:t>
            </w:r>
          </w:p>
        </w:tc>
        <w:tc>
          <w:tcPr>
            <w:tcW w:w="3427"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1.2×10</w:t>
            </w:r>
            <w:r>
              <w:rPr>
                <w:rFonts w:hint="eastAsia" w:ascii="宋体" w:hAnsi="宋体" w:cs="宋体"/>
                <w:szCs w:val="24"/>
                <w:vertAlign w:val="superscript"/>
              </w:rPr>
              <w:t>-1</w:t>
            </w:r>
            <w:r>
              <w:rPr>
                <w:rFonts w:hint="eastAsia" w:ascii="宋体" w:hAnsi="宋体" w:cs="宋体"/>
                <w:szCs w:val="24"/>
              </w:rPr>
              <w:t>～6.0×10</w:t>
            </w:r>
            <w:r>
              <w:rPr>
                <w:rFonts w:hint="eastAsia" w:ascii="宋体" w:hAnsi="宋体" w:cs="宋体"/>
                <w:szCs w:val="24"/>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无充填的卵石</w:t>
            </w:r>
          </w:p>
        </w:tc>
        <w:tc>
          <w:tcPr>
            <w:tcW w:w="3413"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500.000～1000.000</w:t>
            </w:r>
          </w:p>
        </w:tc>
        <w:tc>
          <w:tcPr>
            <w:tcW w:w="3427"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6.0×10</w:t>
            </w:r>
            <w:r>
              <w:rPr>
                <w:rFonts w:hint="eastAsia" w:ascii="宋体" w:hAnsi="宋体" w:cs="宋体"/>
                <w:szCs w:val="24"/>
                <w:vertAlign w:val="superscript"/>
              </w:rPr>
              <w:t>-1</w:t>
            </w:r>
            <w:r>
              <w:rPr>
                <w:rFonts w:hint="eastAsia" w:ascii="宋体" w:hAnsi="宋体" w:cs="宋体"/>
                <w:szCs w:val="24"/>
              </w:rPr>
              <w:t>～1.2×10</w:t>
            </w:r>
            <w:r>
              <w:rPr>
                <w:rFonts w:hint="eastAsia" w:ascii="宋体" w:hAnsi="宋体" w:cs="宋体"/>
                <w:szCs w:val="24"/>
                <w:vertAlign w:val="superscrip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稍有裂隙岩石</w:t>
            </w:r>
          </w:p>
        </w:tc>
        <w:tc>
          <w:tcPr>
            <w:tcW w:w="3413"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20.000～60.000</w:t>
            </w:r>
          </w:p>
        </w:tc>
        <w:tc>
          <w:tcPr>
            <w:tcW w:w="3427"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2.4×10</w:t>
            </w:r>
            <w:r>
              <w:rPr>
                <w:rFonts w:hint="eastAsia" w:ascii="宋体" w:hAnsi="宋体" w:cs="宋体"/>
                <w:szCs w:val="24"/>
                <w:vertAlign w:val="superscript"/>
              </w:rPr>
              <w:t>-2</w:t>
            </w:r>
            <w:r>
              <w:rPr>
                <w:rFonts w:hint="eastAsia" w:ascii="宋体" w:hAnsi="宋体" w:cs="宋体"/>
                <w:szCs w:val="24"/>
              </w:rPr>
              <w:t>～7.0×10</w:t>
            </w:r>
            <w:r>
              <w:rPr>
                <w:rFonts w:hint="eastAsia" w:ascii="宋体" w:hAnsi="宋体" w:cs="宋体"/>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68"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裂隙多的岩石</w:t>
            </w:r>
          </w:p>
        </w:tc>
        <w:tc>
          <w:tcPr>
            <w:tcW w:w="3413"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＞60.000</w:t>
            </w:r>
          </w:p>
        </w:tc>
        <w:tc>
          <w:tcPr>
            <w:tcW w:w="3427" w:type="dxa"/>
            <w:tcBorders>
              <w:top w:val="single" w:color="auto" w:sz="4" w:space="0"/>
              <w:left w:val="single" w:color="auto" w:sz="4" w:space="0"/>
              <w:bottom w:val="single" w:color="auto" w:sz="4" w:space="0"/>
              <w:right w:val="single" w:color="auto" w:sz="4" w:space="0"/>
            </w:tcBorders>
          </w:tcPr>
          <w:p>
            <w:pPr>
              <w:tabs>
                <w:tab w:val="left" w:pos="5745"/>
              </w:tabs>
              <w:spacing w:line="340" w:lineRule="exact"/>
              <w:jc w:val="center"/>
              <w:rPr>
                <w:rFonts w:ascii="宋体" w:hAnsi="宋体" w:cs="宋体"/>
              </w:rPr>
            </w:pPr>
            <w:r>
              <w:rPr>
                <w:rFonts w:hint="eastAsia" w:ascii="宋体" w:hAnsi="宋体" w:cs="宋体"/>
                <w:szCs w:val="24"/>
              </w:rPr>
              <w:t>＞7.0×10</w:t>
            </w:r>
            <w:r>
              <w:rPr>
                <w:rFonts w:hint="eastAsia" w:ascii="宋体" w:hAnsi="宋体" w:cs="宋体"/>
                <w:szCs w:val="24"/>
                <w:vertAlign w:val="superscript"/>
              </w:rPr>
              <w:t>-2</w:t>
            </w:r>
          </w:p>
        </w:tc>
      </w:tr>
    </w:tbl>
    <w:p>
      <w:pPr>
        <w:spacing w:line="480" w:lineRule="exact"/>
        <w:ind w:firstLine="480" w:firstLineChars="200"/>
        <w:rPr>
          <w:rFonts w:ascii="宋体" w:hAnsi="宋体" w:cs="宋体"/>
        </w:rPr>
      </w:pPr>
      <w:r>
        <w:rPr>
          <w:rFonts w:hint="eastAsia" w:ascii="宋体" w:hAnsi="宋体" w:cs="宋体"/>
          <w:szCs w:val="24"/>
        </w:rPr>
        <w:t>渗透系数的计算，是水文地质工作中一件非常重要而且是比较复杂的事。由于水文地质条件和抽水试验井的完整性，布局不等同，计算公式就会随之变化。</w:t>
      </w:r>
    </w:p>
    <w:p>
      <w:pPr>
        <w:spacing w:line="480" w:lineRule="exact"/>
        <w:ind w:firstLine="480" w:firstLineChars="200"/>
        <w:rPr>
          <w:rFonts w:ascii="宋体" w:hAnsi="宋体" w:cs="宋体"/>
        </w:rPr>
      </w:pPr>
      <w:r>
        <w:rPr>
          <w:rFonts w:hint="eastAsia" w:ascii="宋体" w:hAnsi="宋体" w:cs="宋体"/>
          <w:szCs w:val="24"/>
        </w:rPr>
        <w:t>利用稳定流抽水试验计算渗透系数k，仍为目前勘察报告中常用的方法。但由于公式推导时的假设条件与实际水文地质条件不符，抽水试验时，井壁及其周围含水层可能产生紊流、三维流的影响，同一水文地质条件下，算出的k值不是常数，故计算时尽量考虑这些因素的影响。</w:t>
      </w:r>
    </w:p>
    <w:p>
      <w:pPr>
        <w:tabs>
          <w:tab w:val="left" w:pos="5745"/>
        </w:tabs>
        <w:spacing w:line="480" w:lineRule="exact"/>
        <w:ind w:firstLine="480" w:firstLineChars="200"/>
        <w:rPr>
          <w:rFonts w:ascii="宋体" w:hAnsi="宋体" w:cs="宋体"/>
        </w:rPr>
      </w:pPr>
      <w:r>
        <w:rPr>
          <w:rFonts w:hint="eastAsia" w:ascii="宋体" w:hAnsi="宋体" w:cs="宋体"/>
          <w:szCs w:val="24"/>
        </w:rPr>
        <w:t>对具有多层结构、边界附近或承压转无压等较为复杂情况的抽水井，可参照有关水文地质、工程地质手册选用计算公式，或根据映射法和势的迭加理论及水文地质条件进行推导。在选用或推导公式时，应当考虑地下水类型（潜水、承压水、承压一无压水）与补给、排泄边界条件、抽水井的完整性（完整井、非完整井）以及抽水井的布置等水文地质条件，注意各公式的适用条件，避免盲目采用。计算法求影响半径时，可采用下表所列公式计算。</w:t>
      </w:r>
    </w:p>
    <w:p>
      <w:pPr>
        <w:tabs>
          <w:tab w:val="left" w:pos="5745"/>
        </w:tabs>
        <w:spacing w:line="480" w:lineRule="exact"/>
        <w:jc w:val="center"/>
        <w:rPr>
          <w:rFonts w:ascii="宋体" w:hAnsi="宋体" w:cs="宋体"/>
          <w:b/>
        </w:rPr>
      </w:pPr>
      <w:r>
        <w:rPr>
          <w:rFonts w:hint="eastAsia" w:ascii="宋体" w:hAnsi="宋体" w:cs="宋体"/>
          <w:b/>
          <w:szCs w:val="24"/>
        </w:rPr>
        <w:t>影响半径计算公式</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8"/>
        <w:gridCol w:w="2520"/>
        <w:gridCol w:w="1576"/>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128" w:type="dxa"/>
            <w:gridSpan w:val="2"/>
          </w:tcPr>
          <w:p>
            <w:pPr>
              <w:tabs>
                <w:tab w:val="left" w:pos="5745"/>
              </w:tabs>
              <w:spacing w:line="480" w:lineRule="exact"/>
              <w:jc w:val="center"/>
              <w:rPr>
                <w:rFonts w:ascii="宋体" w:hAnsi="宋体" w:cs="宋体"/>
              </w:rPr>
            </w:pPr>
            <w:r>
              <w:rPr>
                <w:rFonts w:hint="eastAsia" w:ascii="宋体" w:hAnsi="宋体" w:cs="宋体"/>
                <w:szCs w:val="24"/>
              </w:rPr>
              <w:t>计  算  公  式</w:t>
            </w:r>
          </w:p>
        </w:tc>
        <w:tc>
          <w:tcPr>
            <w:tcW w:w="1576" w:type="dxa"/>
            <w:vMerge w:val="restart"/>
            <w:vAlign w:val="center"/>
          </w:tcPr>
          <w:p>
            <w:pPr>
              <w:tabs>
                <w:tab w:val="left" w:pos="5745"/>
              </w:tabs>
              <w:spacing w:line="480" w:lineRule="exact"/>
              <w:jc w:val="center"/>
              <w:rPr>
                <w:rFonts w:ascii="宋体" w:hAnsi="宋体" w:cs="宋体"/>
              </w:rPr>
            </w:pPr>
            <w:r>
              <w:rPr>
                <w:rFonts w:hint="eastAsia" w:ascii="宋体" w:hAnsi="宋体" w:cs="宋体"/>
                <w:szCs w:val="24"/>
              </w:rPr>
              <w:t>适用条件</w:t>
            </w:r>
          </w:p>
        </w:tc>
        <w:tc>
          <w:tcPr>
            <w:tcW w:w="764" w:type="dxa"/>
            <w:vMerge w:val="restart"/>
            <w:vAlign w:val="center"/>
          </w:tcPr>
          <w:p>
            <w:pPr>
              <w:tabs>
                <w:tab w:val="left" w:pos="5745"/>
              </w:tabs>
              <w:spacing w:line="480" w:lineRule="exact"/>
              <w:jc w:val="center"/>
              <w:rPr>
                <w:rFonts w:ascii="宋体" w:hAnsi="宋体" w:cs="宋体"/>
              </w:rPr>
            </w:pPr>
            <w:r>
              <w:rPr>
                <w:rFonts w:hint="eastAsia" w:ascii="宋体" w:hAnsi="宋体" w:cs="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608" w:type="dxa"/>
            <w:vAlign w:val="center"/>
          </w:tcPr>
          <w:p>
            <w:pPr>
              <w:tabs>
                <w:tab w:val="left" w:pos="5745"/>
              </w:tabs>
              <w:spacing w:line="480" w:lineRule="exact"/>
              <w:jc w:val="center"/>
              <w:rPr>
                <w:rFonts w:ascii="宋体" w:hAnsi="宋体" w:cs="宋体"/>
              </w:rPr>
            </w:pPr>
            <w:r>
              <w:rPr>
                <w:rFonts w:hint="eastAsia" w:ascii="宋体" w:hAnsi="宋体" w:cs="宋体"/>
                <w:szCs w:val="24"/>
              </w:rPr>
              <w:t>潜 水</w:t>
            </w:r>
          </w:p>
        </w:tc>
        <w:tc>
          <w:tcPr>
            <w:tcW w:w="2520" w:type="dxa"/>
            <w:vAlign w:val="center"/>
          </w:tcPr>
          <w:p>
            <w:pPr>
              <w:tabs>
                <w:tab w:val="left" w:pos="5745"/>
              </w:tabs>
              <w:spacing w:line="480" w:lineRule="exact"/>
              <w:jc w:val="center"/>
              <w:rPr>
                <w:rFonts w:ascii="宋体" w:hAnsi="宋体" w:cs="宋体"/>
              </w:rPr>
            </w:pPr>
            <w:r>
              <w:rPr>
                <w:rFonts w:hint="eastAsia" w:ascii="宋体" w:hAnsi="宋体" w:cs="宋体"/>
                <w:szCs w:val="24"/>
              </w:rPr>
              <w:t>承压水</w:t>
            </w:r>
          </w:p>
        </w:tc>
        <w:tc>
          <w:tcPr>
            <w:tcW w:w="1576" w:type="dxa"/>
            <w:vMerge w:val="continue"/>
          </w:tcPr>
          <w:p>
            <w:pPr>
              <w:tabs>
                <w:tab w:val="left" w:pos="5745"/>
              </w:tabs>
              <w:spacing w:line="480" w:lineRule="exact"/>
              <w:jc w:val="center"/>
              <w:rPr>
                <w:rFonts w:ascii="宋体" w:hAnsi="宋体" w:cs="宋体"/>
              </w:rPr>
            </w:pPr>
          </w:p>
        </w:tc>
        <w:tc>
          <w:tcPr>
            <w:tcW w:w="764" w:type="dxa"/>
            <w:vMerge w:val="continue"/>
          </w:tcPr>
          <w:p>
            <w:pPr>
              <w:tabs>
                <w:tab w:val="left" w:pos="5745"/>
              </w:tabs>
              <w:spacing w:line="48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4608" w:type="dxa"/>
            <w:vAlign w:val="center"/>
          </w:tcPr>
          <w:p>
            <w:pPr>
              <w:tabs>
                <w:tab w:val="left" w:pos="5745"/>
              </w:tabs>
              <w:jc w:val="center"/>
              <w:rPr>
                <w:rFonts w:ascii="宋体" w:hAnsi="宋体" w:cs="宋体"/>
              </w:rPr>
            </w:pPr>
            <w:r>
              <w:rPr>
                <w:rFonts w:hint="eastAsia" w:ascii="宋体" w:hAnsi="宋体" w:cs="宋体"/>
                <w:szCs w:val="24"/>
              </w:rPr>
              <w:t>lgR=</w:t>
            </w:r>
            <w:r>
              <w:rPr>
                <w:rFonts w:hint="eastAsia" w:ascii="宋体" w:hAnsi="宋体" w:cs="宋体"/>
                <w:position w:val="-30"/>
              </w:rPr>
              <w:drawing>
                <wp:inline distT="0" distB="0" distL="114300" distR="114300">
                  <wp:extent cx="2095500" cy="358140"/>
                  <wp:effectExtent l="0" t="0" r="0" b="10160"/>
                  <wp:docPr id="246"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6" name="图片 80"/>
                          <pic:cNvPicPr>
                            <a:picLocks noChangeAspect="true"/>
                          </pic:cNvPicPr>
                        </pic:nvPicPr>
                        <pic:blipFill>
                          <a:blip r:embed="rId909"/>
                          <a:stretch>
                            <a:fillRect/>
                          </a:stretch>
                        </pic:blipFill>
                        <pic:spPr>
                          <a:xfrm>
                            <a:off x="0" y="0"/>
                            <a:ext cx="2095500" cy="358140"/>
                          </a:xfrm>
                          <a:prstGeom prst="rect">
                            <a:avLst/>
                          </a:prstGeom>
                          <a:noFill/>
                          <a:ln>
                            <a:noFill/>
                          </a:ln>
                        </pic:spPr>
                      </pic:pic>
                    </a:graphicData>
                  </a:graphic>
                </wp:inline>
              </w:drawing>
            </w:r>
          </w:p>
        </w:tc>
        <w:tc>
          <w:tcPr>
            <w:tcW w:w="2520" w:type="dxa"/>
            <w:vAlign w:val="center"/>
          </w:tcPr>
          <w:p>
            <w:pPr>
              <w:tabs>
                <w:tab w:val="left" w:pos="5745"/>
              </w:tabs>
              <w:jc w:val="center"/>
              <w:rPr>
                <w:rFonts w:ascii="宋体" w:hAnsi="宋体" w:cs="宋体"/>
              </w:rPr>
            </w:pPr>
            <w:r>
              <w:rPr>
                <w:rFonts w:hint="eastAsia" w:ascii="宋体" w:hAnsi="宋体" w:cs="宋体"/>
                <w:szCs w:val="24"/>
              </w:rPr>
              <w:t>lgR=</w:t>
            </w:r>
            <w:r>
              <w:rPr>
                <w:rFonts w:hint="eastAsia" w:ascii="宋体" w:hAnsi="宋体" w:cs="宋体"/>
                <w:position w:val="-30"/>
              </w:rPr>
              <w:drawing>
                <wp:inline distT="0" distB="0" distL="114300" distR="114300">
                  <wp:extent cx="937895" cy="363855"/>
                  <wp:effectExtent l="0" t="0" r="0" b="3810"/>
                  <wp:docPr id="247" name="图片 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7" name="图片 81"/>
                          <pic:cNvPicPr>
                            <a:picLocks noChangeAspect="true"/>
                          </pic:cNvPicPr>
                        </pic:nvPicPr>
                        <pic:blipFill>
                          <a:blip r:embed="rId910"/>
                          <a:stretch>
                            <a:fillRect/>
                          </a:stretch>
                        </pic:blipFill>
                        <pic:spPr>
                          <a:xfrm>
                            <a:off x="0" y="0"/>
                            <a:ext cx="937895" cy="363855"/>
                          </a:xfrm>
                          <a:prstGeom prst="rect">
                            <a:avLst/>
                          </a:prstGeom>
                          <a:noFill/>
                          <a:ln>
                            <a:noFill/>
                          </a:ln>
                        </pic:spPr>
                      </pic:pic>
                    </a:graphicData>
                  </a:graphic>
                </wp:inline>
              </w:drawing>
            </w:r>
          </w:p>
        </w:tc>
        <w:tc>
          <w:tcPr>
            <w:tcW w:w="1576" w:type="dxa"/>
            <w:vAlign w:val="center"/>
          </w:tcPr>
          <w:p>
            <w:pPr>
              <w:tabs>
                <w:tab w:val="left" w:pos="5745"/>
              </w:tabs>
              <w:ind w:firstLine="120" w:firstLineChars="50"/>
              <w:rPr>
                <w:rFonts w:ascii="宋体" w:hAnsi="宋体" w:cs="宋体"/>
              </w:rPr>
            </w:pPr>
            <w:r>
              <w:rPr>
                <w:rFonts w:hint="eastAsia" w:ascii="宋体" w:hAnsi="宋体" w:cs="宋体"/>
                <w:szCs w:val="24"/>
              </w:rPr>
              <w:t>1.完整井</w:t>
            </w:r>
          </w:p>
          <w:p>
            <w:pPr>
              <w:tabs>
                <w:tab w:val="left" w:pos="5745"/>
              </w:tabs>
              <w:ind w:firstLine="120" w:firstLineChars="50"/>
              <w:rPr>
                <w:rFonts w:ascii="宋体" w:hAnsi="宋体" w:cs="宋体"/>
              </w:rPr>
            </w:pPr>
            <w:r>
              <w:rPr>
                <w:rFonts w:hint="eastAsia" w:ascii="宋体" w:hAnsi="宋体" w:cs="宋体"/>
                <w:szCs w:val="24"/>
              </w:rPr>
              <w:t>2.一个观测孔</w:t>
            </w:r>
          </w:p>
        </w:tc>
        <w:tc>
          <w:tcPr>
            <w:tcW w:w="764" w:type="dxa"/>
            <w:vAlign w:val="center"/>
          </w:tcPr>
          <w:p>
            <w:pPr>
              <w:tabs>
                <w:tab w:val="left" w:pos="5745"/>
              </w:tabs>
              <w:jc w:val="center"/>
              <w:rPr>
                <w:rFonts w:ascii="宋体" w:hAnsi="宋体" w:cs="宋体"/>
              </w:rPr>
            </w:pPr>
            <w:r>
              <w:rPr>
                <w:rFonts w:hint="eastAsia" w:ascii="宋体" w:hAnsi="宋体" w:cs="宋体"/>
                <w:szCs w:val="24"/>
              </w:rPr>
              <w:t>结果偏大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608" w:type="dxa"/>
            <w:vAlign w:val="center"/>
          </w:tcPr>
          <w:p>
            <w:pPr>
              <w:tabs>
                <w:tab w:val="left" w:pos="5745"/>
              </w:tabs>
              <w:jc w:val="center"/>
              <w:rPr>
                <w:rFonts w:ascii="宋体" w:hAnsi="宋体" w:cs="宋体"/>
              </w:rPr>
            </w:pPr>
            <w:r>
              <w:rPr>
                <w:rFonts w:hint="eastAsia" w:ascii="宋体" w:hAnsi="宋体" w:cs="宋体"/>
                <w:szCs w:val="24"/>
              </w:rPr>
              <w:t>lgR=</w:t>
            </w:r>
            <w:r>
              <w:rPr>
                <w:rFonts w:hint="eastAsia" w:ascii="宋体" w:hAnsi="宋体" w:cs="宋体"/>
                <w:position w:val="-30"/>
              </w:rPr>
              <w:drawing>
                <wp:inline distT="0" distB="0" distL="114300" distR="114300">
                  <wp:extent cx="1905000" cy="363855"/>
                  <wp:effectExtent l="0" t="0" r="0" b="3810"/>
                  <wp:docPr id="248" name="图片 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8" name="图片 82"/>
                          <pic:cNvPicPr>
                            <a:picLocks noChangeAspect="true"/>
                          </pic:cNvPicPr>
                        </pic:nvPicPr>
                        <pic:blipFill>
                          <a:blip r:embed="rId911"/>
                          <a:stretch>
                            <a:fillRect/>
                          </a:stretch>
                        </pic:blipFill>
                        <pic:spPr>
                          <a:xfrm>
                            <a:off x="0" y="0"/>
                            <a:ext cx="1905000" cy="363855"/>
                          </a:xfrm>
                          <a:prstGeom prst="rect">
                            <a:avLst/>
                          </a:prstGeom>
                          <a:noFill/>
                          <a:ln>
                            <a:noFill/>
                          </a:ln>
                        </pic:spPr>
                      </pic:pic>
                    </a:graphicData>
                  </a:graphic>
                </wp:inline>
              </w:drawing>
            </w:r>
          </w:p>
        </w:tc>
        <w:tc>
          <w:tcPr>
            <w:tcW w:w="2520" w:type="dxa"/>
            <w:vAlign w:val="center"/>
          </w:tcPr>
          <w:p>
            <w:pPr>
              <w:tabs>
                <w:tab w:val="left" w:pos="5745"/>
              </w:tabs>
              <w:jc w:val="center"/>
              <w:rPr>
                <w:rFonts w:ascii="宋体" w:hAnsi="宋体" w:cs="宋体"/>
              </w:rPr>
            </w:pPr>
            <w:r>
              <w:rPr>
                <w:rFonts w:hint="eastAsia" w:ascii="宋体" w:hAnsi="宋体" w:cs="宋体"/>
                <w:szCs w:val="24"/>
              </w:rPr>
              <w:t>lgR=</w:t>
            </w:r>
            <w:r>
              <w:rPr>
                <w:rFonts w:hint="eastAsia" w:ascii="宋体" w:hAnsi="宋体" w:cs="宋体"/>
                <w:position w:val="-30"/>
              </w:rPr>
              <w:drawing>
                <wp:inline distT="0" distB="0" distL="114300" distR="114300">
                  <wp:extent cx="901065" cy="363855"/>
                  <wp:effectExtent l="0" t="0" r="0" b="3810"/>
                  <wp:docPr id="249" name="图片 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9" name="图片 83"/>
                          <pic:cNvPicPr>
                            <a:picLocks noChangeAspect="true"/>
                          </pic:cNvPicPr>
                        </pic:nvPicPr>
                        <pic:blipFill>
                          <a:blip r:embed="rId912"/>
                          <a:stretch>
                            <a:fillRect/>
                          </a:stretch>
                        </pic:blipFill>
                        <pic:spPr>
                          <a:xfrm>
                            <a:off x="0" y="0"/>
                            <a:ext cx="901065" cy="363855"/>
                          </a:xfrm>
                          <a:prstGeom prst="rect">
                            <a:avLst/>
                          </a:prstGeom>
                          <a:noFill/>
                          <a:ln>
                            <a:noFill/>
                          </a:ln>
                        </pic:spPr>
                      </pic:pic>
                    </a:graphicData>
                  </a:graphic>
                </wp:inline>
              </w:drawing>
            </w:r>
          </w:p>
        </w:tc>
        <w:tc>
          <w:tcPr>
            <w:tcW w:w="1576" w:type="dxa"/>
            <w:vAlign w:val="center"/>
          </w:tcPr>
          <w:p>
            <w:pPr>
              <w:tabs>
                <w:tab w:val="left" w:pos="5745"/>
              </w:tabs>
              <w:jc w:val="center"/>
              <w:rPr>
                <w:rFonts w:ascii="宋体" w:hAnsi="宋体" w:cs="宋体"/>
              </w:rPr>
            </w:pPr>
            <w:r>
              <w:rPr>
                <w:rFonts w:hint="eastAsia" w:ascii="宋体" w:hAnsi="宋体" w:cs="宋体"/>
                <w:szCs w:val="24"/>
              </w:rPr>
              <w:t>二个观测孔</w:t>
            </w:r>
          </w:p>
        </w:tc>
        <w:tc>
          <w:tcPr>
            <w:tcW w:w="764" w:type="dxa"/>
            <w:vAlign w:val="center"/>
          </w:tcPr>
          <w:p>
            <w:pPr>
              <w:tabs>
                <w:tab w:val="left" w:pos="5745"/>
              </w:tabs>
              <w:jc w:val="center"/>
              <w:rPr>
                <w:rFonts w:ascii="宋体" w:hAnsi="宋体" w:cs="宋体"/>
              </w:rPr>
            </w:pPr>
            <w:r>
              <w:rPr>
                <w:rFonts w:hint="eastAsia" w:ascii="宋体" w:hAnsi="宋体" w:cs="宋体"/>
                <w:szCs w:val="24"/>
              </w:rPr>
              <w:t>精度可靠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608" w:type="dxa"/>
            <w:vAlign w:val="center"/>
          </w:tcPr>
          <w:p>
            <w:pPr>
              <w:tabs>
                <w:tab w:val="left" w:pos="5745"/>
              </w:tabs>
              <w:jc w:val="center"/>
              <w:rPr>
                <w:rFonts w:ascii="宋体" w:hAnsi="宋体" w:cs="宋体"/>
              </w:rPr>
            </w:pPr>
            <w:r>
              <w:rPr>
                <w:rFonts w:hint="eastAsia" w:ascii="宋体" w:hAnsi="宋体" w:cs="宋体"/>
                <w:szCs w:val="24"/>
              </w:rPr>
              <w:t>lgR=</w:t>
            </w:r>
            <w:r>
              <w:rPr>
                <w:rFonts w:hint="eastAsia" w:ascii="宋体" w:hAnsi="宋体" w:cs="宋体"/>
                <w:position w:val="-28"/>
              </w:rPr>
              <w:drawing>
                <wp:inline distT="0" distB="0" distL="114300" distR="114300">
                  <wp:extent cx="1174115" cy="363855"/>
                  <wp:effectExtent l="0" t="0" r="0" b="4445"/>
                  <wp:docPr id="250"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0" name="图片 84"/>
                          <pic:cNvPicPr>
                            <a:picLocks noChangeAspect="true"/>
                          </pic:cNvPicPr>
                        </pic:nvPicPr>
                        <pic:blipFill>
                          <a:blip r:embed="rId913"/>
                          <a:stretch>
                            <a:fillRect/>
                          </a:stretch>
                        </pic:blipFill>
                        <pic:spPr>
                          <a:xfrm>
                            <a:off x="0" y="0"/>
                            <a:ext cx="1174115" cy="363855"/>
                          </a:xfrm>
                          <a:prstGeom prst="rect">
                            <a:avLst/>
                          </a:prstGeom>
                          <a:noFill/>
                          <a:ln>
                            <a:noFill/>
                          </a:ln>
                        </pic:spPr>
                      </pic:pic>
                    </a:graphicData>
                  </a:graphic>
                </wp:inline>
              </w:drawing>
            </w:r>
          </w:p>
        </w:tc>
        <w:tc>
          <w:tcPr>
            <w:tcW w:w="2520" w:type="dxa"/>
            <w:vAlign w:val="center"/>
          </w:tcPr>
          <w:p>
            <w:pPr>
              <w:tabs>
                <w:tab w:val="left" w:pos="5745"/>
              </w:tabs>
              <w:jc w:val="center"/>
              <w:rPr>
                <w:rFonts w:ascii="宋体" w:hAnsi="宋体" w:cs="宋体"/>
              </w:rPr>
            </w:pPr>
            <w:r>
              <w:rPr>
                <w:rFonts w:hint="eastAsia" w:ascii="宋体" w:hAnsi="宋体" w:cs="宋体"/>
                <w:szCs w:val="24"/>
              </w:rPr>
              <w:t>lgR=</w:t>
            </w:r>
            <w:r>
              <w:rPr>
                <w:rFonts w:hint="eastAsia" w:ascii="宋体" w:hAnsi="宋体" w:cs="宋体"/>
                <w:position w:val="-28"/>
              </w:rPr>
              <w:drawing>
                <wp:inline distT="0" distB="0" distL="114300" distR="114300">
                  <wp:extent cx="867410" cy="363855"/>
                  <wp:effectExtent l="0" t="0" r="0" b="4445"/>
                  <wp:docPr id="251" name="图片 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1" name="图片 85"/>
                          <pic:cNvPicPr>
                            <a:picLocks noChangeAspect="true"/>
                          </pic:cNvPicPr>
                        </pic:nvPicPr>
                        <pic:blipFill>
                          <a:blip r:embed="rId914"/>
                          <a:stretch>
                            <a:fillRect/>
                          </a:stretch>
                        </pic:blipFill>
                        <pic:spPr>
                          <a:xfrm>
                            <a:off x="0" y="0"/>
                            <a:ext cx="867410" cy="363855"/>
                          </a:xfrm>
                          <a:prstGeom prst="rect">
                            <a:avLst/>
                          </a:prstGeom>
                          <a:noFill/>
                          <a:ln>
                            <a:noFill/>
                          </a:ln>
                        </pic:spPr>
                      </pic:pic>
                    </a:graphicData>
                  </a:graphic>
                </wp:inline>
              </w:drawing>
            </w:r>
          </w:p>
        </w:tc>
        <w:tc>
          <w:tcPr>
            <w:tcW w:w="1576" w:type="dxa"/>
            <w:vAlign w:val="center"/>
          </w:tcPr>
          <w:p>
            <w:pPr>
              <w:tabs>
                <w:tab w:val="left" w:pos="5745"/>
              </w:tabs>
              <w:jc w:val="center"/>
              <w:rPr>
                <w:rFonts w:ascii="宋体" w:hAnsi="宋体" w:cs="宋体"/>
              </w:rPr>
            </w:pPr>
            <w:r>
              <w:rPr>
                <w:rFonts w:hint="eastAsia" w:ascii="宋体" w:hAnsi="宋体" w:cs="宋体"/>
                <w:szCs w:val="24"/>
              </w:rPr>
              <w:t>单孔</w:t>
            </w:r>
          </w:p>
        </w:tc>
        <w:tc>
          <w:tcPr>
            <w:tcW w:w="764" w:type="dxa"/>
            <w:vAlign w:val="center"/>
          </w:tcPr>
          <w:p>
            <w:pPr>
              <w:tabs>
                <w:tab w:val="left" w:pos="5745"/>
              </w:tabs>
              <w:jc w:val="center"/>
              <w:rPr>
                <w:rFonts w:ascii="宋体" w:hAnsi="宋体" w:cs="宋体"/>
              </w:rPr>
            </w:pPr>
            <w:r>
              <w:rPr>
                <w:rFonts w:hint="eastAsia" w:ascii="宋体" w:hAnsi="宋体" w:cs="宋体"/>
                <w:szCs w:val="24"/>
              </w:rPr>
              <w:t>一般偏大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608" w:type="dxa"/>
            <w:vAlign w:val="center"/>
          </w:tcPr>
          <w:p>
            <w:pPr>
              <w:tabs>
                <w:tab w:val="left" w:pos="5745"/>
              </w:tabs>
              <w:jc w:val="center"/>
              <w:rPr>
                <w:rFonts w:ascii="宋体" w:hAnsi="宋体" w:cs="宋体"/>
              </w:rPr>
            </w:pPr>
            <w:r>
              <w:rPr>
                <w:rFonts w:hint="eastAsia" w:ascii="宋体" w:hAnsi="宋体" w:cs="宋体"/>
                <w:szCs w:val="24"/>
              </w:rPr>
              <w:t>R=2S</w:t>
            </w:r>
            <w:r>
              <w:rPr>
                <w:rFonts w:hint="eastAsia" w:ascii="宋体" w:hAnsi="宋体" w:cs="宋体"/>
                <w:position w:val="-8"/>
              </w:rPr>
              <w:drawing>
                <wp:inline distT="0" distB="0" distL="114300" distR="114300">
                  <wp:extent cx="272415" cy="179705"/>
                  <wp:effectExtent l="0" t="0" r="6985" b="10795"/>
                  <wp:docPr id="252"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2" name="图片 86"/>
                          <pic:cNvPicPr>
                            <a:picLocks noChangeAspect="true"/>
                          </pic:cNvPicPr>
                        </pic:nvPicPr>
                        <pic:blipFill>
                          <a:blip r:embed="rId915"/>
                          <a:stretch>
                            <a:fillRect/>
                          </a:stretch>
                        </pic:blipFill>
                        <pic:spPr>
                          <a:xfrm>
                            <a:off x="0" y="0"/>
                            <a:ext cx="272415" cy="179705"/>
                          </a:xfrm>
                          <a:prstGeom prst="rect">
                            <a:avLst/>
                          </a:prstGeom>
                          <a:noFill/>
                          <a:ln>
                            <a:noFill/>
                          </a:ln>
                        </pic:spPr>
                      </pic:pic>
                    </a:graphicData>
                  </a:graphic>
                </wp:inline>
              </w:drawing>
            </w:r>
          </w:p>
        </w:tc>
        <w:tc>
          <w:tcPr>
            <w:tcW w:w="2520" w:type="dxa"/>
            <w:vAlign w:val="center"/>
          </w:tcPr>
          <w:p>
            <w:pPr>
              <w:tabs>
                <w:tab w:val="left" w:pos="5745"/>
              </w:tabs>
              <w:jc w:val="center"/>
              <w:rPr>
                <w:rFonts w:ascii="宋体" w:hAnsi="宋体" w:cs="宋体"/>
              </w:rPr>
            </w:pPr>
            <w:r>
              <w:rPr>
                <w:rFonts w:hint="eastAsia" w:ascii="宋体" w:hAnsi="宋体" w:cs="宋体"/>
                <w:szCs w:val="24"/>
              </w:rPr>
              <w:t>R=10S</w:t>
            </w:r>
            <w:r>
              <w:rPr>
                <w:rFonts w:hint="eastAsia" w:ascii="宋体" w:hAnsi="宋体" w:cs="宋体"/>
                <w:position w:val="-8"/>
              </w:rPr>
              <w:drawing>
                <wp:inline distT="0" distB="0" distL="114300" distR="114300">
                  <wp:extent cx="186055" cy="179705"/>
                  <wp:effectExtent l="0" t="0" r="4445" b="10795"/>
                  <wp:docPr id="253"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3" name="图片 87"/>
                          <pic:cNvPicPr>
                            <a:picLocks noChangeAspect="true"/>
                          </pic:cNvPicPr>
                        </pic:nvPicPr>
                        <pic:blipFill>
                          <a:blip r:embed="rId916"/>
                          <a:stretch>
                            <a:fillRect/>
                          </a:stretch>
                        </pic:blipFill>
                        <pic:spPr>
                          <a:xfrm>
                            <a:off x="0" y="0"/>
                            <a:ext cx="186055" cy="179705"/>
                          </a:xfrm>
                          <a:prstGeom prst="rect">
                            <a:avLst/>
                          </a:prstGeom>
                          <a:noFill/>
                          <a:ln>
                            <a:noFill/>
                          </a:ln>
                        </pic:spPr>
                      </pic:pic>
                    </a:graphicData>
                  </a:graphic>
                </wp:inline>
              </w:drawing>
            </w:r>
          </w:p>
        </w:tc>
        <w:tc>
          <w:tcPr>
            <w:tcW w:w="1576" w:type="dxa"/>
            <w:vAlign w:val="center"/>
          </w:tcPr>
          <w:p>
            <w:pPr>
              <w:tabs>
                <w:tab w:val="left" w:pos="5745"/>
              </w:tabs>
              <w:jc w:val="center"/>
              <w:rPr>
                <w:rFonts w:ascii="宋体" w:hAnsi="宋体" w:cs="宋体"/>
              </w:rPr>
            </w:pPr>
            <w:r>
              <w:rPr>
                <w:rFonts w:hint="eastAsia" w:ascii="宋体" w:hAnsi="宋体" w:cs="宋体"/>
                <w:szCs w:val="24"/>
              </w:rPr>
              <w:t>单孔</w:t>
            </w:r>
          </w:p>
        </w:tc>
        <w:tc>
          <w:tcPr>
            <w:tcW w:w="764" w:type="dxa"/>
            <w:vAlign w:val="center"/>
          </w:tcPr>
          <w:p>
            <w:pPr>
              <w:tabs>
                <w:tab w:val="left" w:pos="5745"/>
              </w:tabs>
              <w:jc w:val="center"/>
              <w:rPr>
                <w:rFonts w:ascii="宋体" w:hAnsi="宋体" w:cs="宋体"/>
              </w:rPr>
            </w:pPr>
            <w:r>
              <w:rPr>
                <w:rFonts w:hint="eastAsia" w:ascii="宋体" w:hAnsi="宋体" w:cs="宋体"/>
                <w:szCs w:val="24"/>
              </w:rPr>
              <w:t>概略计算</w:t>
            </w:r>
          </w:p>
        </w:tc>
      </w:tr>
    </w:tbl>
    <w:p>
      <w:pPr>
        <w:tabs>
          <w:tab w:val="left" w:pos="5745"/>
        </w:tabs>
        <w:rPr>
          <w:rFonts w:ascii="宋体" w:hAnsi="宋体" w:cs="宋体"/>
        </w:rPr>
      </w:pPr>
    </w:p>
    <w:p>
      <w:pPr>
        <w:tabs>
          <w:tab w:val="left" w:pos="5745"/>
        </w:tabs>
        <w:ind w:firstLine="480" w:firstLineChars="200"/>
        <w:rPr>
          <w:rFonts w:ascii="宋体" w:hAnsi="宋体" w:cs="宋体"/>
        </w:rPr>
      </w:pPr>
      <w:r>
        <w:rPr>
          <w:rFonts w:hint="eastAsia" w:ascii="宋体" w:hAnsi="宋体" w:cs="宋体"/>
          <w:szCs w:val="24"/>
        </w:rPr>
        <w:t xml:space="preserve"> 松散类岩土给水度可参考下表的经验值。</w:t>
      </w:r>
    </w:p>
    <w:p>
      <w:pPr>
        <w:tabs>
          <w:tab w:val="left" w:pos="5745"/>
        </w:tabs>
        <w:spacing w:line="480" w:lineRule="exact"/>
        <w:jc w:val="center"/>
        <w:rPr>
          <w:rFonts w:ascii="宋体" w:hAnsi="宋体" w:cs="宋体"/>
          <w:b/>
        </w:rPr>
      </w:pPr>
      <w:r>
        <w:rPr>
          <w:rFonts w:hint="eastAsia" w:ascii="宋体" w:hAnsi="宋体" w:cs="宋体"/>
          <w:b/>
          <w:szCs w:val="24"/>
        </w:rPr>
        <w:t>岩土给水度的经验值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365"/>
        <w:gridCol w:w="2169"/>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995" w:type="dxa"/>
          </w:tcPr>
          <w:p>
            <w:pPr>
              <w:tabs>
                <w:tab w:val="left" w:pos="5745"/>
              </w:tabs>
              <w:spacing w:line="480" w:lineRule="exact"/>
              <w:jc w:val="center"/>
              <w:rPr>
                <w:rFonts w:ascii="宋体" w:hAnsi="宋体" w:cs="宋体"/>
              </w:rPr>
            </w:pPr>
            <w:r>
              <w:rPr>
                <w:rFonts w:hint="eastAsia" w:ascii="宋体" w:hAnsi="宋体" w:cs="宋体"/>
                <w:szCs w:val="24"/>
              </w:rPr>
              <w:t>岩土名称</w:t>
            </w:r>
          </w:p>
        </w:tc>
        <w:tc>
          <w:tcPr>
            <w:tcW w:w="2365" w:type="dxa"/>
          </w:tcPr>
          <w:p>
            <w:pPr>
              <w:tabs>
                <w:tab w:val="left" w:pos="5745"/>
              </w:tabs>
              <w:spacing w:line="480" w:lineRule="exact"/>
              <w:jc w:val="center"/>
              <w:rPr>
                <w:rFonts w:ascii="宋体" w:hAnsi="宋体" w:cs="宋体"/>
              </w:rPr>
            </w:pPr>
            <w:r>
              <w:rPr>
                <w:rFonts w:hint="eastAsia" w:ascii="宋体" w:hAnsi="宋体" w:cs="宋体"/>
                <w:szCs w:val="24"/>
              </w:rPr>
              <w:t>给水度μ</w:t>
            </w:r>
          </w:p>
        </w:tc>
        <w:tc>
          <w:tcPr>
            <w:tcW w:w="2169" w:type="dxa"/>
          </w:tcPr>
          <w:p>
            <w:pPr>
              <w:tabs>
                <w:tab w:val="left" w:pos="5745"/>
              </w:tabs>
              <w:spacing w:line="480" w:lineRule="exact"/>
              <w:jc w:val="center"/>
              <w:rPr>
                <w:rFonts w:ascii="宋体" w:hAnsi="宋体" w:cs="宋体"/>
              </w:rPr>
            </w:pPr>
            <w:r>
              <w:rPr>
                <w:rFonts w:hint="eastAsia" w:ascii="宋体" w:hAnsi="宋体" w:cs="宋体"/>
                <w:szCs w:val="24"/>
              </w:rPr>
              <w:t>岩土名称</w:t>
            </w:r>
          </w:p>
        </w:tc>
        <w:tc>
          <w:tcPr>
            <w:tcW w:w="1926" w:type="dxa"/>
          </w:tcPr>
          <w:p>
            <w:pPr>
              <w:tabs>
                <w:tab w:val="left" w:pos="5745"/>
              </w:tabs>
              <w:spacing w:line="480" w:lineRule="exact"/>
              <w:jc w:val="center"/>
              <w:rPr>
                <w:rFonts w:ascii="宋体" w:hAnsi="宋体" w:cs="宋体"/>
              </w:rPr>
            </w:pPr>
            <w:r>
              <w:rPr>
                <w:rFonts w:hint="eastAsia" w:ascii="宋体" w:hAnsi="宋体" w:cs="宋体"/>
                <w:szCs w:val="24"/>
              </w:rPr>
              <w:t>给水度μ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995" w:type="dxa"/>
          </w:tcPr>
          <w:p>
            <w:pPr>
              <w:tabs>
                <w:tab w:val="left" w:pos="5745"/>
              </w:tabs>
              <w:spacing w:line="480" w:lineRule="exact"/>
              <w:jc w:val="center"/>
              <w:rPr>
                <w:rFonts w:ascii="宋体" w:hAnsi="宋体" w:cs="宋体"/>
              </w:rPr>
            </w:pPr>
            <w:r>
              <w:rPr>
                <w:rFonts w:hint="eastAsia" w:ascii="宋体" w:hAnsi="宋体" w:cs="宋体"/>
                <w:szCs w:val="24"/>
              </w:rPr>
              <w:t>粉砂与粘土</w:t>
            </w:r>
          </w:p>
        </w:tc>
        <w:tc>
          <w:tcPr>
            <w:tcW w:w="2365" w:type="dxa"/>
          </w:tcPr>
          <w:p>
            <w:pPr>
              <w:tabs>
                <w:tab w:val="left" w:pos="5745"/>
              </w:tabs>
              <w:spacing w:line="480" w:lineRule="exact"/>
              <w:jc w:val="center"/>
              <w:rPr>
                <w:rFonts w:ascii="宋体" w:hAnsi="宋体" w:cs="宋体"/>
              </w:rPr>
            </w:pPr>
            <w:r>
              <w:rPr>
                <w:rFonts w:hint="eastAsia" w:ascii="宋体" w:hAnsi="宋体" w:cs="宋体"/>
                <w:szCs w:val="24"/>
              </w:rPr>
              <w:t>0.100～0.150</w:t>
            </w:r>
          </w:p>
        </w:tc>
        <w:tc>
          <w:tcPr>
            <w:tcW w:w="2169" w:type="dxa"/>
          </w:tcPr>
          <w:p>
            <w:pPr>
              <w:tabs>
                <w:tab w:val="left" w:pos="5745"/>
              </w:tabs>
              <w:spacing w:line="480" w:lineRule="exact"/>
              <w:jc w:val="center"/>
              <w:rPr>
                <w:rFonts w:ascii="宋体" w:hAnsi="宋体" w:cs="宋体"/>
              </w:rPr>
            </w:pPr>
            <w:r>
              <w:rPr>
                <w:rFonts w:hint="eastAsia" w:ascii="宋体" w:hAnsi="宋体" w:cs="宋体"/>
                <w:szCs w:val="24"/>
              </w:rPr>
              <w:t>粗砂及砾砂</w:t>
            </w:r>
          </w:p>
        </w:tc>
        <w:tc>
          <w:tcPr>
            <w:tcW w:w="1926" w:type="dxa"/>
          </w:tcPr>
          <w:p>
            <w:pPr>
              <w:tabs>
                <w:tab w:val="left" w:pos="5745"/>
              </w:tabs>
              <w:spacing w:line="480" w:lineRule="exact"/>
              <w:jc w:val="center"/>
              <w:rPr>
                <w:rFonts w:ascii="宋体" w:hAnsi="宋体" w:cs="宋体"/>
              </w:rPr>
            </w:pPr>
            <w:r>
              <w:rPr>
                <w:rFonts w:hint="eastAsia" w:ascii="宋体" w:hAnsi="宋体" w:cs="宋体"/>
                <w:szCs w:val="24"/>
              </w:rPr>
              <w:t>0.250～0.350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995"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细砂与泥质土</w:t>
            </w:r>
          </w:p>
        </w:tc>
        <w:tc>
          <w:tcPr>
            <w:tcW w:w="2365"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0.150～0.200</w:t>
            </w:r>
          </w:p>
        </w:tc>
        <w:tc>
          <w:tcPr>
            <w:tcW w:w="2169"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粘土胶结的砂岩</w:t>
            </w:r>
          </w:p>
        </w:tc>
        <w:tc>
          <w:tcPr>
            <w:tcW w:w="1926"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0.020～0.030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995"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中砂</w:t>
            </w:r>
          </w:p>
        </w:tc>
        <w:tc>
          <w:tcPr>
            <w:tcW w:w="2365"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0.200～0.250</w:t>
            </w:r>
          </w:p>
        </w:tc>
        <w:tc>
          <w:tcPr>
            <w:tcW w:w="2169"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裂隙灰岩</w:t>
            </w:r>
          </w:p>
        </w:tc>
        <w:tc>
          <w:tcPr>
            <w:tcW w:w="1926" w:type="dxa"/>
            <w:tcBorders>
              <w:top w:val="single" w:color="auto" w:sz="4" w:space="0"/>
              <w:left w:val="single" w:color="auto" w:sz="4" w:space="0"/>
              <w:bottom w:val="single" w:color="auto" w:sz="4" w:space="0"/>
              <w:right w:val="single" w:color="auto" w:sz="4" w:space="0"/>
            </w:tcBorders>
          </w:tcPr>
          <w:p>
            <w:pPr>
              <w:tabs>
                <w:tab w:val="left" w:pos="5745"/>
              </w:tabs>
              <w:spacing w:line="480" w:lineRule="exact"/>
              <w:jc w:val="center"/>
              <w:rPr>
                <w:rFonts w:ascii="宋体" w:hAnsi="宋体" w:cs="宋体"/>
              </w:rPr>
            </w:pPr>
            <w:r>
              <w:rPr>
                <w:rFonts w:hint="eastAsia" w:ascii="宋体" w:hAnsi="宋体" w:cs="宋体"/>
                <w:szCs w:val="24"/>
              </w:rPr>
              <w:t>0.008～0.100</w:t>
            </w:r>
          </w:p>
        </w:tc>
      </w:tr>
    </w:tbl>
    <w:p>
      <w:pPr>
        <w:pStyle w:val="3"/>
        <w:bidi w:val="0"/>
      </w:pPr>
      <w:bookmarkStart w:id="1347" w:name="_Toc26231"/>
      <w:r>
        <w:rPr>
          <w:rFonts w:hint="eastAsia"/>
          <w:lang w:val="en-US" w:eastAsia="zh-CN"/>
        </w:rPr>
        <w:t>13</w:t>
      </w:r>
      <w:r>
        <w:rPr>
          <w:rFonts w:hint="eastAsia"/>
        </w:rPr>
        <w:t xml:space="preserve">.2  </w:t>
      </w:r>
      <w:r>
        <w:rPr>
          <w:rFonts w:hint="eastAsia"/>
          <w:lang w:eastAsia="zh-CN"/>
        </w:rPr>
        <w:t>基坑</w:t>
      </w:r>
      <w:r>
        <w:rPr>
          <w:rFonts w:hint="eastAsia"/>
        </w:rPr>
        <w:t>降水设计</w:t>
      </w:r>
      <w:bookmarkEnd w:id="1347"/>
    </w:p>
    <w:p>
      <w:pPr>
        <w:spacing w:line="480" w:lineRule="exact"/>
        <w:rPr>
          <w:rFonts w:ascii="宋体" w:hAnsi="宋体" w:cs="宋体"/>
        </w:rPr>
      </w:pPr>
      <w:r>
        <w:rPr>
          <w:rFonts w:hint="eastAsia" w:ascii="宋体" w:hAnsi="宋体" w:cs="宋体"/>
          <w:b/>
          <w:szCs w:val="24"/>
          <w:lang w:val="en-US" w:eastAsia="zh-CN"/>
        </w:rPr>
        <w:t>13</w:t>
      </w:r>
      <w:r>
        <w:rPr>
          <w:rFonts w:hint="eastAsia" w:ascii="宋体" w:hAnsi="宋体" w:cs="宋体"/>
          <w:b/>
          <w:szCs w:val="24"/>
        </w:rPr>
        <w:t xml:space="preserve">.2.1 </w:t>
      </w:r>
      <w:r>
        <w:rPr>
          <w:rFonts w:hint="eastAsia" w:ascii="宋体" w:hAnsi="宋体" w:cs="宋体"/>
          <w:szCs w:val="24"/>
        </w:rPr>
        <w:t>地下水控制方法包括：截水、降水、集水明排，地下水回灌不作为独立的地下水控制方法，但可作为一种补充措施与其他方法一同使用。仅从支护结构安全性、经济性的角度，降水可消除水压力从而降低作用在支护结构上的荷载，减少地下水渗透破坏的风险，降低支护结构施工难度等。但降水后，随之带来对周边环境的影响问题。在有些地质条件下，降水会造成基坑周边建筑物、市政设施等的沉降而影响其正常使用甚至损坏。降水引起的基坑周边建筑物、市政设施等沉降、开裂、不能正常使用的工程事故时有发生。另外，有些城市地下水资源紧缺，降水造成地下水大量流失、浪费，从环境保护的角度，在这些地方采用基坑降水不利于城市的综合发展。</w:t>
      </w:r>
    </w:p>
    <w:p>
      <w:pPr>
        <w:spacing w:line="480" w:lineRule="exact"/>
        <w:ind w:firstLine="480"/>
        <w:rPr>
          <w:rFonts w:ascii="宋体" w:hAnsi="宋体" w:cs="宋体"/>
        </w:rPr>
      </w:pPr>
      <w:r>
        <w:rPr>
          <w:rFonts w:hint="eastAsia" w:ascii="宋体" w:hAnsi="宋体" w:cs="宋体"/>
          <w:szCs w:val="24"/>
        </w:rPr>
        <w:t>根据具体工程的特点，基坑工程可采用单一地下水控制方法，也可采用多种地下水控制方法相结合的形式。如悬挂式截水帷幕+坑内降水，基坑周边控制降深的降水+截水帷幕，截水或降水+回灌，部分基坑边截水+部分基坑边降水等。</w:t>
      </w:r>
    </w:p>
    <w:p>
      <w:pPr>
        <w:spacing w:line="480" w:lineRule="exact"/>
        <w:rPr>
          <w:rFonts w:ascii="宋体" w:hAnsi="宋体" w:cs="宋体"/>
        </w:rPr>
      </w:pPr>
      <w:r>
        <w:rPr>
          <w:rFonts w:hint="eastAsia" w:ascii="宋体" w:hAnsi="宋体" w:cs="宋体"/>
          <w:b/>
          <w:szCs w:val="24"/>
          <w:lang w:val="en-US" w:eastAsia="zh-CN"/>
        </w:rPr>
        <w:t>13</w:t>
      </w:r>
      <w:r>
        <w:rPr>
          <w:rFonts w:hint="eastAsia" w:ascii="宋体" w:hAnsi="宋体" w:cs="宋体"/>
          <w:b/>
          <w:szCs w:val="24"/>
        </w:rPr>
        <w:t xml:space="preserve">.2.2 </w:t>
      </w:r>
      <w:r>
        <w:rPr>
          <w:rFonts w:hint="eastAsia" w:ascii="宋体" w:hAnsi="宋体" w:cs="宋体"/>
          <w:szCs w:val="24"/>
        </w:rPr>
        <w:t>降低地下水位的方法可根据地质情况和不同的施工方法，经过经济、技术比较后选用不同的降水、排水方法。</w:t>
      </w:r>
    </w:p>
    <w:p>
      <w:pPr>
        <w:spacing w:line="480" w:lineRule="exact"/>
        <w:ind w:firstLine="480" w:firstLineChars="200"/>
        <w:rPr>
          <w:rFonts w:ascii="宋体" w:hAnsi="宋体" w:cs="宋体"/>
        </w:rPr>
      </w:pPr>
      <w:r>
        <w:rPr>
          <w:rFonts w:hint="eastAsia" w:ascii="宋体" w:hAnsi="宋体" w:cs="宋体"/>
          <w:szCs w:val="24"/>
        </w:rPr>
        <w:t>集水坑明排的费用最便宜。主要是在基坑设置排水沟，利用排水沟将渗水集中到集水坑（井）中，然后排走。适用于地层强度较高，但富水性不太强（渗透系数小于20m/d）的降水工程。</w:t>
      </w:r>
    </w:p>
    <w:p>
      <w:pPr>
        <w:spacing w:line="480" w:lineRule="exact"/>
        <w:ind w:firstLine="480" w:firstLineChars="200"/>
        <w:rPr>
          <w:rFonts w:ascii="宋体" w:hAnsi="宋体" w:cs="宋体"/>
        </w:rPr>
      </w:pPr>
      <w:r>
        <w:rPr>
          <w:rFonts w:hint="eastAsia" w:ascii="宋体" w:hAnsi="宋体" w:cs="宋体"/>
          <w:szCs w:val="24"/>
        </w:rPr>
        <w:t>井点降水适用于易发生流沙、管涌的地层，但渗透性较弱（渗透系数在0.1m/d～20.0m/d之间）的地层，费用较高，特别是电渗井点和喷射井点，费用较为昂贵。</w:t>
      </w:r>
    </w:p>
    <w:p>
      <w:pPr>
        <w:spacing w:line="480" w:lineRule="exact"/>
        <w:ind w:firstLine="480" w:firstLineChars="200"/>
        <w:rPr>
          <w:rFonts w:ascii="宋体" w:hAnsi="宋体" w:cs="宋体"/>
        </w:rPr>
      </w:pPr>
      <w:r>
        <w:rPr>
          <w:rFonts w:hint="eastAsia" w:ascii="宋体" w:hAnsi="宋体" w:cs="宋体"/>
          <w:szCs w:val="24"/>
        </w:rPr>
        <w:t>电渗井点主要用于渗透系数小于0.5m/d的粘性土极弱透水层中，是利用电渗现象使地下水流入井点后再排走。采用该方法时，阴阳极之间的电压梯度需达到规定值，所以应注意了解施工范围内土层导电率是否适宜电渗降水的需要。</w:t>
      </w:r>
    </w:p>
    <w:p>
      <w:pPr>
        <w:spacing w:line="480" w:lineRule="exact"/>
        <w:ind w:firstLine="480" w:firstLineChars="200"/>
        <w:rPr>
          <w:rFonts w:ascii="宋体" w:hAnsi="宋体" w:cs="宋体"/>
        </w:rPr>
      </w:pPr>
      <w:r>
        <w:rPr>
          <w:rFonts w:hint="eastAsia" w:ascii="宋体" w:hAnsi="宋体" w:cs="宋体"/>
          <w:szCs w:val="24"/>
        </w:rPr>
        <w:t>多级真空井点（轻型井点）主要适用于渗透系数为0.1m/d～20.0m/d的粉土、粉砂、细砂及淤泥质土层中的降水。在粉细砂中，每级最大降深3m～4m，粉土和淤泥质土层中，每级最大降深一般可达5.0m～5.5m。</w:t>
      </w:r>
    </w:p>
    <w:p>
      <w:pPr>
        <w:spacing w:line="480" w:lineRule="exact"/>
        <w:ind w:firstLine="480" w:firstLineChars="200"/>
        <w:rPr>
          <w:rFonts w:ascii="宋体" w:hAnsi="宋体" w:cs="宋体"/>
        </w:rPr>
      </w:pPr>
      <w:r>
        <w:rPr>
          <w:rFonts w:hint="eastAsia" w:ascii="宋体" w:hAnsi="宋体" w:cs="宋体"/>
          <w:szCs w:val="24"/>
        </w:rPr>
        <w:t>喷射井点适用地层同多级真空井点，降低水位可达8m～20m，但由于费用较昂贵，一般在多级真空井点达不到要求时采用。</w:t>
      </w:r>
    </w:p>
    <w:p>
      <w:pPr>
        <w:spacing w:line="480" w:lineRule="exact"/>
        <w:ind w:firstLine="480" w:firstLineChars="200"/>
        <w:rPr>
          <w:rFonts w:ascii="宋体" w:hAnsi="宋体" w:cs="宋体"/>
        </w:rPr>
      </w:pPr>
      <w:r>
        <w:rPr>
          <w:rFonts w:hint="eastAsia" w:ascii="宋体" w:hAnsi="宋体" w:cs="宋体"/>
          <w:szCs w:val="24"/>
        </w:rPr>
        <w:t>管井适用于厚度较大的砂类土、碎石土含水层或多层含水层及岩溶裂隙含水层，渗透系数k值一般宜大于1.0m/d。采用管井降水时，可以选用不同的水泵类型来满足水位降低的要求。</w:t>
      </w:r>
    </w:p>
    <w:p>
      <w:pPr>
        <w:spacing w:line="480" w:lineRule="exact"/>
        <w:ind w:firstLine="480" w:firstLineChars="200"/>
        <w:rPr>
          <w:rFonts w:ascii="宋体" w:hAnsi="宋体" w:cs="宋体"/>
        </w:rPr>
      </w:pPr>
      <w:r>
        <w:rPr>
          <w:rFonts w:hint="eastAsia" w:ascii="宋体" w:hAnsi="宋体" w:cs="宋体"/>
          <w:szCs w:val="24"/>
        </w:rPr>
        <w:t>大口井降水，费用较管井便宜，一般适用于地下水位埋藏深度在20m以内，含水丰富且透水性较强的砂类土和碎石土含水层的降水工程，以及某些受场地条件限制难以采用机械化施工的降水工程。</w:t>
      </w:r>
    </w:p>
    <w:p>
      <w:pPr>
        <w:spacing w:line="360" w:lineRule="auto"/>
        <w:jc w:val="left"/>
        <w:rPr>
          <w:rFonts w:hint="eastAsia" w:ascii="宋体" w:hAnsi="宋体" w:eastAsia="宋体" w:cs="宋体"/>
          <w:color w:val="auto"/>
          <w:sz w:val="24"/>
          <w:szCs w:val="24"/>
          <w:lang w:eastAsia="zh-CN"/>
        </w:rPr>
      </w:pPr>
      <w:r>
        <w:rPr>
          <w:rFonts w:hint="eastAsia" w:ascii="宋体" w:hAnsi="宋体" w:cs="宋体"/>
          <w:b/>
          <w:szCs w:val="24"/>
          <w:lang w:val="en-US" w:eastAsia="zh-CN"/>
        </w:rPr>
        <w:t xml:space="preserve">13.2.3 </w:t>
      </w:r>
      <w:r>
        <w:rPr>
          <w:rFonts w:hint="eastAsia" w:ascii="宋体" w:hAnsi="宋体" w:eastAsia="宋体" w:cs="宋体"/>
          <w:color w:val="auto"/>
          <w:sz w:val="24"/>
          <w:szCs w:val="24"/>
        </w:rPr>
        <w:t>引渗降水是指在降水场地的一定深度内，存在两层以上的含水层，且下层的渗透能力大于上层，在下层水位（或水头）低于降水深度的条件下，人为地沟通上下含水层，在水位差的作用下，上层地下水就会通过井孔自然地流到下部含水层中，从而无需抽水即可达到降低地下水的目的</w:t>
      </w:r>
      <w:r>
        <w:rPr>
          <w:rFonts w:hint="eastAsia" w:ascii="宋体" w:hAnsi="宋体" w:cs="宋体"/>
          <w:color w:val="auto"/>
          <w:sz w:val="24"/>
          <w:szCs w:val="24"/>
          <w:lang w:eastAsia="zh-CN"/>
        </w:rPr>
        <w:t>。</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在降水范围内</w:t>
      </w:r>
      <w:r>
        <w:rPr>
          <w:rFonts w:hint="eastAsia" w:ascii="宋体" w:hAnsi="宋体" w:eastAsia="宋体" w:cs="宋体"/>
          <w:color w:val="auto"/>
          <w:sz w:val="24"/>
          <w:szCs w:val="24"/>
          <w:lang w:eastAsia="zh-CN"/>
        </w:rPr>
        <w:t>存在局部上层滞水、弱透水层中潜水、多层隔水层含水层相间分布，且</w:t>
      </w:r>
      <w:r>
        <w:rPr>
          <w:rFonts w:hint="eastAsia" w:ascii="宋体" w:hAnsi="宋体" w:eastAsia="宋体" w:cs="宋体"/>
          <w:color w:val="auto"/>
          <w:sz w:val="24"/>
          <w:szCs w:val="24"/>
        </w:rPr>
        <w:t>上层含水层的水量不大且疏不干，下部含水层水位可通过自排或抽降使其低于基坑施工要求的控制水位；当兼有疏干要求时，引渗井还需按排水固结要求加密引渗井</w:t>
      </w:r>
      <w:r>
        <w:rPr>
          <w:rFonts w:hint="eastAsia" w:ascii="宋体" w:hAnsi="宋体" w:cs="宋体"/>
          <w:color w:val="auto"/>
          <w:sz w:val="24"/>
          <w:szCs w:val="24"/>
          <w:lang w:eastAsia="zh-CN"/>
        </w:rPr>
        <w:t>。</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采取其他降水措施后使其低于上部含水层水位后，满足条件也可采用引渗井进行降水</w:t>
      </w:r>
      <w:r>
        <w:rPr>
          <w:rFonts w:hint="eastAsia" w:ascii="宋体" w:hAnsi="宋体" w:cs="宋体"/>
          <w:color w:val="auto"/>
          <w:sz w:val="24"/>
          <w:szCs w:val="24"/>
          <w:lang w:eastAsia="zh-CN"/>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引渗井按结构类型分砂砾引渗井及管井引渗井。</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引渗井根据引渗条件，可以划分为浅层引渗、深层引渗、深浅结合引渗三种类型。</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浅层引渗降水指将上层滞水通过引渗井自然渗到埋藏较浅的下部含水层。浅层引渗主要适用于降水深度较小（一般小于7m），上层滞水含水层为弱透水层的粘质粉土或粉土，水量较少，入渗目的层埋藏于10m</w:t>
      </w:r>
      <w:r>
        <w:rPr>
          <w:rFonts w:hint="eastAsia" w:ascii="宋体" w:hAnsi="宋体"/>
          <w:sz w:val="21"/>
          <w:szCs w:val="21"/>
        </w:rPr>
        <w:t>～</w:t>
      </w:r>
      <w:r>
        <w:rPr>
          <w:rFonts w:hint="eastAsia" w:ascii="宋体" w:hAnsi="宋体" w:eastAsia="宋体" w:cs="宋体"/>
          <w:color w:val="auto"/>
          <w:sz w:val="24"/>
          <w:szCs w:val="24"/>
        </w:rPr>
        <w:t>20m左右，为中等透水的粉、细砂层，含水层厚度为2m</w:t>
      </w:r>
      <w:r>
        <w:rPr>
          <w:rFonts w:hint="eastAsia" w:ascii="宋体" w:hAnsi="宋体"/>
          <w:sz w:val="21"/>
          <w:szCs w:val="21"/>
        </w:rPr>
        <w:t>～</w:t>
      </w:r>
      <w:r>
        <w:rPr>
          <w:rFonts w:hint="eastAsia" w:ascii="宋体" w:hAnsi="宋体" w:eastAsia="宋体" w:cs="宋体"/>
          <w:color w:val="auto"/>
          <w:sz w:val="24"/>
          <w:szCs w:val="24"/>
        </w:rPr>
        <w:t>5m，属潜水或微承压水，水位埋深10m</w:t>
      </w:r>
      <w:r>
        <w:rPr>
          <w:rFonts w:hint="eastAsia" w:ascii="宋体" w:hAnsi="宋体"/>
          <w:sz w:val="21"/>
          <w:szCs w:val="21"/>
        </w:rPr>
        <w:t>～</w:t>
      </w:r>
      <w:r>
        <w:rPr>
          <w:rFonts w:hint="eastAsia" w:ascii="宋体" w:hAnsi="宋体" w:eastAsia="宋体" w:cs="宋体"/>
          <w:color w:val="auto"/>
          <w:sz w:val="24"/>
          <w:szCs w:val="24"/>
        </w:rPr>
        <w:t>15m，能消纳一定入渗水量。当沟通两层地下水后，引渗井点中的混合水位保持在7m</w:t>
      </w:r>
      <w:r>
        <w:rPr>
          <w:rFonts w:hint="eastAsia" w:ascii="宋体" w:hAnsi="宋体"/>
          <w:sz w:val="21"/>
          <w:szCs w:val="21"/>
        </w:rPr>
        <w:t>～</w:t>
      </w:r>
      <w:r>
        <w:rPr>
          <w:rFonts w:hint="eastAsia" w:ascii="宋体" w:hAnsi="宋体" w:eastAsia="宋体" w:cs="宋体"/>
          <w:color w:val="auto"/>
          <w:sz w:val="24"/>
          <w:szCs w:val="24"/>
        </w:rPr>
        <w:t>10m,雨季略有抬升。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深层引渗降水是指上部地下水（上层滞水或潜水）通过引渗井自然入渗到埋深较深的下部砂、卵石含水层中，即第二入渗目的层中，达到基坑降水的目的。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深浅结合引渗降水指采用浅层自渗不能完全满足降水要求，</w:t>
      </w:r>
      <w:r>
        <w:rPr>
          <w:rFonts w:hint="eastAsia" w:ascii="宋体" w:hAnsi="宋体" w:cs="宋体"/>
          <w:color w:val="auto"/>
          <w:sz w:val="24"/>
          <w:szCs w:val="24"/>
          <w:lang w:eastAsia="zh-CN"/>
        </w:rPr>
        <w:t>而</w:t>
      </w:r>
      <w:r>
        <w:rPr>
          <w:rFonts w:hint="eastAsia" w:ascii="宋体" w:hAnsi="宋体" w:eastAsia="宋体" w:cs="宋体"/>
          <w:color w:val="auto"/>
          <w:sz w:val="24"/>
          <w:szCs w:val="24"/>
        </w:rPr>
        <w:t>采用深层引渗工作量较大，成本提高或不能满足特殊降水要求时，将二者结合起来降水的方法。</w:t>
      </w:r>
    </w:p>
    <w:p>
      <w:pPr>
        <w:spacing w:line="480" w:lineRule="exact"/>
        <w:rPr>
          <w:rFonts w:ascii="宋体" w:hAnsi="宋体" w:cs="宋体"/>
        </w:rPr>
      </w:pPr>
      <w:r>
        <w:rPr>
          <w:rFonts w:hint="eastAsia" w:ascii="宋体" w:hAnsi="宋体" w:cs="宋体"/>
          <w:b/>
          <w:szCs w:val="24"/>
          <w:lang w:val="en-US" w:eastAsia="zh-CN"/>
        </w:rPr>
        <w:t>13</w:t>
      </w:r>
      <w:r>
        <w:rPr>
          <w:rFonts w:hint="eastAsia" w:ascii="宋体" w:hAnsi="宋体" w:cs="宋体"/>
          <w:b/>
          <w:szCs w:val="24"/>
        </w:rPr>
        <w:t>.2.</w:t>
      </w:r>
      <w:r>
        <w:rPr>
          <w:rFonts w:hint="eastAsia" w:ascii="宋体" w:hAnsi="宋体" w:cs="宋体"/>
          <w:b/>
          <w:szCs w:val="24"/>
          <w:lang w:val="en-US" w:eastAsia="zh-CN"/>
        </w:rPr>
        <w:t>4</w:t>
      </w:r>
      <w:r>
        <w:rPr>
          <w:rFonts w:hint="eastAsia" w:ascii="宋体" w:hAnsi="宋体" w:cs="宋体"/>
          <w:szCs w:val="24"/>
        </w:rPr>
        <w:t xml:space="preserve"> 当基坑下有承压含水层时，由于基坑开挖减少了基坑底部隔水层的厚度，在承压水头压力作用下，基坑底部岩土体有产生隆起、裂开甚至冲毁等变形，造成基坑突涌的危险。坑底不透水土层抗浮稳定性一般可以按</w:t>
      </w:r>
      <w:r>
        <w:rPr>
          <w:rFonts w:hint="eastAsia" w:ascii="宋体" w:hAnsi="宋体" w:cs="宋体"/>
          <w:position w:val="-10"/>
        </w:rPr>
        <w:drawing>
          <wp:inline distT="0" distB="0" distL="114300" distR="114300">
            <wp:extent cx="352425" cy="200025"/>
            <wp:effectExtent l="0" t="0" r="3175" b="0"/>
            <wp:docPr id="254"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4" name="图片 88"/>
                    <pic:cNvPicPr>
                      <a:picLocks noChangeAspect="true"/>
                    </pic:cNvPicPr>
                  </pic:nvPicPr>
                  <pic:blipFill>
                    <a:blip r:embed="rId917"/>
                    <a:stretch>
                      <a:fillRect/>
                    </a:stretch>
                  </pic:blipFill>
                  <pic:spPr>
                    <a:xfrm>
                      <a:off x="0" y="0"/>
                      <a:ext cx="352425" cy="200025"/>
                    </a:xfrm>
                    <a:prstGeom prst="rect">
                      <a:avLst/>
                    </a:prstGeom>
                    <a:noFill/>
                    <a:ln>
                      <a:noFill/>
                    </a:ln>
                  </pic:spPr>
                </pic:pic>
              </a:graphicData>
            </a:graphic>
          </wp:inline>
        </w:drawing>
      </w:r>
      <w:r>
        <w:rPr>
          <w:rFonts w:hint="eastAsia" w:ascii="宋体" w:hAnsi="宋体" w:cs="宋体"/>
          <w:szCs w:val="24"/>
        </w:rPr>
        <w:t>与</w:t>
      </w:r>
      <w:r>
        <w:rPr>
          <w:rFonts w:hint="eastAsia" w:ascii="宋体" w:hAnsi="宋体" w:cs="宋体"/>
          <w:position w:val="-12"/>
        </w:rPr>
        <w:drawing>
          <wp:inline distT="0" distB="0" distL="114300" distR="114300">
            <wp:extent cx="371475" cy="228600"/>
            <wp:effectExtent l="0" t="0" r="0" b="0"/>
            <wp:docPr id="255"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5" name="图片 89"/>
                    <pic:cNvPicPr>
                      <a:picLocks noChangeAspect="true"/>
                    </pic:cNvPicPr>
                  </pic:nvPicPr>
                  <pic:blipFill>
                    <a:blip r:embed="rId918"/>
                    <a:stretch>
                      <a:fillRect/>
                    </a:stretch>
                  </pic:blipFill>
                  <pic:spPr>
                    <a:xfrm>
                      <a:off x="0" y="0"/>
                      <a:ext cx="371475" cy="228600"/>
                    </a:xfrm>
                    <a:prstGeom prst="rect">
                      <a:avLst/>
                    </a:prstGeom>
                    <a:noFill/>
                    <a:ln>
                      <a:noFill/>
                    </a:ln>
                  </pic:spPr>
                </pic:pic>
              </a:graphicData>
            </a:graphic>
          </wp:inline>
        </w:drawing>
      </w:r>
      <w:r>
        <w:rPr>
          <w:rFonts w:hint="eastAsia" w:ascii="宋体" w:hAnsi="宋体" w:cs="宋体"/>
          <w:szCs w:val="24"/>
        </w:rPr>
        <w:t>的关系进行评价：当</w:t>
      </w:r>
      <w:r>
        <w:rPr>
          <w:rFonts w:hint="eastAsia" w:ascii="宋体" w:hAnsi="宋体" w:cs="宋体"/>
          <w:position w:val="-12"/>
        </w:rPr>
        <w:drawing>
          <wp:inline distT="0" distB="0" distL="114300" distR="114300">
            <wp:extent cx="838200" cy="228600"/>
            <wp:effectExtent l="0" t="0" r="0" b="0"/>
            <wp:docPr id="358"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8" name="图片 90"/>
                    <pic:cNvPicPr>
                      <a:picLocks noChangeAspect="true"/>
                    </pic:cNvPicPr>
                  </pic:nvPicPr>
                  <pic:blipFill>
                    <a:blip r:embed="rId919"/>
                    <a:stretch>
                      <a:fillRect/>
                    </a:stretch>
                  </pic:blipFill>
                  <pic:spPr>
                    <a:xfrm>
                      <a:off x="0" y="0"/>
                      <a:ext cx="838200" cy="228600"/>
                    </a:xfrm>
                    <a:prstGeom prst="rect">
                      <a:avLst/>
                    </a:prstGeom>
                    <a:noFill/>
                    <a:ln>
                      <a:noFill/>
                    </a:ln>
                  </pic:spPr>
                </pic:pic>
              </a:graphicData>
            </a:graphic>
          </wp:inline>
        </w:drawing>
      </w:r>
      <w:r>
        <w:rPr>
          <w:rFonts w:hint="eastAsia" w:ascii="宋体" w:hAnsi="宋体" w:cs="宋体"/>
          <w:szCs w:val="24"/>
        </w:rPr>
        <w:t>时，认为是安全的；反之，当</w:t>
      </w:r>
      <w:r>
        <w:rPr>
          <w:rFonts w:hint="eastAsia" w:ascii="宋体" w:hAnsi="宋体" w:cs="宋体"/>
          <w:position w:val="-12"/>
        </w:rPr>
        <w:drawing>
          <wp:inline distT="0" distB="0" distL="114300" distR="114300">
            <wp:extent cx="838200" cy="228600"/>
            <wp:effectExtent l="0" t="0" r="0" b="0"/>
            <wp:docPr id="359"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9" name="图片 91"/>
                    <pic:cNvPicPr>
                      <a:picLocks noChangeAspect="true"/>
                    </pic:cNvPicPr>
                  </pic:nvPicPr>
                  <pic:blipFill>
                    <a:blip r:embed="rId920"/>
                    <a:stretch>
                      <a:fillRect/>
                    </a:stretch>
                  </pic:blipFill>
                  <pic:spPr>
                    <a:xfrm>
                      <a:off x="0" y="0"/>
                      <a:ext cx="838200" cy="228600"/>
                    </a:xfrm>
                    <a:prstGeom prst="rect">
                      <a:avLst/>
                    </a:prstGeom>
                    <a:noFill/>
                    <a:ln>
                      <a:noFill/>
                    </a:ln>
                  </pic:spPr>
                </pic:pic>
              </a:graphicData>
            </a:graphic>
          </wp:inline>
        </w:drawing>
      </w:r>
      <w:r>
        <w:rPr>
          <w:rFonts w:hint="eastAsia" w:ascii="宋体" w:hAnsi="宋体" w:cs="宋体"/>
          <w:szCs w:val="24"/>
        </w:rPr>
        <w:t>，则可能产生基坑突涌，应采用降低承压水头避免基坑失稳。上述式中，</w:t>
      </w:r>
      <w:r>
        <w:rPr>
          <w:rFonts w:hint="eastAsia" w:ascii="宋体" w:hAnsi="宋体" w:cs="宋体"/>
          <w:position w:val="-12"/>
        </w:rPr>
        <w:drawing>
          <wp:inline distT="0" distB="0" distL="114300" distR="114300">
            <wp:extent cx="333375" cy="228600"/>
            <wp:effectExtent l="0" t="0" r="9525" b="0"/>
            <wp:docPr id="360"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0" name="图片 92"/>
                    <pic:cNvPicPr>
                      <a:picLocks noChangeAspect="true"/>
                    </pic:cNvPicPr>
                  </pic:nvPicPr>
                  <pic:blipFill>
                    <a:blip r:embed="rId921"/>
                    <a:stretch>
                      <a:fillRect/>
                    </a:stretch>
                  </pic:blipFill>
                  <pic:spPr>
                    <a:xfrm>
                      <a:off x="0" y="0"/>
                      <a:ext cx="333375" cy="228600"/>
                    </a:xfrm>
                    <a:prstGeom prst="rect">
                      <a:avLst/>
                    </a:prstGeom>
                    <a:noFill/>
                    <a:ln>
                      <a:noFill/>
                    </a:ln>
                  </pic:spPr>
                </pic:pic>
              </a:graphicData>
            </a:graphic>
          </wp:inline>
        </w:drawing>
      </w:r>
      <w:r>
        <w:rPr>
          <w:rFonts w:hint="eastAsia" w:ascii="宋体" w:hAnsi="宋体" w:cs="宋体"/>
          <w:szCs w:val="24"/>
        </w:rPr>
        <w:t>分别为土、水的重度；H、h分别为基坑底板和承压水头至含水层顶板的距离。</w:t>
      </w:r>
    </w:p>
    <w:p>
      <w:pPr>
        <w:pStyle w:val="3"/>
        <w:bidi w:val="0"/>
      </w:pPr>
      <w:bookmarkStart w:id="1348" w:name="_Toc14448"/>
      <w:r>
        <w:rPr>
          <w:rFonts w:hint="eastAsia"/>
          <w:lang w:val="en-US" w:eastAsia="zh-CN"/>
        </w:rPr>
        <w:t>13</w:t>
      </w:r>
      <w:r>
        <w:rPr>
          <w:rFonts w:hint="eastAsia"/>
        </w:rPr>
        <w:t>.3  管井降水</w:t>
      </w:r>
      <w:bookmarkEnd w:id="1348"/>
    </w:p>
    <w:p>
      <w:pPr>
        <w:spacing w:line="480" w:lineRule="exact"/>
        <w:rPr>
          <w:rFonts w:ascii="宋体" w:hAnsi="宋体" w:cs="宋体"/>
        </w:rPr>
      </w:pPr>
      <w:r>
        <w:rPr>
          <w:rFonts w:hint="eastAsia" w:ascii="宋体" w:hAnsi="宋体" w:cs="宋体"/>
          <w:b/>
          <w:bCs/>
          <w:szCs w:val="24"/>
          <w:lang w:val="en-US" w:eastAsia="zh-CN"/>
        </w:rPr>
        <w:t>13</w:t>
      </w:r>
      <w:r>
        <w:rPr>
          <w:rFonts w:hint="eastAsia" w:ascii="宋体" w:hAnsi="宋体" w:cs="宋体"/>
          <w:b/>
          <w:bCs/>
          <w:szCs w:val="24"/>
        </w:rPr>
        <w:t>.3.1</w:t>
      </w:r>
      <w:r>
        <w:rPr>
          <w:rFonts w:hint="eastAsia" w:ascii="宋体" w:hAnsi="宋体" w:cs="宋体"/>
          <w:szCs w:val="24"/>
        </w:rPr>
        <w:t xml:space="preserve"> 管井设计出水量一方面取决于含水层的基本特征，如渗透系数、降深、单井影响半径等，另一方面取决于过滤管的尺寸、进水部分的长度。同时为了保证管井的正常运行，降水井的出水量应小于管井出水能力，管井出水能力受井壁允许进水流速和过滤管允许进水流速的制约。当管井出水量过大时，将导致过大的井壁进水流速和过滤管进水流速，如果井壁进水流速大于某临界值时，含水层中的细小颗粒将被带入井内，即发生管涌性涌砂、滤料堵塞等不良后果。井壁允许进水流速和过滤管允许进水流速是管井设计的两个很重要的参数，井壁允许进水流速是井身进水段直径和长度的依据，过滤管允许进水流速是过滤管直径和长度设计的依据。管井进水流速大，带动含水层细颗粒的能力就强，井水含砂量就高，所以管井允许进水流速大小与井水含砂量密切相关。</w:t>
      </w:r>
    </w:p>
    <w:p>
      <w:pPr>
        <w:spacing w:line="480" w:lineRule="exact"/>
        <w:ind w:firstLine="480" w:firstLineChars="200"/>
        <w:rPr>
          <w:rFonts w:ascii="宋体" w:hAnsi="宋体" w:cs="宋体"/>
        </w:rPr>
      </w:pPr>
      <w:r>
        <w:rPr>
          <w:rFonts w:hint="eastAsia" w:ascii="宋体" w:hAnsi="宋体" w:cs="宋体"/>
          <w:szCs w:val="24"/>
        </w:rPr>
        <w:t>过大的过滤管进水流速会使过滤管堵塞严重，这也是管井设计的基本法则之一，对于降水管井，过滤管允许进水流速采用0.03</w:t>
      </w:r>
      <w:r>
        <w:rPr>
          <w:rFonts w:hint="eastAsia" w:ascii="宋体" w:hAnsi="宋体" w:eastAsia="宋体" w:cs="宋体"/>
          <w:color w:val="auto"/>
          <w:sz w:val="24"/>
          <w:szCs w:val="24"/>
        </w:rPr>
        <w:t>m</w:t>
      </w:r>
      <w:r>
        <w:rPr>
          <w:rFonts w:hint="eastAsia" w:ascii="宋体" w:hAnsi="宋体" w:cs="宋体"/>
          <w:szCs w:val="24"/>
        </w:rPr>
        <w:t>/s</w:t>
      </w:r>
      <w:r>
        <w:rPr>
          <w:rFonts w:hint="eastAsia" w:ascii="宋体" w:hAnsi="宋体"/>
          <w:sz w:val="21"/>
          <w:szCs w:val="21"/>
        </w:rPr>
        <w:t>～</w:t>
      </w:r>
      <w:r>
        <w:rPr>
          <w:rFonts w:hint="eastAsia" w:ascii="宋体" w:hAnsi="宋体" w:cs="宋体"/>
          <w:szCs w:val="24"/>
        </w:rPr>
        <w:t>0.08m/s较为合适，其下限相当于供水管井的标准，其上限相当于国外规定的上限值，确定范围较宽，在实际工作中，应根据含水层的颗粒组成和渗透性确定，当含水层颗粒较细，渗透性较差，宜取低值，反之，粗颗粒含水层，渗透性好，宜取大值。</w:t>
      </w:r>
    </w:p>
    <w:p>
      <w:pPr>
        <w:spacing w:line="480" w:lineRule="exact"/>
        <w:ind w:firstLine="480" w:firstLineChars="200"/>
        <w:rPr>
          <w:rFonts w:ascii="宋体" w:hAnsi="宋体" w:cs="宋体"/>
        </w:rPr>
      </w:pPr>
      <w:r>
        <w:rPr>
          <w:rFonts w:hint="eastAsia" w:ascii="宋体" w:hAnsi="宋体" w:cs="宋体"/>
          <w:szCs w:val="24"/>
        </w:rPr>
        <w:t>对于松散含水层管井，管井设计出水量确定可参考下述步骤进行：</w:t>
      </w:r>
      <w:r>
        <w:rPr>
          <w:rFonts w:hint="eastAsia" w:ascii="宋体" w:hAnsi="宋体" w:cs="宋体"/>
          <w:szCs w:val="24"/>
        </w:rPr>
        <w:br w:type="textWrapping"/>
      </w:r>
      <w:r>
        <w:rPr>
          <w:rFonts w:hint="eastAsia" w:ascii="宋体" w:hAnsi="宋体" w:cs="宋体"/>
          <w:szCs w:val="24"/>
        </w:rPr>
        <w:t xml:space="preserve">    (1)选择适合的水文地质计算公式，计算管井在设计降深下的管井出水量。</w:t>
      </w:r>
      <w:r>
        <w:rPr>
          <w:rFonts w:hint="eastAsia" w:ascii="宋体" w:hAnsi="宋体" w:cs="宋体"/>
          <w:szCs w:val="24"/>
        </w:rPr>
        <w:br w:type="textWrapping"/>
      </w:r>
      <w:r>
        <w:rPr>
          <w:rFonts w:hint="eastAsia" w:ascii="宋体" w:hAnsi="宋体" w:cs="宋体"/>
          <w:szCs w:val="24"/>
        </w:rPr>
        <w:t xml:space="preserve">    (2)根据管井设计中有关数据和取水目的层的渗透系数，首先确定井壁允许进水流速和过滤管允许进水流速，然后分别计算其允许进水流量，最后确定管井出水能力(流量)。</w:t>
      </w:r>
      <w:r>
        <w:rPr>
          <w:rFonts w:hint="eastAsia" w:ascii="宋体" w:hAnsi="宋体" w:cs="宋体"/>
          <w:szCs w:val="24"/>
        </w:rPr>
        <w:br w:type="textWrapping"/>
      </w:r>
      <w:r>
        <w:rPr>
          <w:rFonts w:hint="eastAsia" w:ascii="宋体" w:hAnsi="宋体" w:cs="宋体"/>
          <w:szCs w:val="24"/>
        </w:rPr>
        <w:t xml:space="preserve">    (3)复核管井出水能力是否满足要求，如管井出水能力小于计算的管井出水量，则应重新设计管井结构，当管井结构难以改变时，则应减少管井出水量使之低于管井出水能力，最后确定管井设计出水量。</w:t>
      </w:r>
      <w:r>
        <w:rPr>
          <w:rFonts w:hint="eastAsia" w:ascii="宋体" w:hAnsi="宋体" w:cs="宋体"/>
          <w:szCs w:val="24"/>
        </w:rPr>
        <w:br w:type="textWrapping"/>
      </w:r>
      <w:r>
        <w:rPr>
          <w:rFonts w:hint="eastAsia" w:ascii="宋体" w:hAnsi="宋体" w:cs="宋体"/>
          <w:szCs w:val="24"/>
        </w:rPr>
        <w:t xml:space="preserve">    对于岩</w:t>
      </w:r>
      <w:r>
        <w:rPr>
          <w:rFonts w:hint="eastAsia" w:ascii="宋体" w:hAnsi="宋体" w:cs="宋体"/>
          <w:szCs w:val="24"/>
          <w:lang w:eastAsia="zh-CN"/>
        </w:rPr>
        <w:t>层中</w:t>
      </w:r>
      <w:r>
        <w:rPr>
          <w:rFonts w:hint="eastAsia" w:ascii="宋体" w:hAnsi="宋体" w:cs="宋体"/>
          <w:szCs w:val="24"/>
        </w:rPr>
        <w:t>的管井，井壁允许进水流量已无实际意义，过滤管允许进水流量即为管井出水能力，因此确定管井设计出水量时仅复核过滤管允许进水流量即可。</w:t>
      </w:r>
    </w:p>
    <w:p>
      <w:pPr>
        <w:spacing w:line="480" w:lineRule="exact"/>
        <w:rPr>
          <w:rFonts w:ascii="宋体" w:hAnsi="宋体" w:cs="宋体"/>
        </w:rPr>
      </w:pPr>
      <w:r>
        <w:rPr>
          <w:rFonts w:hint="eastAsia" w:ascii="宋体" w:hAnsi="宋体" w:cs="宋体"/>
          <w:b/>
          <w:bCs/>
          <w:szCs w:val="24"/>
          <w:lang w:val="en-US" w:eastAsia="zh-CN"/>
        </w:rPr>
        <w:t>13</w:t>
      </w:r>
      <w:r>
        <w:rPr>
          <w:rFonts w:hint="eastAsia" w:ascii="宋体" w:hAnsi="宋体" w:cs="宋体"/>
          <w:b/>
          <w:bCs/>
          <w:szCs w:val="24"/>
        </w:rPr>
        <w:t xml:space="preserve">.3.4 </w:t>
      </w:r>
      <w:r>
        <w:rPr>
          <w:rFonts w:hint="eastAsia" w:ascii="宋体" w:hAnsi="宋体" w:cs="宋体"/>
          <w:szCs w:val="24"/>
        </w:rPr>
        <w:t>松散层中的管井管径，应采用井壁允许进水流速复核，并符合下式的要求：</w:t>
      </w:r>
    </w:p>
    <w:p>
      <w:pPr>
        <w:ind w:firstLine="480" w:firstLineChars="200"/>
        <w:jc w:val="center"/>
        <w:rPr>
          <w:rFonts w:ascii="宋体" w:hAnsi="宋体" w:cs="宋体"/>
        </w:rPr>
      </w:pPr>
      <w:r>
        <w:rPr>
          <w:rFonts w:hint="eastAsia" w:ascii="宋体" w:hAnsi="宋体" w:cs="宋体"/>
          <w:szCs w:val="24"/>
        </w:rPr>
        <w:object>
          <v:shape id="_x0000_i1356" o:spt="75" type="#_x0000_t75" style="height:34.8pt;width:52.2pt;" o:ole="t" filled="f" coordsize="21600,21600">
            <v:path/>
            <v:fill on="f" focussize="0,0"/>
            <v:stroke/>
            <v:imagedata r:id="rId923" o:title=""/>
            <o:lock v:ext="edit" aspectratio="t"/>
            <w10:wrap type="none"/>
            <w10:anchorlock/>
          </v:shape>
          <o:OLEObject Type="Embed" ProgID="Equation.3" ShapeID="_x0000_i1356" DrawAspect="Content" ObjectID="_1468076041" r:id="rId922">
            <o:LockedField>false</o:LockedField>
          </o:OLEObject>
        </w:object>
      </w:r>
    </w:p>
    <w:p>
      <w:pPr>
        <w:ind w:firstLine="480" w:firstLineChars="200"/>
        <w:jc w:val="center"/>
        <w:rPr>
          <w:rFonts w:ascii="宋体" w:hAnsi="宋体" w:cs="宋体"/>
        </w:rPr>
      </w:pPr>
      <w:r>
        <w:rPr>
          <w:rFonts w:hint="eastAsia" w:ascii="宋体" w:hAnsi="宋体" w:cs="宋体"/>
          <w:szCs w:val="24"/>
        </w:rPr>
        <w:object>
          <v:shape id="_x0000_i1357" o:spt="75" type="#_x0000_t75" style="height:21.35pt;width:53pt;" o:ole="t" filled="f" coordsize="21600,21600">
            <v:path/>
            <v:fill on="f" focussize="0,0"/>
            <v:stroke/>
            <v:imagedata r:id="rId925" o:title=""/>
            <o:lock v:ext="edit" aspectratio="t"/>
            <w10:wrap type="none"/>
            <w10:anchorlock/>
          </v:shape>
          <o:OLEObject Type="Embed" ProgID="Equation.3" ShapeID="_x0000_i1357" DrawAspect="Content" ObjectID="_1468076042" r:id="rId924">
            <o:LockedField>false</o:LockedField>
          </o:OLEObject>
        </w:object>
      </w:r>
    </w:p>
    <w:p>
      <w:pPr>
        <w:spacing w:line="480" w:lineRule="exact"/>
        <w:ind w:firstLine="480" w:firstLineChars="200"/>
        <w:rPr>
          <w:rFonts w:ascii="宋体" w:hAnsi="宋体" w:cs="宋体"/>
        </w:rPr>
      </w:pPr>
      <w:r>
        <w:rPr>
          <w:rFonts w:hint="eastAsia" w:ascii="宋体" w:hAnsi="宋体" w:cs="宋体"/>
          <w:szCs w:val="24"/>
        </w:rPr>
        <w:t>式中：</w:t>
      </w:r>
      <w:r>
        <w:rPr>
          <w:rFonts w:hint="eastAsia" w:ascii="宋体" w:hAnsi="宋体" w:cs="宋体"/>
          <w:szCs w:val="24"/>
        </w:rPr>
        <w:object>
          <v:shape id="_x0000_i1358" o:spt="75" type="#_x0000_t75" style="height:12.65pt;width:12.65pt;" o:ole="t" filled="f" coordsize="21600,21600">
            <v:path/>
            <v:fill on="f" focussize="0,0"/>
            <v:stroke/>
            <v:imagedata r:id="rId927" o:title=""/>
            <o:lock v:ext="edit" aspectratio="t"/>
            <w10:wrap type="none"/>
            <w10:anchorlock/>
          </v:shape>
          <o:OLEObject Type="Embed" ProgID="Equation.3" ShapeID="_x0000_i1358" DrawAspect="Content" ObjectID="_1468076043" r:id="rId926">
            <o:LockedField>false</o:LockedField>
          </o:OLEObject>
        </w:object>
      </w:r>
      <w:r>
        <w:rPr>
          <w:rFonts w:hint="eastAsia" w:ascii="宋体" w:hAnsi="宋体" w:cs="宋体"/>
          <w:szCs w:val="24"/>
        </w:rPr>
        <w:t>一井径（m)；</w:t>
      </w:r>
    </w:p>
    <w:p>
      <w:pPr>
        <w:spacing w:line="480" w:lineRule="exact"/>
        <w:ind w:firstLine="1200" w:firstLineChars="500"/>
        <w:rPr>
          <w:rFonts w:ascii="宋体" w:hAnsi="宋体" w:cs="宋体"/>
        </w:rPr>
      </w:pPr>
      <w:r>
        <w:rPr>
          <w:rFonts w:hint="eastAsia" w:ascii="宋体" w:hAnsi="宋体" w:cs="宋体"/>
          <w:szCs w:val="24"/>
        </w:rPr>
        <w:object>
          <v:shape id="_x0000_i1359" o:spt="75" type="#_x0000_t75" style="height:12.65pt;width:10.3pt;" o:ole="t" filled="f" coordsize="21600,21600">
            <v:path/>
            <v:fill on="f" focussize="0,0"/>
            <v:stroke/>
            <v:imagedata r:id="rId929" o:title=""/>
            <o:lock v:ext="edit" aspectratio="t"/>
            <w10:wrap type="none"/>
            <w10:anchorlock/>
          </v:shape>
          <o:OLEObject Type="Embed" ProgID="Equation.3" ShapeID="_x0000_i1359" DrawAspect="Content" ObjectID="_1468076044" r:id="rId928">
            <o:LockedField>false</o:LockedField>
          </o:OLEObject>
        </w:object>
      </w:r>
      <w:r>
        <w:rPr>
          <w:rFonts w:hint="eastAsia" w:ascii="宋体" w:hAnsi="宋体" w:cs="宋体"/>
          <w:szCs w:val="24"/>
        </w:rPr>
        <w:t>—设计单井出水量（m</w:t>
      </w:r>
      <w:r>
        <w:rPr>
          <w:rFonts w:hint="eastAsia" w:ascii="宋体" w:hAnsi="宋体" w:cs="宋体"/>
          <w:szCs w:val="24"/>
          <w:vertAlign w:val="superscript"/>
        </w:rPr>
        <w:t>3</w:t>
      </w:r>
      <w:r>
        <w:rPr>
          <w:rFonts w:hint="eastAsia" w:ascii="宋体" w:hAnsi="宋体" w:cs="宋体"/>
          <w:szCs w:val="24"/>
        </w:rPr>
        <w:t>/d)；</w:t>
      </w:r>
    </w:p>
    <w:p>
      <w:pPr>
        <w:spacing w:line="480" w:lineRule="exact"/>
        <w:ind w:firstLine="1200" w:firstLineChars="500"/>
        <w:rPr>
          <w:rFonts w:ascii="宋体" w:hAnsi="宋体" w:cs="宋体"/>
        </w:rPr>
      </w:pPr>
      <w:r>
        <w:rPr>
          <w:rFonts w:hint="eastAsia" w:ascii="宋体" w:hAnsi="宋体" w:cs="宋体"/>
          <w:szCs w:val="24"/>
        </w:rPr>
        <w:object>
          <v:shape id="_x0000_i1360" o:spt="75" type="#_x0000_t75" style="height:12.65pt;width:11.1pt;" o:ole="t" filled="f" coordsize="21600,21600">
            <v:path/>
            <v:fill on="f" focussize="0,0"/>
            <v:stroke/>
            <v:imagedata r:id="rId931" o:title=""/>
            <o:lock v:ext="edit" aspectratio="t"/>
            <w10:wrap type="none"/>
            <w10:anchorlock/>
          </v:shape>
          <o:OLEObject Type="Embed" ProgID="Equation.3" ShapeID="_x0000_i1360" DrawAspect="Content" ObjectID="_1468076045" r:id="rId930">
            <o:LockedField>false</o:LockedField>
          </o:OLEObject>
        </w:object>
      </w:r>
      <w:r>
        <w:rPr>
          <w:rFonts w:hint="eastAsia" w:ascii="宋体" w:hAnsi="宋体" w:cs="宋体"/>
          <w:szCs w:val="24"/>
        </w:rPr>
        <w:t>—过滤管工作部分长度（m)；</w:t>
      </w:r>
    </w:p>
    <w:p>
      <w:pPr>
        <w:spacing w:line="480" w:lineRule="exact"/>
        <w:ind w:firstLine="1200" w:firstLineChars="500"/>
        <w:rPr>
          <w:rFonts w:ascii="宋体" w:hAnsi="宋体" w:cs="宋体"/>
        </w:rPr>
      </w:pPr>
      <w:r>
        <w:rPr>
          <w:rFonts w:hint="eastAsia" w:ascii="宋体" w:hAnsi="宋体" w:cs="宋体"/>
          <w:szCs w:val="24"/>
        </w:rPr>
        <w:object>
          <v:shape id="_x0000_i1361" o:spt="75" type="#_x0000_t75" style="height:19pt;width:12.65pt;" o:ole="t" filled="f" coordsize="21600,21600">
            <v:path/>
            <v:fill on="f" focussize="0,0"/>
            <v:stroke/>
            <v:imagedata r:id="rId933" o:title=""/>
            <o:lock v:ext="edit" aspectratio="t"/>
            <w10:wrap type="none"/>
            <w10:anchorlock/>
          </v:shape>
          <o:OLEObject Type="Embed" ProgID="Equation.3" ShapeID="_x0000_i1361" DrawAspect="Content" ObjectID="_1468076046" r:id="rId932">
            <o:LockedField>false</o:LockedField>
          </o:OLEObject>
        </w:object>
      </w:r>
      <w:r>
        <w:rPr>
          <w:rFonts w:hint="eastAsia" w:ascii="宋体" w:hAnsi="宋体" w:cs="宋体"/>
          <w:szCs w:val="24"/>
        </w:rPr>
        <w:t>一井壁允许进水流速（m/d)。</w:t>
      </w:r>
    </w:p>
    <w:p>
      <w:pPr>
        <w:spacing w:line="480" w:lineRule="exact"/>
        <w:rPr>
          <w:rFonts w:ascii="宋体" w:hAnsi="宋体" w:cs="宋体"/>
        </w:rPr>
      </w:pPr>
      <w:r>
        <w:rPr>
          <w:rFonts w:hint="eastAsia" w:ascii="宋体" w:hAnsi="宋体" w:cs="宋体"/>
          <w:b/>
          <w:bCs/>
          <w:szCs w:val="24"/>
          <w:lang w:val="en-US" w:eastAsia="zh-CN"/>
        </w:rPr>
        <w:t>13</w:t>
      </w:r>
      <w:r>
        <w:rPr>
          <w:rFonts w:hint="eastAsia" w:ascii="宋体" w:hAnsi="宋体" w:cs="宋体"/>
          <w:b/>
          <w:bCs/>
          <w:szCs w:val="24"/>
        </w:rPr>
        <w:t>.3.8</w:t>
      </w:r>
      <w:r>
        <w:rPr>
          <w:rFonts w:hint="eastAsia" w:ascii="宋体" w:hAnsi="宋体" w:cs="宋体"/>
          <w:szCs w:val="24"/>
        </w:rPr>
        <w:t xml:space="preserve"> 砂土类含水层不均匀系数大于10时，应除去筛分样中部分粗颗粒后，重新筛分,直至不均匀系数小于10时，取其d</w:t>
      </w:r>
      <w:r>
        <w:rPr>
          <w:rFonts w:hint="eastAsia" w:ascii="宋体" w:hAnsi="宋体" w:cs="宋体"/>
          <w:szCs w:val="24"/>
          <w:vertAlign w:val="subscript"/>
        </w:rPr>
        <w:t>50</w:t>
      </w:r>
      <w:r>
        <w:rPr>
          <w:rFonts w:hint="eastAsia" w:ascii="宋体" w:hAnsi="宋体" w:cs="宋体"/>
          <w:szCs w:val="24"/>
        </w:rPr>
        <w:t>确定滤料规格。否则计算的滤料粒径偏大,各种含水层中不同类型过滤管的有效孔隙率值见下表：</w:t>
      </w:r>
    </w:p>
    <w:p>
      <w:pPr>
        <w:spacing w:line="360" w:lineRule="auto"/>
        <w:ind w:firstLine="480" w:firstLineChars="200"/>
        <w:jc w:val="center"/>
        <w:rPr>
          <w:rFonts w:ascii="宋体" w:hAnsi="宋体" w:cs="宋体"/>
        </w:rPr>
      </w:pPr>
      <w:r>
        <w:rPr>
          <w:rFonts w:hint="eastAsia" w:ascii="宋体" w:hAnsi="宋体" w:cs="宋体"/>
        </w:rPr>
        <w:t>各种含水层中不同类型过滤管的有效孔隙率值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7"/>
        <w:gridCol w:w="854"/>
        <w:gridCol w:w="853"/>
        <w:gridCol w:w="853"/>
        <w:gridCol w:w="853"/>
        <w:gridCol w:w="853"/>
        <w:gridCol w:w="85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含水层类别</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粉砂含泥层</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粉砂层</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细砂层</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中砂层</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粗砂层</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粗砂砾石层</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卵石砾石层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含水层的给水度μ</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0.054</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0.084</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0.126</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0.150</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0.185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0.240</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适宜的经验填砾规格（毫米）</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1-1.5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1-1.5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2.5-3</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6-7.5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10-12</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8-20</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24-30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填砾的给水度μ</w:t>
            </w:r>
            <w:r>
              <w:rPr>
                <w:rFonts w:hint="eastAsia" w:ascii="宋体" w:hAnsi="宋体" w:cs="宋体"/>
                <w:sz w:val="21"/>
                <w:szCs w:val="21"/>
                <w:vertAlign w:val="subscript"/>
              </w:rPr>
              <w:t>1</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0.150</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0.150</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0.185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0.240</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0.240</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0.240</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包网或缠丝过滤管孔隙率ρ</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0.3</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0.3</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0.4</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0.6</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填砾过滤管孔隙率ρ</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0.5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0.65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0.7</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0.7</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包网或缠丝过滤管有效孔隙率ρ</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0.0162</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0.0252</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0.0505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0.075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0.0925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0.144</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dxa"/>
          </w:tcPr>
          <w:p>
            <w:pPr>
              <w:spacing w:line="360" w:lineRule="auto"/>
              <w:jc w:val="center"/>
              <w:rPr>
                <w:rFonts w:ascii="宋体" w:hAnsi="宋体" w:cs="宋体"/>
                <w:sz w:val="21"/>
                <w:szCs w:val="21"/>
              </w:rPr>
            </w:pPr>
            <w:r>
              <w:rPr>
                <w:rFonts w:hint="eastAsia" w:ascii="宋体" w:hAnsi="宋体" w:cs="宋体"/>
                <w:sz w:val="21"/>
                <w:szCs w:val="21"/>
              </w:rPr>
              <w:t>填砾过滤管有效孔隙率ρ</w:t>
            </w:r>
          </w:p>
        </w:tc>
        <w:tc>
          <w:tcPr>
            <w:tcW w:w="854" w:type="dxa"/>
          </w:tcPr>
          <w:p>
            <w:pPr>
              <w:spacing w:line="360" w:lineRule="auto"/>
              <w:jc w:val="center"/>
              <w:rPr>
                <w:rFonts w:ascii="宋体" w:hAnsi="宋体" w:cs="宋体"/>
                <w:sz w:val="21"/>
                <w:szCs w:val="21"/>
              </w:rPr>
            </w:pPr>
            <w:r>
              <w:rPr>
                <w:rFonts w:hint="eastAsia" w:ascii="宋体" w:hAnsi="宋体" w:cs="宋体"/>
                <w:sz w:val="21"/>
                <w:szCs w:val="21"/>
              </w:rPr>
              <w:t>0.075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0.075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0.0925</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0.156</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0.168</w:t>
            </w:r>
          </w:p>
        </w:tc>
        <w:tc>
          <w:tcPr>
            <w:tcW w:w="853" w:type="dxa"/>
          </w:tcPr>
          <w:p>
            <w:pPr>
              <w:spacing w:line="360" w:lineRule="auto"/>
              <w:jc w:val="center"/>
              <w:rPr>
                <w:rFonts w:ascii="宋体" w:hAnsi="宋体" w:cs="宋体"/>
                <w:sz w:val="21"/>
                <w:szCs w:val="21"/>
              </w:rPr>
            </w:pPr>
            <w:r>
              <w:rPr>
                <w:rFonts w:hint="eastAsia" w:ascii="宋体" w:hAnsi="宋体" w:cs="宋体"/>
                <w:sz w:val="21"/>
                <w:szCs w:val="21"/>
              </w:rPr>
              <w:t>0.168</w:t>
            </w:r>
          </w:p>
        </w:tc>
        <w:tc>
          <w:tcPr>
            <w:tcW w:w="850" w:type="dxa"/>
          </w:tcPr>
          <w:p>
            <w:pPr>
              <w:spacing w:line="360" w:lineRule="auto"/>
              <w:jc w:val="center"/>
              <w:rPr>
                <w:rFonts w:ascii="宋体" w:hAnsi="宋体" w:cs="宋体"/>
                <w:sz w:val="21"/>
                <w:szCs w:val="21"/>
              </w:rPr>
            </w:pPr>
            <w:r>
              <w:rPr>
                <w:rFonts w:hint="eastAsia" w:ascii="宋体" w:hAnsi="宋体" w:cs="宋体"/>
                <w:sz w:val="21"/>
                <w:szCs w:val="21"/>
              </w:rPr>
              <w:t>0.168</w:t>
            </w:r>
          </w:p>
        </w:tc>
      </w:tr>
    </w:tbl>
    <w:p>
      <w:pPr>
        <w:spacing w:line="360" w:lineRule="auto"/>
        <w:ind w:firstLine="480" w:firstLineChars="200"/>
        <w:rPr>
          <w:rFonts w:ascii="宋体" w:hAnsi="宋体" w:cs="宋体"/>
        </w:rPr>
      </w:pPr>
      <w:r>
        <w:rPr>
          <w:rFonts w:hint="eastAsia" w:ascii="宋体" w:hAnsi="宋体" w:cs="宋体"/>
          <w:szCs w:val="24"/>
        </w:rPr>
        <w:t>在中、细砂及粉砂层中，采用填砾过滤管比采用包网或缠丝过滤管有效孔隙率增大2</w:t>
      </w:r>
      <w:r>
        <w:rPr>
          <w:rFonts w:hint="eastAsia" w:ascii="宋体" w:hAnsi="宋体"/>
          <w:sz w:val="21"/>
          <w:szCs w:val="21"/>
        </w:rPr>
        <w:t>～</w:t>
      </w:r>
      <w:r>
        <w:rPr>
          <w:rFonts w:hint="eastAsia" w:ascii="宋体" w:hAnsi="宋体" w:cs="宋体"/>
          <w:szCs w:val="24"/>
        </w:rPr>
        <w:t>4倍以上，因此对增加井的出水量是有利的。在粗砂层中，填砾过滤管对增大井的单位出水量也有相当效果。而在砾石、卵石层中效果不明显，因此，在砾石、卵石中一般采用非填砾过滤管。填砾与过滤管的规格要求如下表：</w:t>
      </w:r>
    </w:p>
    <w:p>
      <w:pPr>
        <w:spacing w:line="360" w:lineRule="auto"/>
        <w:ind w:firstLine="480" w:firstLineChars="200"/>
        <w:jc w:val="center"/>
        <w:rPr>
          <w:rFonts w:ascii="宋体" w:hAnsi="宋体" w:cs="宋体"/>
        </w:rPr>
      </w:pPr>
      <w:r>
        <w:rPr>
          <w:rFonts w:hint="eastAsia" w:ascii="宋体" w:hAnsi="宋体" w:cs="宋体"/>
        </w:rPr>
        <w:t>填砾与过滤管的规格</w:t>
      </w:r>
    </w:p>
    <w:tbl>
      <w:tblPr>
        <w:tblStyle w:val="32"/>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2672"/>
        <w:gridCol w:w="1242"/>
        <w:gridCol w:w="1557"/>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7" w:hRule="atLeast"/>
          <w:jc w:val="center"/>
        </w:trPr>
        <w:tc>
          <w:tcPr>
            <w:tcW w:w="267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s="宋体"/>
                <w:sz w:val="21"/>
                <w:szCs w:val="21"/>
              </w:rPr>
            </w:pPr>
            <w:r>
              <w:rPr>
                <w:rFonts w:hint="eastAsia" w:ascii="宋体" w:hAnsi="宋体" w:cs="宋体"/>
                <w:sz w:val="21"/>
                <w:szCs w:val="21"/>
              </w:rPr>
              <w:t>岩层分类</w:t>
            </w:r>
          </w:p>
        </w:tc>
        <w:tc>
          <w:tcPr>
            <w:tcW w:w="2672"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s="宋体"/>
                <w:sz w:val="21"/>
                <w:szCs w:val="21"/>
              </w:rPr>
            </w:pPr>
            <w:r>
              <w:rPr>
                <w:rFonts w:hint="eastAsia" w:ascii="宋体" w:hAnsi="宋体" w:cs="宋体"/>
                <w:sz w:val="21"/>
                <w:szCs w:val="21"/>
              </w:rPr>
              <w:t>砂层标准粒径</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s="宋体"/>
                <w:sz w:val="21"/>
                <w:szCs w:val="21"/>
              </w:rPr>
            </w:pPr>
            <w:r>
              <w:rPr>
                <w:rFonts w:hint="eastAsia" w:ascii="宋体" w:hAnsi="宋体" w:cs="宋体"/>
                <w:sz w:val="21"/>
                <w:szCs w:val="21"/>
              </w:rPr>
              <w:t>（以筛分后的重量计%）</w:t>
            </w:r>
          </w:p>
        </w:tc>
        <w:tc>
          <w:tcPr>
            <w:tcW w:w="1242"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s="宋体"/>
                <w:sz w:val="21"/>
                <w:szCs w:val="21"/>
              </w:rPr>
            </w:pPr>
            <w:r>
              <w:rPr>
                <w:rFonts w:hint="eastAsia" w:ascii="宋体" w:hAnsi="宋体" w:cs="宋体"/>
                <w:sz w:val="21"/>
                <w:szCs w:val="21"/>
              </w:rPr>
              <w:t>填砾厚度（mm）</w:t>
            </w:r>
          </w:p>
        </w:tc>
        <w:tc>
          <w:tcPr>
            <w:tcW w:w="155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s="宋体"/>
                <w:sz w:val="21"/>
                <w:szCs w:val="21"/>
              </w:rPr>
            </w:pPr>
            <w:r>
              <w:rPr>
                <w:rFonts w:hint="eastAsia" w:ascii="宋体" w:hAnsi="宋体" w:cs="宋体"/>
                <w:sz w:val="21"/>
                <w:szCs w:val="21"/>
              </w:rPr>
              <w:t>填砾规格（mm）</w:t>
            </w:r>
          </w:p>
        </w:tc>
        <w:tc>
          <w:tcPr>
            <w:tcW w:w="1162"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s="宋体"/>
                <w:sz w:val="21"/>
                <w:szCs w:val="21"/>
              </w:rPr>
            </w:pPr>
            <w:r>
              <w:rPr>
                <w:rFonts w:hint="eastAsia" w:ascii="宋体" w:hAnsi="宋体" w:cs="宋体"/>
                <w:sz w:val="21"/>
                <w:szCs w:val="21"/>
              </w:rPr>
              <w:t>过滤管间隙（mm）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2674" w:type="dxa"/>
            <w:vAlign w:val="center"/>
          </w:tcPr>
          <w:p>
            <w:pPr>
              <w:spacing w:line="360" w:lineRule="auto"/>
              <w:jc w:val="center"/>
              <w:rPr>
                <w:rFonts w:ascii="宋体" w:hAnsi="宋体" w:cs="宋体"/>
                <w:sz w:val="21"/>
                <w:szCs w:val="21"/>
              </w:rPr>
            </w:pPr>
            <w:r>
              <w:rPr>
                <w:rFonts w:hint="eastAsia" w:ascii="宋体" w:hAnsi="宋体" w:cs="宋体"/>
                <w:sz w:val="21"/>
                <w:szCs w:val="21"/>
              </w:rPr>
              <w:t>砾石层</w:t>
            </w:r>
          </w:p>
        </w:tc>
        <w:tc>
          <w:tcPr>
            <w:tcW w:w="2672" w:type="dxa"/>
            <w:vAlign w:val="center"/>
          </w:tcPr>
          <w:p>
            <w:pPr>
              <w:spacing w:line="360" w:lineRule="auto"/>
              <w:jc w:val="center"/>
              <w:rPr>
                <w:rFonts w:ascii="宋体" w:hAnsi="宋体" w:cs="宋体"/>
                <w:sz w:val="21"/>
                <w:szCs w:val="21"/>
              </w:rPr>
            </w:pPr>
            <w:r>
              <w:rPr>
                <w:rFonts w:hint="eastAsia" w:ascii="宋体" w:hAnsi="宋体" w:cs="宋体"/>
                <w:sz w:val="21"/>
                <w:szCs w:val="21"/>
              </w:rPr>
              <w:t>＞1.00占60</w:t>
            </w:r>
            <w:r>
              <w:rPr>
                <w:rFonts w:hint="eastAsia" w:ascii="宋体" w:hAnsi="宋体"/>
                <w:sz w:val="21"/>
                <w:szCs w:val="21"/>
              </w:rPr>
              <w:t>～</w:t>
            </w:r>
            <w:r>
              <w:rPr>
                <w:rFonts w:hint="eastAsia" w:ascii="宋体" w:hAnsi="宋体" w:cs="宋体"/>
                <w:sz w:val="21"/>
                <w:szCs w:val="21"/>
              </w:rPr>
              <w:t>70</w:t>
            </w:r>
          </w:p>
        </w:tc>
        <w:tc>
          <w:tcPr>
            <w:tcW w:w="1242" w:type="dxa"/>
            <w:vAlign w:val="center"/>
          </w:tcPr>
          <w:p>
            <w:pPr>
              <w:spacing w:line="360" w:lineRule="auto"/>
              <w:jc w:val="center"/>
              <w:rPr>
                <w:rFonts w:ascii="宋体" w:hAnsi="宋体" w:cs="宋体"/>
                <w:sz w:val="21"/>
                <w:szCs w:val="21"/>
              </w:rPr>
            </w:pPr>
            <w:r>
              <w:rPr>
                <w:rFonts w:hint="eastAsia" w:ascii="宋体" w:hAnsi="宋体" w:cs="宋体"/>
                <w:sz w:val="21"/>
                <w:szCs w:val="21"/>
              </w:rPr>
              <w:t>180</w:t>
            </w:r>
          </w:p>
        </w:tc>
        <w:tc>
          <w:tcPr>
            <w:tcW w:w="1557" w:type="dxa"/>
            <w:vAlign w:val="center"/>
          </w:tcPr>
          <w:p>
            <w:pPr>
              <w:spacing w:line="360" w:lineRule="auto"/>
              <w:jc w:val="center"/>
              <w:rPr>
                <w:rFonts w:ascii="宋体" w:hAnsi="宋体" w:cs="宋体"/>
                <w:sz w:val="21"/>
                <w:szCs w:val="21"/>
              </w:rPr>
            </w:pPr>
            <w:r>
              <w:rPr>
                <w:rFonts w:hint="eastAsia" w:ascii="宋体" w:hAnsi="宋体" w:cs="宋体"/>
                <w:sz w:val="21"/>
                <w:szCs w:val="21"/>
              </w:rPr>
              <w:t>3.50</w:t>
            </w:r>
            <w:r>
              <w:rPr>
                <w:rFonts w:hint="eastAsia" w:ascii="宋体" w:hAnsi="宋体"/>
                <w:sz w:val="21"/>
                <w:szCs w:val="21"/>
              </w:rPr>
              <w:t>～</w:t>
            </w:r>
            <w:r>
              <w:rPr>
                <w:rFonts w:hint="eastAsia" w:ascii="宋体" w:hAnsi="宋体" w:cs="宋体"/>
                <w:sz w:val="21"/>
                <w:szCs w:val="21"/>
              </w:rPr>
              <w:t>5.00</w:t>
            </w:r>
          </w:p>
        </w:tc>
        <w:tc>
          <w:tcPr>
            <w:tcW w:w="1162" w:type="dxa"/>
            <w:vAlign w:val="center"/>
          </w:tcPr>
          <w:p>
            <w:pPr>
              <w:spacing w:line="360" w:lineRule="auto"/>
              <w:jc w:val="center"/>
              <w:rPr>
                <w:rFonts w:ascii="宋体" w:hAnsi="宋体" w:cs="宋体"/>
                <w:sz w:val="21"/>
                <w:szCs w:val="21"/>
              </w:rPr>
            </w:pPr>
            <w:r>
              <w:rPr>
                <w:rFonts w:hint="eastAsia" w:ascii="宋体" w:hAnsi="宋体" w:cs="宋体"/>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2674" w:type="dxa"/>
            <w:vAlign w:val="center"/>
          </w:tcPr>
          <w:p>
            <w:pPr>
              <w:spacing w:line="360" w:lineRule="auto"/>
              <w:jc w:val="center"/>
              <w:rPr>
                <w:rFonts w:ascii="宋体" w:hAnsi="宋体" w:cs="宋体"/>
                <w:sz w:val="21"/>
                <w:szCs w:val="21"/>
              </w:rPr>
            </w:pPr>
            <w:r>
              <w:rPr>
                <w:rFonts w:hint="eastAsia" w:ascii="宋体" w:hAnsi="宋体" w:cs="宋体"/>
                <w:sz w:val="21"/>
                <w:szCs w:val="21"/>
              </w:rPr>
              <w:t>粗砂</w:t>
            </w:r>
          </w:p>
        </w:tc>
        <w:tc>
          <w:tcPr>
            <w:tcW w:w="2672" w:type="dxa"/>
            <w:vAlign w:val="center"/>
          </w:tcPr>
          <w:p>
            <w:pPr>
              <w:spacing w:line="360" w:lineRule="auto"/>
              <w:jc w:val="center"/>
              <w:rPr>
                <w:rFonts w:ascii="宋体" w:hAnsi="宋体" w:cs="宋体"/>
                <w:sz w:val="21"/>
                <w:szCs w:val="21"/>
              </w:rPr>
            </w:pPr>
            <w:r>
              <w:rPr>
                <w:rFonts w:hint="eastAsia" w:ascii="宋体" w:hAnsi="宋体" w:cs="宋体"/>
                <w:sz w:val="21"/>
                <w:szCs w:val="21"/>
              </w:rPr>
              <w:t>＞0.50占60</w:t>
            </w:r>
            <w:r>
              <w:rPr>
                <w:rFonts w:hint="eastAsia" w:ascii="宋体" w:hAnsi="宋体"/>
                <w:sz w:val="21"/>
                <w:szCs w:val="21"/>
              </w:rPr>
              <w:t>～</w:t>
            </w:r>
            <w:r>
              <w:rPr>
                <w:rFonts w:hint="eastAsia" w:ascii="宋体" w:hAnsi="宋体" w:cs="宋体"/>
                <w:sz w:val="21"/>
                <w:szCs w:val="21"/>
              </w:rPr>
              <w:t>70</w:t>
            </w:r>
          </w:p>
        </w:tc>
        <w:tc>
          <w:tcPr>
            <w:tcW w:w="1242" w:type="dxa"/>
            <w:vAlign w:val="center"/>
          </w:tcPr>
          <w:p>
            <w:pPr>
              <w:jc w:val="center"/>
              <w:rPr>
                <w:rFonts w:ascii="宋体" w:hAnsi="宋体" w:cs="宋体"/>
                <w:sz w:val="21"/>
                <w:szCs w:val="21"/>
              </w:rPr>
            </w:pPr>
            <w:r>
              <w:rPr>
                <w:rFonts w:hint="eastAsia" w:ascii="宋体" w:hAnsi="宋体" w:cs="宋体"/>
                <w:sz w:val="21"/>
                <w:szCs w:val="21"/>
              </w:rPr>
              <w:t>180</w:t>
            </w:r>
          </w:p>
        </w:tc>
        <w:tc>
          <w:tcPr>
            <w:tcW w:w="1557" w:type="dxa"/>
            <w:vAlign w:val="center"/>
          </w:tcPr>
          <w:p>
            <w:pPr>
              <w:spacing w:line="360" w:lineRule="auto"/>
              <w:jc w:val="center"/>
              <w:rPr>
                <w:rFonts w:ascii="宋体" w:hAnsi="宋体" w:cs="宋体"/>
                <w:sz w:val="21"/>
                <w:szCs w:val="21"/>
              </w:rPr>
            </w:pPr>
            <w:r>
              <w:rPr>
                <w:rFonts w:hint="eastAsia" w:ascii="宋体" w:hAnsi="宋体" w:cs="宋体"/>
                <w:sz w:val="21"/>
                <w:szCs w:val="21"/>
              </w:rPr>
              <w:t>2.50</w:t>
            </w:r>
            <w:r>
              <w:rPr>
                <w:rFonts w:hint="eastAsia" w:ascii="宋体" w:hAnsi="宋体"/>
                <w:sz w:val="21"/>
                <w:szCs w:val="21"/>
              </w:rPr>
              <w:t>～</w:t>
            </w:r>
            <w:r>
              <w:rPr>
                <w:rFonts w:hint="eastAsia" w:ascii="宋体" w:hAnsi="宋体" w:cs="宋体"/>
                <w:sz w:val="21"/>
                <w:szCs w:val="21"/>
              </w:rPr>
              <w:t>3.50</w:t>
            </w:r>
          </w:p>
        </w:tc>
        <w:tc>
          <w:tcPr>
            <w:tcW w:w="1162" w:type="dxa"/>
            <w:vAlign w:val="center"/>
          </w:tcPr>
          <w:p>
            <w:pPr>
              <w:spacing w:line="360" w:lineRule="auto"/>
              <w:jc w:val="center"/>
              <w:rPr>
                <w:rFonts w:ascii="宋体" w:hAnsi="宋体" w:cs="宋体"/>
                <w:sz w:val="21"/>
                <w:szCs w:val="21"/>
              </w:rPr>
            </w:pPr>
            <w:r>
              <w:rPr>
                <w:rFonts w:hint="eastAsia" w:ascii="宋体" w:hAnsi="宋体" w:cs="宋体"/>
                <w:sz w:val="21"/>
                <w:szCs w:val="21"/>
              </w:rPr>
              <w:t>1.00</w:t>
            </w:r>
            <w:r>
              <w:rPr>
                <w:rFonts w:hint="eastAsia" w:ascii="宋体" w:hAnsi="宋体"/>
                <w:sz w:val="21"/>
                <w:szCs w:val="21"/>
              </w:rPr>
              <w:t>～</w:t>
            </w:r>
            <w:r>
              <w:rPr>
                <w:rFonts w:hint="eastAsia" w:ascii="宋体" w:hAnsi="宋体" w:cs="宋体"/>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2674" w:type="dxa"/>
            <w:vAlign w:val="center"/>
          </w:tcPr>
          <w:p>
            <w:pPr>
              <w:spacing w:line="360" w:lineRule="auto"/>
              <w:jc w:val="center"/>
              <w:rPr>
                <w:rFonts w:ascii="宋体" w:hAnsi="宋体" w:cs="宋体"/>
                <w:sz w:val="21"/>
                <w:szCs w:val="21"/>
              </w:rPr>
            </w:pPr>
            <w:r>
              <w:rPr>
                <w:rFonts w:hint="eastAsia" w:ascii="宋体" w:hAnsi="宋体" w:cs="宋体"/>
                <w:sz w:val="21"/>
                <w:szCs w:val="21"/>
              </w:rPr>
              <w:t>中砂</w:t>
            </w:r>
          </w:p>
        </w:tc>
        <w:tc>
          <w:tcPr>
            <w:tcW w:w="2672" w:type="dxa"/>
            <w:vAlign w:val="center"/>
          </w:tcPr>
          <w:p>
            <w:pPr>
              <w:jc w:val="center"/>
              <w:rPr>
                <w:rFonts w:ascii="宋体" w:hAnsi="宋体" w:cs="宋体"/>
                <w:sz w:val="21"/>
                <w:szCs w:val="21"/>
              </w:rPr>
            </w:pPr>
            <w:r>
              <w:rPr>
                <w:rFonts w:hint="eastAsia" w:ascii="宋体" w:hAnsi="宋体" w:cs="宋体"/>
                <w:sz w:val="21"/>
                <w:szCs w:val="21"/>
              </w:rPr>
              <w:t>＞0.25占60</w:t>
            </w:r>
            <w:r>
              <w:rPr>
                <w:rFonts w:hint="eastAsia" w:ascii="宋体" w:hAnsi="宋体"/>
                <w:sz w:val="21"/>
                <w:szCs w:val="21"/>
              </w:rPr>
              <w:t>～</w:t>
            </w:r>
            <w:r>
              <w:rPr>
                <w:rFonts w:hint="eastAsia" w:ascii="宋体" w:hAnsi="宋体" w:cs="宋体"/>
                <w:sz w:val="21"/>
                <w:szCs w:val="21"/>
              </w:rPr>
              <w:t>70</w:t>
            </w:r>
          </w:p>
        </w:tc>
        <w:tc>
          <w:tcPr>
            <w:tcW w:w="1242" w:type="dxa"/>
            <w:vAlign w:val="center"/>
          </w:tcPr>
          <w:p>
            <w:pPr>
              <w:jc w:val="center"/>
              <w:rPr>
                <w:rFonts w:ascii="宋体" w:hAnsi="宋体" w:cs="宋体"/>
                <w:sz w:val="21"/>
                <w:szCs w:val="21"/>
              </w:rPr>
            </w:pPr>
            <w:r>
              <w:rPr>
                <w:rFonts w:hint="eastAsia" w:ascii="宋体" w:hAnsi="宋体" w:cs="宋体"/>
                <w:sz w:val="21"/>
                <w:szCs w:val="21"/>
              </w:rPr>
              <w:t>180</w:t>
            </w:r>
          </w:p>
        </w:tc>
        <w:tc>
          <w:tcPr>
            <w:tcW w:w="1557" w:type="dxa"/>
            <w:vAlign w:val="center"/>
          </w:tcPr>
          <w:p>
            <w:pPr>
              <w:spacing w:line="360" w:lineRule="auto"/>
              <w:jc w:val="center"/>
              <w:rPr>
                <w:rFonts w:ascii="宋体" w:hAnsi="宋体" w:cs="宋体"/>
                <w:sz w:val="21"/>
                <w:szCs w:val="21"/>
              </w:rPr>
            </w:pPr>
            <w:r>
              <w:rPr>
                <w:rFonts w:hint="eastAsia" w:ascii="宋体" w:hAnsi="宋体" w:cs="宋体"/>
                <w:sz w:val="21"/>
                <w:szCs w:val="21"/>
              </w:rPr>
              <w:t>1.50</w:t>
            </w:r>
            <w:r>
              <w:rPr>
                <w:rFonts w:hint="eastAsia" w:ascii="宋体" w:hAnsi="宋体"/>
                <w:sz w:val="21"/>
                <w:szCs w:val="21"/>
              </w:rPr>
              <w:t>～</w:t>
            </w:r>
            <w:r>
              <w:rPr>
                <w:rFonts w:hint="eastAsia" w:ascii="宋体" w:hAnsi="宋体" w:cs="宋体"/>
                <w:sz w:val="21"/>
                <w:szCs w:val="21"/>
              </w:rPr>
              <w:t>2.50</w:t>
            </w:r>
          </w:p>
        </w:tc>
        <w:tc>
          <w:tcPr>
            <w:tcW w:w="1162" w:type="dxa"/>
            <w:vAlign w:val="center"/>
          </w:tcPr>
          <w:p>
            <w:pPr>
              <w:spacing w:line="360" w:lineRule="auto"/>
              <w:jc w:val="center"/>
              <w:rPr>
                <w:rFonts w:ascii="宋体" w:hAnsi="宋体" w:cs="宋体"/>
                <w:sz w:val="21"/>
                <w:szCs w:val="21"/>
              </w:rPr>
            </w:pPr>
            <w:r>
              <w:rPr>
                <w:rFonts w:hint="eastAsia" w:ascii="宋体" w:hAnsi="宋体" w:cs="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2674" w:type="dxa"/>
            <w:vAlign w:val="center"/>
          </w:tcPr>
          <w:p>
            <w:pPr>
              <w:spacing w:line="360" w:lineRule="auto"/>
              <w:jc w:val="center"/>
              <w:rPr>
                <w:rFonts w:ascii="宋体" w:hAnsi="宋体" w:cs="宋体"/>
                <w:sz w:val="21"/>
                <w:szCs w:val="21"/>
              </w:rPr>
            </w:pPr>
            <w:r>
              <w:rPr>
                <w:rFonts w:hint="eastAsia" w:ascii="宋体" w:hAnsi="宋体" w:cs="宋体"/>
                <w:sz w:val="21"/>
                <w:szCs w:val="21"/>
              </w:rPr>
              <w:t>细砂</w:t>
            </w:r>
          </w:p>
        </w:tc>
        <w:tc>
          <w:tcPr>
            <w:tcW w:w="2672" w:type="dxa"/>
            <w:vAlign w:val="center"/>
          </w:tcPr>
          <w:p>
            <w:pPr>
              <w:jc w:val="center"/>
              <w:rPr>
                <w:rFonts w:ascii="宋体" w:hAnsi="宋体" w:cs="宋体"/>
                <w:sz w:val="21"/>
                <w:szCs w:val="21"/>
              </w:rPr>
            </w:pPr>
            <w:r>
              <w:rPr>
                <w:rFonts w:hint="eastAsia" w:ascii="宋体" w:hAnsi="宋体" w:cs="宋体"/>
                <w:sz w:val="21"/>
                <w:szCs w:val="21"/>
              </w:rPr>
              <w:t>＞0.15占60</w:t>
            </w:r>
            <w:r>
              <w:rPr>
                <w:rFonts w:hint="eastAsia" w:ascii="宋体" w:hAnsi="宋体"/>
                <w:sz w:val="21"/>
                <w:szCs w:val="21"/>
              </w:rPr>
              <w:t>～</w:t>
            </w:r>
            <w:r>
              <w:rPr>
                <w:rFonts w:hint="eastAsia" w:ascii="宋体" w:hAnsi="宋体" w:cs="宋体"/>
                <w:sz w:val="21"/>
                <w:szCs w:val="21"/>
              </w:rPr>
              <w:t>70</w:t>
            </w:r>
          </w:p>
        </w:tc>
        <w:tc>
          <w:tcPr>
            <w:tcW w:w="1242" w:type="dxa"/>
            <w:vAlign w:val="center"/>
          </w:tcPr>
          <w:p>
            <w:pPr>
              <w:jc w:val="center"/>
              <w:rPr>
                <w:rFonts w:ascii="宋体" w:hAnsi="宋体" w:cs="宋体"/>
                <w:sz w:val="21"/>
                <w:szCs w:val="21"/>
              </w:rPr>
            </w:pPr>
            <w:r>
              <w:rPr>
                <w:rFonts w:hint="eastAsia" w:ascii="宋体" w:hAnsi="宋体" w:cs="宋体"/>
                <w:sz w:val="21"/>
                <w:szCs w:val="21"/>
              </w:rPr>
              <w:t>180</w:t>
            </w:r>
          </w:p>
        </w:tc>
        <w:tc>
          <w:tcPr>
            <w:tcW w:w="1557" w:type="dxa"/>
            <w:vAlign w:val="center"/>
          </w:tcPr>
          <w:p>
            <w:pPr>
              <w:spacing w:line="360" w:lineRule="auto"/>
              <w:jc w:val="center"/>
              <w:rPr>
                <w:rFonts w:ascii="宋体" w:hAnsi="宋体" w:cs="宋体"/>
                <w:sz w:val="21"/>
                <w:szCs w:val="21"/>
              </w:rPr>
            </w:pPr>
            <w:r>
              <w:rPr>
                <w:rFonts w:hint="eastAsia" w:ascii="宋体" w:hAnsi="宋体" w:cs="宋体"/>
                <w:sz w:val="21"/>
                <w:szCs w:val="21"/>
              </w:rPr>
              <w:t>1.00</w:t>
            </w:r>
            <w:r>
              <w:rPr>
                <w:rFonts w:hint="eastAsia" w:ascii="宋体" w:hAnsi="宋体"/>
                <w:sz w:val="21"/>
                <w:szCs w:val="21"/>
              </w:rPr>
              <w:t>～</w:t>
            </w:r>
            <w:r>
              <w:rPr>
                <w:rFonts w:hint="eastAsia" w:ascii="宋体" w:hAnsi="宋体" w:cs="宋体"/>
                <w:sz w:val="21"/>
                <w:szCs w:val="21"/>
              </w:rPr>
              <w:t>1.50</w:t>
            </w:r>
          </w:p>
        </w:tc>
        <w:tc>
          <w:tcPr>
            <w:tcW w:w="1162" w:type="dxa"/>
            <w:vAlign w:val="center"/>
          </w:tcPr>
          <w:p>
            <w:pPr>
              <w:spacing w:line="360" w:lineRule="auto"/>
              <w:jc w:val="center"/>
              <w:rPr>
                <w:rFonts w:ascii="宋体" w:hAnsi="宋体" w:cs="宋体"/>
                <w:sz w:val="21"/>
                <w:szCs w:val="21"/>
              </w:rPr>
            </w:pPr>
            <w:r>
              <w:rPr>
                <w:rFonts w:hint="eastAsia" w:ascii="宋体" w:hAnsi="宋体" w:cs="宋体"/>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2674" w:type="dxa"/>
            <w:vAlign w:val="center"/>
          </w:tcPr>
          <w:p>
            <w:pPr>
              <w:spacing w:line="360" w:lineRule="auto"/>
              <w:jc w:val="center"/>
              <w:rPr>
                <w:rFonts w:ascii="宋体" w:hAnsi="宋体" w:cs="宋体"/>
                <w:sz w:val="21"/>
                <w:szCs w:val="21"/>
              </w:rPr>
            </w:pPr>
            <w:r>
              <w:rPr>
                <w:rFonts w:hint="eastAsia" w:ascii="宋体" w:hAnsi="宋体" w:cs="宋体"/>
                <w:sz w:val="21"/>
                <w:szCs w:val="21"/>
              </w:rPr>
              <w:t>粉砂</w:t>
            </w:r>
          </w:p>
        </w:tc>
        <w:tc>
          <w:tcPr>
            <w:tcW w:w="2672" w:type="dxa"/>
            <w:vAlign w:val="center"/>
          </w:tcPr>
          <w:p>
            <w:pPr>
              <w:jc w:val="center"/>
              <w:rPr>
                <w:rFonts w:ascii="宋体" w:hAnsi="宋体" w:cs="宋体"/>
                <w:sz w:val="21"/>
                <w:szCs w:val="21"/>
              </w:rPr>
            </w:pPr>
            <w:r>
              <w:rPr>
                <w:rFonts w:hint="eastAsia" w:ascii="宋体" w:hAnsi="宋体" w:cs="宋体"/>
                <w:sz w:val="21"/>
                <w:szCs w:val="21"/>
              </w:rPr>
              <w:t>＞0.10占60</w:t>
            </w:r>
            <w:r>
              <w:rPr>
                <w:rFonts w:hint="eastAsia" w:ascii="宋体" w:hAnsi="宋体"/>
                <w:sz w:val="21"/>
                <w:szCs w:val="21"/>
              </w:rPr>
              <w:t>～</w:t>
            </w:r>
            <w:r>
              <w:rPr>
                <w:rFonts w:hint="eastAsia" w:ascii="宋体" w:hAnsi="宋体" w:cs="宋体"/>
                <w:sz w:val="21"/>
                <w:szCs w:val="21"/>
              </w:rPr>
              <w:t>70</w:t>
            </w:r>
          </w:p>
        </w:tc>
        <w:tc>
          <w:tcPr>
            <w:tcW w:w="1242" w:type="dxa"/>
            <w:vAlign w:val="center"/>
          </w:tcPr>
          <w:p>
            <w:pPr>
              <w:jc w:val="center"/>
              <w:rPr>
                <w:rFonts w:ascii="宋体" w:hAnsi="宋体" w:cs="宋体"/>
                <w:sz w:val="21"/>
                <w:szCs w:val="21"/>
              </w:rPr>
            </w:pPr>
            <w:r>
              <w:rPr>
                <w:rFonts w:hint="eastAsia" w:ascii="宋体" w:hAnsi="宋体" w:cs="宋体"/>
                <w:sz w:val="21"/>
                <w:szCs w:val="21"/>
              </w:rPr>
              <w:t>180</w:t>
            </w:r>
          </w:p>
        </w:tc>
        <w:tc>
          <w:tcPr>
            <w:tcW w:w="1557" w:type="dxa"/>
            <w:vAlign w:val="center"/>
          </w:tcPr>
          <w:p>
            <w:pPr>
              <w:spacing w:line="360" w:lineRule="auto"/>
              <w:jc w:val="center"/>
              <w:rPr>
                <w:rFonts w:ascii="宋体" w:hAnsi="宋体" w:cs="宋体"/>
                <w:sz w:val="21"/>
                <w:szCs w:val="21"/>
              </w:rPr>
            </w:pPr>
            <w:r>
              <w:rPr>
                <w:rFonts w:hint="eastAsia" w:ascii="宋体" w:hAnsi="宋体" w:cs="宋体"/>
                <w:sz w:val="21"/>
                <w:szCs w:val="21"/>
              </w:rPr>
              <w:t>0.70</w:t>
            </w:r>
            <w:r>
              <w:rPr>
                <w:rFonts w:hint="eastAsia" w:ascii="宋体" w:hAnsi="宋体"/>
                <w:sz w:val="21"/>
                <w:szCs w:val="21"/>
              </w:rPr>
              <w:t>～</w:t>
            </w:r>
            <w:r>
              <w:rPr>
                <w:rFonts w:hint="eastAsia" w:ascii="宋体" w:hAnsi="宋体" w:cs="宋体"/>
                <w:sz w:val="21"/>
                <w:szCs w:val="21"/>
              </w:rPr>
              <w:t>1.20</w:t>
            </w:r>
          </w:p>
        </w:tc>
        <w:tc>
          <w:tcPr>
            <w:tcW w:w="1162" w:type="dxa"/>
            <w:vAlign w:val="center"/>
          </w:tcPr>
          <w:p>
            <w:pPr>
              <w:spacing w:line="360" w:lineRule="auto"/>
              <w:jc w:val="center"/>
              <w:rPr>
                <w:rFonts w:ascii="宋体" w:hAnsi="宋体" w:cs="宋体"/>
                <w:sz w:val="21"/>
                <w:szCs w:val="21"/>
              </w:rPr>
            </w:pPr>
            <w:r>
              <w:rPr>
                <w:rFonts w:hint="eastAsia" w:ascii="宋体" w:hAnsi="宋体" w:cs="宋体"/>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2674" w:type="dxa"/>
            <w:vAlign w:val="center"/>
          </w:tcPr>
          <w:p>
            <w:pPr>
              <w:spacing w:line="360" w:lineRule="auto"/>
              <w:jc w:val="center"/>
              <w:rPr>
                <w:rFonts w:ascii="宋体" w:hAnsi="宋体" w:cs="宋体"/>
                <w:sz w:val="21"/>
                <w:szCs w:val="21"/>
              </w:rPr>
            </w:pPr>
            <w:r>
              <w:rPr>
                <w:rFonts w:hint="eastAsia" w:ascii="宋体" w:hAnsi="宋体" w:cs="宋体"/>
                <w:sz w:val="21"/>
                <w:szCs w:val="21"/>
              </w:rPr>
              <w:t>粉土、粉质黏土</w:t>
            </w:r>
          </w:p>
        </w:tc>
        <w:tc>
          <w:tcPr>
            <w:tcW w:w="2672" w:type="dxa"/>
            <w:vAlign w:val="center"/>
          </w:tcPr>
          <w:p>
            <w:pPr>
              <w:jc w:val="center"/>
              <w:rPr>
                <w:rFonts w:ascii="宋体" w:hAnsi="宋体" w:cs="宋体"/>
                <w:sz w:val="21"/>
                <w:szCs w:val="21"/>
              </w:rPr>
            </w:pPr>
            <w:r>
              <w:rPr>
                <w:rFonts w:hint="eastAsia" w:ascii="宋体" w:hAnsi="宋体" w:cs="宋体"/>
                <w:sz w:val="21"/>
                <w:szCs w:val="21"/>
              </w:rPr>
              <w:t>0.10以下</w:t>
            </w:r>
          </w:p>
        </w:tc>
        <w:tc>
          <w:tcPr>
            <w:tcW w:w="1242" w:type="dxa"/>
            <w:vAlign w:val="center"/>
          </w:tcPr>
          <w:p>
            <w:pPr>
              <w:spacing w:line="360" w:lineRule="auto"/>
              <w:jc w:val="center"/>
              <w:rPr>
                <w:rFonts w:ascii="宋体" w:hAnsi="宋体" w:cs="宋体"/>
                <w:sz w:val="21"/>
                <w:szCs w:val="21"/>
              </w:rPr>
            </w:pPr>
            <w:r>
              <w:rPr>
                <w:rFonts w:hint="eastAsia" w:ascii="宋体" w:hAnsi="宋体" w:cs="宋体"/>
                <w:sz w:val="21"/>
                <w:szCs w:val="21"/>
              </w:rPr>
              <w:t>180</w:t>
            </w:r>
            <w:r>
              <w:rPr>
                <w:rFonts w:hint="eastAsia" w:ascii="宋体" w:hAnsi="宋体"/>
                <w:sz w:val="21"/>
                <w:szCs w:val="21"/>
              </w:rPr>
              <w:t>～</w:t>
            </w:r>
            <w:r>
              <w:rPr>
                <w:rFonts w:hint="eastAsia" w:ascii="宋体" w:hAnsi="宋体" w:cs="宋体"/>
                <w:sz w:val="21"/>
                <w:szCs w:val="21"/>
              </w:rPr>
              <w:t>200</w:t>
            </w:r>
          </w:p>
        </w:tc>
        <w:tc>
          <w:tcPr>
            <w:tcW w:w="1557" w:type="dxa"/>
            <w:vAlign w:val="center"/>
          </w:tcPr>
          <w:p>
            <w:pPr>
              <w:spacing w:line="360" w:lineRule="auto"/>
              <w:jc w:val="center"/>
              <w:rPr>
                <w:rFonts w:ascii="宋体" w:hAnsi="宋体" w:cs="宋体"/>
                <w:sz w:val="21"/>
                <w:szCs w:val="21"/>
              </w:rPr>
            </w:pPr>
            <w:r>
              <w:rPr>
                <w:rFonts w:hint="eastAsia" w:ascii="宋体" w:hAnsi="宋体" w:cs="宋体"/>
                <w:sz w:val="21"/>
                <w:szCs w:val="21"/>
              </w:rPr>
              <w:t>0.70</w:t>
            </w:r>
            <w:r>
              <w:rPr>
                <w:rFonts w:hint="eastAsia" w:ascii="宋体" w:hAnsi="宋体"/>
                <w:sz w:val="21"/>
                <w:szCs w:val="21"/>
              </w:rPr>
              <w:t>～</w:t>
            </w:r>
            <w:r>
              <w:rPr>
                <w:rFonts w:hint="eastAsia" w:ascii="宋体" w:hAnsi="宋体" w:cs="宋体"/>
                <w:sz w:val="21"/>
                <w:szCs w:val="21"/>
              </w:rPr>
              <w:t>1.20</w:t>
            </w:r>
          </w:p>
        </w:tc>
        <w:tc>
          <w:tcPr>
            <w:tcW w:w="1162" w:type="dxa"/>
            <w:vAlign w:val="center"/>
          </w:tcPr>
          <w:p>
            <w:pPr>
              <w:spacing w:line="360" w:lineRule="auto"/>
              <w:jc w:val="center"/>
              <w:rPr>
                <w:rFonts w:ascii="宋体" w:hAnsi="宋体" w:cs="宋体"/>
                <w:sz w:val="21"/>
                <w:szCs w:val="21"/>
              </w:rPr>
            </w:pPr>
            <w:r>
              <w:rPr>
                <w:rFonts w:hint="eastAsia" w:ascii="宋体" w:hAnsi="宋体" w:cs="宋体"/>
                <w:sz w:val="21"/>
                <w:szCs w:val="21"/>
              </w:rPr>
              <w:t>0.50</w:t>
            </w:r>
          </w:p>
        </w:tc>
      </w:tr>
    </w:tbl>
    <w:p/>
    <w:p>
      <w:pPr>
        <w:pStyle w:val="3"/>
        <w:bidi w:val="0"/>
      </w:pPr>
      <w:bookmarkStart w:id="1349" w:name="_Toc17866"/>
      <w:r>
        <w:rPr>
          <w:rFonts w:hint="eastAsia"/>
          <w:lang w:val="en-US" w:eastAsia="zh-CN"/>
        </w:rPr>
        <w:t>13.5</w:t>
      </w:r>
      <w:r>
        <w:t xml:space="preserve">  截水帷幕</w:t>
      </w:r>
      <w:bookmarkEnd w:id="1349"/>
    </w:p>
    <w:p>
      <w:pPr>
        <w:spacing w:line="480" w:lineRule="exact"/>
        <w:rPr>
          <w:rFonts w:ascii="宋体" w:hAnsi="宋体" w:cs="宋体"/>
        </w:rPr>
      </w:pPr>
      <w:r>
        <w:rPr>
          <w:rFonts w:hint="eastAsia" w:ascii="宋体" w:hAnsi="宋体" w:cs="宋体"/>
          <w:b/>
          <w:szCs w:val="24"/>
          <w:lang w:val="en-US" w:eastAsia="zh-CN"/>
        </w:rPr>
        <w:t>13.5</w:t>
      </w:r>
      <w:r>
        <w:rPr>
          <w:rFonts w:hint="eastAsia" w:ascii="宋体" w:hAnsi="宋体" w:cs="宋体"/>
          <w:b/>
          <w:szCs w:val="24"/>
        </w:rPr>
        <w:t xml:space="preserve">.1 </w:t>
      </w:r>
      <w:r>
        <w:rPr>
          <w:rFonts w:hint="eastAsia" w:ascii="宋体" w:hAnsi="宋体" w:cs="宋体"/>
          <w:szCs w:val="24"/>
        </w:rPr>
        <w:t>当地层满足设备经济条件时，帷幕底部宜进入粘性土层一定深度，形成“杯中水”。</w:t>
      </w:r>
    </w:p>
    <w:p>
      <w:pPr>
        <w:spacing w:line="480" w:lineRule="exact"/>
        <w:ind w:firstLine="480" w:firstLineChars="200"/>
        <w:rPr>
          <w:rFonts w:ascii="宋体" w:hAnsi="宋体" w:cs="宋体"/>
        </w:rPr>
      </w:pPr>
      <w:r>
        <w:rPr>
          <w:rFonts w:hint="eastAsia" w:ascii="宋体" w:hAnsi="宋体" w:cs="宋体"/>
          <w:szCs w:val="24"/>
        </w:rPr>
        <w:t>灰质硅酸盐水泥需要注意的是，当地下水流速高时，需在水泥浆液中掺入适量的外加剂，如氯化钙、水玻璃、三乙醇胺或氯化钠等。由于不同地区即使土的基本性状相同，成分也会有所差异，对水泥的固结性产生不同影响，因此，当缺少实际经验时，水泥掺量和外加剂品种及掺量应通过试验确定。</w:t>
      </w:r>
    </w:p>
    <w:p>
      <w:pPr>
        <w:tabs>
          <w:tab w:val="left" w:pos="5745"/>
        </w:tabs>
        <w:spacing w:line="480" w:lineRule="exact"/>
        <w:rPr>
          <w:rFonts w:ascii="宋体" w:hAnsi="宋体" w:cs="宋体"/>
        </w:rPr>
      </w:pPr>
      <w:r>
        <w:rPr>
          <w:rFonts w:hint="eastAsia" w:ascii="宋体" w:hAnsi="宋体" w:cs="宋体"/>
          <w:b/>
          <w:szCs w:val="24"/>
          <w:lang w:val="en-US" w:eastAsia="zh-CN"/>
        </w:rPr>
        <w:t>13.5</w:t>
      </w:r>
      <w:r>
        <w:rPr>
          <w:rFonts w:hint="eastAsia" w:ascii="宋体" w:hAnsi="宋体" w:cs="宋体"/>
          <w:b/>
          <w:szCs w:val="24"/>
        </w:rPr>
        <w:t>.</w:t>
      </w:r>
      <w:r>
        <w:rPr>
          <w:rFonts w:hint="eastAsia" w:ascii="宋体" w:hAnsi="宋体" w:cs="宋体"/>
          <w:b/>
          <w:szCs w:val="24"/>
          <w:lang w:val="en-US" w:eastAsia="zh-CN"/>
        </w:rPr>
        <w:t>3</w:t>
      </w:r>
      <w:r>
        <w:rPr>
          <w:rFonts w:hint="eastAsia" w:ascii="宋体" w:hAnsi="宋体" w:cs="宋体"/>
          <w:b/>
          <w:szCs w:val="24"/>
        </w:rPr>
        <w:t xml:space="preserve"> </w:t>
      </w:r>
      <w:r>
        <w:rPr>
          <w:rFonts w:hint="eastAsia" w:ascii="宋体" w:hAnsi="宋体" w:cs="宋体"/>
          <w:szCs w:val="24"/>
        </w:rPr>
        <w:t>搅拌桩、旋喷桩帷幕一般采用单排或双排布置形式。理论上，单排搅拌桩、旋喷桩帷幕只要桩体能够相互搭接、桩体连续、渗透系数小于10</w:t>
      </w:r>
      <w:r>
        <w:rPr>
          <w:rFonts w:hint="eastAsia" w:ascii="宋体" w:hAnsi="宋体" w:cs="宋体"/>
          <w:szCs w:val="24"/>
          <w:vertAlign w:val="superscript"/>
        </w:rPr>
        <w:t>-6</w:t>
      </w:r>
      <w:r>
        <w:rPr>
          <w:rFonts w:hint="eastAsia" w:ascii="宋体" w:hAnsi="宋体" w:cs="宋体"/>
          <w:szCs w:val="24"/>
        </w:rPr>
        <w:t xml:space="preserve"> </w:t>
      </w:r>
      <w:r>
        <w:rPr>
          <w:rFonts w:hint="eastAsia" w:ascii="宋体" w:hAnsi="宋体" w:cs="宋体"/>
          <w:position w:val="-6"/>
        </w:rPr>
        <w:drawing>
          <wp:inline distT="0" distB="0" distL="114300" distR="114300">
            <wp:extent cx="381000" cy="177165"/>
            <wp:effectExtent l="0" t="0" r="0" b="0"/>
            <wp:docPr id="361"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1" name="图片 99"/>
                    <pic:cNvPicPr>
                      <a:picLocks noChangeAspect="true"/>
                    </pic:cNvPicPr>
                  </pic:nvPicPr>
                  <pic:blipFill>
                    <a:blip r:embed="rId934"/>
                    <a:stretch>
                      <a:fillRect/>
                    </a:stretch>
                  </pic:blipFill>
                  <pic:spPr>
                    <a:xfrm>
                      <a:off x="0" y="0"/>
                      <a:ext cx="381000" cy="177165"/>
                    </a:xfrm>
                    <a:prstGeom prst="rect">
                      <a:avLst/>
                    </a:prstGeom>
                    <a:noFill/>
                    <a:ln>
                      <a:noFill/>
                    </a:ln>
                  </pic:spPr>
                </pic:pic>
              </a:graphicData>
            </a:graphic>
          </wp:inline>
        </w:drawing>
      </w:r>
      <w:r>
        <w:rPr>
          <w:rFonts w:hint="eastAsia" w:ascii="宋体" w:hAnsi="宋体" w:cs="宋体"/>
          <w:szCs w:val="24"/>
        </w:rPr>
        <w:t>是可以起到截水效果的，但受施工偏差制约，很难达到理想的搭接宽度要求。假设桩长15m，设计搭接200mm，当位置偏差为50mm、垂直度偏差为1%时，则帷幕底部在平面上会偏差200mm。此时，实际上之间就不能形成有效搭接。如桩的设计搭接过大，则桩的间距减小、桩的有效部分过少，造成浪费和增加工期。所以帷幕超过15m时，单排桩难免出现搭接不上的情况。双排桩帷幕形式可以克服施工偏差的搭接不足，对较深基坑双排桩帷幕比单排桩帷幕的截水效果要好得多。</w:t>
      </w:r>
    </w:p>
    <w:p>
      <w:pPr>
        <w:spacing w:line="480" w:lineRule="exact"/>
        <w:rPr>
          <w:rFonts w:ascii="宋体" w:hAnsi="宋体" w:cs="宋体"/>
        </w:rPr>
      </w:pPr>
      <w:r>
        <w:rPr>
          <w:rFonts w:hint="eastAsia" w:ascii="宋体" w:hAnsi="宋体" w:cs="宋体"/>
          <w:b/>
          <w:szCs w:val="24"/>
          <w:lang w:val="en-US" w:eastAsia="zh-CN"/>
        </w:rPr>
        <w:t>13.5.5</w:t>
      </w:r>
      <w:r>
        <w:rPr>
          <w:rFonts w:hint="eastAsia" w:ascii="宋体" w:hAnsi="宋体" w:cs="宋体"/>
          <w:b/>
          <w:szCs w:val="24"/>
        </w:rPr>
        <w:t>～</w:t>
      </w:r>
      <w:r>
        <w:rPr>
          <w:rFonts w:hint="eastAsia" w:ascii="宋体" w:hAnsi="宋体" w:cs="宋体"/>
          <w:b/>
          <w:szCs w:val="24"/>
          <w:lang w:val="en-US" w:eastAsia="zh-CN"/>
        </w:rPr>
        <w:t>13.5.6</w:t>
      </w:r>
      <w:r>
        <w:rPr>
          <w:rFonts w:hint="eastAsia" w:ascii="宋体" w:hAnsi="宋体" w:cs="宋体"/>
          <w:b/>
          <w:szCs w:val="24"/>
        </w:rPr>
        <w:t xml:space="preserve"> </w:t>
      </w:r>
      <w:r>
        <w:rPr>
          <w:rFonts w:hint="eastAsia" w:ascii="宋体" w:hAnsi="宋体" w:cs="宋体"/>
          <w:szCs w:val="24"/>
        </w:rPr>
        <w:t>摆喷帷幕一般采用下图所示的平面布置形式。由于射流范围集中，摆喷注浆的喷射长度比旋喷注浆的喷射长度大，喷射范围内固结体的均匀性也更好。实际工程中高压喷射注浆帷幕采用单排布置时常采用摆喷形式。</w:t>
      </w:r>
    </w:p>
    <w:p>
      <w:pPr>
        <w:tabs>
          <w:tab w:val="left" w:pos="5745"/>
        </w:tabs>
        <w:spacing w:line="480" w:lineRule="exact"/>
        <w:ind w:firstLine="480" w:firstLineChars="200"/>
        <w:jc w:val="center"/>
        <w:rPr>
          <w:rFonts w:hint="eastAsia" w:ascii="宋体" w:hAnsi="宋体" w:cs="宋体"/>
          <w:szCs w:val="24"/>
        </w:rPr>
      </w:pPr>
    </w:p>
    <w:p>
      <w:pPr>
        <w:tabs>
          <w:tab w:val="left" w:pos="5745"/>
        </w:tabs>
        <w:spacing w:line="480" w:lineRule="exact"/>
        <w:ind w:firstLine="480" w:firstLineChars="200"/>
        <w:jc w:val="center"/>
        <w:rPr>
          <w:rFonts w:hint="eastAsia" w:ascii="宋体" w:hAnsi="宋体" w:cs="宋体"/>
          <w:szCs w:val="24"/>
        </w:rPr>
      </w:pPr>
    </w:p>
    <w:p>
      <w:pPr>
        <w:tabs>
          <w:tab w:val="left" w:pos="5745"/>
        </w:tabs>
        <w:spacing w:line="480" w:lineRule="exact"/>
        <w:ind w:firstLine="480" w:firstLineChars="200"/>
        <w:jc w:val="center"/>
        <w:rPr>
          <w:rFonts w:hint="eastAsia" w:ascii="宋体" w:hAnsi="宋体" w:cs="宋体"/>
          <w:szCs w:val="24"/>
        </w:rPr>
      </w:pPr>
    </w:p>
    <w:p>
      <w:pPr>
        <w:tabs>
          <w:tab w:val="left" w:pos="5745"/>
        </w:tabs>
        <w:spacing w:line="480" w:lineRule="exact"/>
        <w:ind w:firstLine="480" w:firstLineChars="200"/>
        <w:jc w:val="center"/>
        <w:rPr>
          <w:rFonts w:ascii="宋体" w:hAnsi="宋体" w:cs="宋体"/>
        </w:rPr>
      </w:pPr>
      <w:r>
        <w:rPr>
          <w:rFonts w:hint="eastAsia" w:ascii="宋体" w:hAnsi="宋体" w:cs="宋体"/>
          <w:szCs w:val="24"/>
        </w:rPr>
        <w:t>1-摆喷帷幕</w:t>
      </w:r>
    </w:p>
    <w:p>
      <w:pPr>
        <w:spacing w:line="480" w:lineRule="exact"/>
        <w:ind w:firstLine="482"/>
        <w:jc w:val="center"/>
        <w:rPr>
          <w:rFonts w:ascii="宋体" w:hAnsi="宋体" w:cs="宋体"/>
        </w:rPr>
      </w:pPr>
      <w:r>
        <w:rPr>
          <w:rFonts w:hint="eastAsia" w:ascii="宋体" w:hAnsi="宋体" w:cs="宋体"/>
          <w:b/>
        </w:rPr>
        <w:drawing>
          <wp:anchor distT="0" distB="0" distL="114300" distR="114300" simplePos="0" relativeHeight="251677696" behindDoc="0" locked="0" layoutInCell="1" allowOverlap="1">
            <wp:simplePos x="0" y="0"/>
            <wp:positionH relativeFrom="column">
              <wp:posOffset>13335</wp:posOffset>
            </wp:positionH>
            <wp:positionV relativeFrom="paragraph">
              <wp:posOffset>-142875</wp:posOffset>
            </wp:positionV>
            <wp:extent cx="5941060" cy="1482090"/>
            <wp:effectExtent l="0" t="0" r="2540" b="0"/>
            <wp:wrapSquare wrapText="bothSides"/>
            <wp:docPr id="36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2" name="图片 2"/>
                    <pic:cNvPicPr>
                      <a:picLocks noChangeAspect="true"/>
                    </pic:cNvPicPr>
                  </pic:nvPicPr>
                  <pic:blipFill>
                    <a:blip r:embed="rId935"/>
                    <a:srcRect l="24323" t="36472" r="18047" b="37851"/>
                    <a:stretch>
                      <a:fillRect/>
                    </a:stretch>
                  </pic:blipFill>
                  <pic:spPr>
                    <a:xfrm>
                      <a:off x="0" y="0"/>
                      <a:ext cx="5941060" cy="1482090"/>
                    </a:xfrm>
                    <a:prstGeom prst="rect">
                      <a:avLst/>
                    </a:prstGeom>
                    <a:noFill/>
                    <a:ln>
                      <a:noFill/>
                    </a:ln>
                  </pic:spPr>
                </pic:pic>
              </a:graphicData>
            </a:graphic>
          </wp:anchor>
        </w:drawing>
      </w:r>
      <w:r>
        <w:rPr>
          <w:rFonts w:hint="eastAsia" w:ascii="宋体" w:hAnsi="宋体" w:cs="宋体"/>
          <w:szCs w:val="24"/>
        </w:rPr>
        <w:t>图6 摆喷帷幕平面形式</w:t>
      </w:r>
    </w:p>
    <w:p>
      <w:pPr>
        <w:tabs>
          <w:tab w:val="left" w:pos="5745"/>
        </w:tabs>
        <w:spacing w:line="480" w:lineRule="exact"/>
        <w:ind w:firstLine="480" w:firstLineChars="200"/>
        <w:rPr>
          <w:rFonts w:ascii="宋体" w:hAnsi="宋体" w:cs="宋体"/>
        </w:rPr>
      </w:pPr>
      <w:r>
        <w:rPr>
          <w:rFonts w:hint="eastAsia" w:ascii="宋体" w:hAnsi="宋体" w:cs="宋体"/>
          <w:szCs w:val="24"/>
        </w:rPr>
        <w:t>旋喷固结体的直径、摆喷固结体的半径受施工工艺、喷射压力、提升速度、土类和土性等因素影响，根据国内一些资料介绍，旋喷固结体的直径一般在下表所列的范围，摆喷固结体的半径约为旋喷固结体半径的1.0倍～1.5倍。</w:t>
      </w:r>
    </w:p>
    <w:p>
      <w:pPr>
        <w:bidi w:val="0"/>
        <w:jc w:val="center"/>
        <w:rPr>
          <w:b/>
          <w:bCs/>
        </w:rPr>
      </w:pPr>
      <w:r>
        <w:rPr>
          <w:rFonts w:hint="eastAsia"/>
          <w:b/>
          <w:bCs/>
        </w:rPr>
        <w:t>旋喷注浆固结体有效直径经验值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895"/>
        <w:gridCol w:w="1896"/>
        <w:gridCol w:w="1895"/>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790" w:type="dxa"/>
            <w:gridSpan w:val="2"/>
          </w:tcPr>
          <w:p>
            <w:pPr>
              <w:tabs>
                <w:tab w:val="left" w:pos="5745"/>
              </w:tabs>
              <w:spacing w:line="480" w:lineRule="exact"/>
              <w:rPr>
                <w:rFonts w:ascii="宋体" w:hAnsi="宋体"/>
                <w:szCs w:val="21"/>
              </w:rPr>
            </w:pPr>
            <w:r>
              <w:rPr>
                <w:rFonts w:ascii="宋体" w:hAnsi="宋体"/>
                <w:szCs w:val="21"/>
              </w:rPr>
              <mc:AlternateContent>
                <mc:Choice Requires="wpg">
                  <w:drawing>
                    <wp:anchor distT="0" distB="0" distL="114300" distR="114300" simplePos="0" relativeHeight="251676672" behindDoc="0" locked="0" layoutInCell="1" allowOverlap="1">
                      <wp:simplePos x="0" y="0"/>
                      <wp:positionH relativeFrom="column">
                        <wp:posOffset>-57785</wp:posOffset>
                      </wp:positionH>
                      <wp:positionV relativeFrom="paragraph">
                        <wp:posOffset>-1270</wp:posOffset>
                      </wp:positionV>
                      <wp:extent cx="2394585" cy="386080"/>
                      <wp:effectExtent l="635" t="4445" r="5080" b="0"/>
                      <wp:wrapNone/>
                      <wp:docPr id="371" name="组合 371"/>
                      <wp:cNvGraphicFramePr/>
                      <a:graphic xmlns:a="http://schemas.openxmlformats.org/drawingml/2006/main">
                        <a:graphicData uri="http://schemas.microsoft.com/office/word/2010/wordprocessingGroup">
                          <wpg:wgp>
                            <wpg:cNvGrpSpPr/>
                            <wpg:grpSpPr>
                              <a:xfrm>
                                <a:off x="0" y="0"/>
                                <a:ext cx="2394585" cy="386080"/>
                                <a:chOff x="0" y="0"/>
                                <a:chExt cx="3780" cy="301"/>
                              </a:xfrm>
                            </wpg:grpSpPr>
                            <wps:wsp>
                              <wps:cNvPr id="372" name="直接连接符 545"/>
                              <wps:cNvCnPr/>
                              <wps:spPr>
                                <a:xfrm>
                                  <a:off x="0" y="0"/>
                                  <a:ext cx="3780" cy="240"/>
                                </a:xfrm>
                                <a:prstGeom prst="line">
                                  <a:avLst/>
                                </a:prstGeom>
                                <a:ln w="6350" cap="flat" cmpd="sng">
                                  <a:solidFill>
                                    <a:srgbClr val="000000"/>
                                  </a:solidFill>
                                  <a:prstDash val="solid"/>
                                  <a:headEnd type="none" w="med" len="med"/>
                                  <a:tailEnd type="none" w="med" len="med"/>
                                </a:ln>
                              </wps:spPr>
                              <wps:bodyPr/>
                            </wps:wsp>
                            <wps:wsp>
                              <wps:cNvPr id="373" name="文本框 546"/>
                              <wps:cNvSpPr txBox="true"/>
                              <wps:spPr>
                                <a:xfrm>
                                  <a:off x="2996" y="0"/>
                                  <a:ext cx="300" cy="300"/>
                                </a:xfrm>
                                <a:prstGeom prst="rect">
                                  <a:avLst/>
                                </a:prstGeom>
                                <a:noFill/>
                                <a:ln>
                                  <a:noFill/>
                                </a:ln>
                              </wps:spPr>
                              <wps:txbx>
                                <w:txbxContent>
                                  <w:p>
                                    <w:pPr>
                                      <w:snapToGrid w:val="0"/>
                                      <w:spacing w:before="156" w:beforeLines="50" w:line="360" w:lineRule="auto"/>
                                      <w:rPr>
                                        <w:szCs w:val="21"/>
                                      </w:rPr>
                                    </w:pPr>
                                    <w:r>
                                      <w:rPr>
                                        <w:rFonts w:hint="eastAsia"/>
                                        <w:sz w:val="21"/>
                                        <w:szCs w:val="21"/>
                                      </w:rPr>
                                      <w:t>方</w:t>
                                    </w:r>
                                  </w:p>
                                </w:txbxContent>
                              </wps:txbx>
                              <wps:bodyPr lIns="0" tIns="0" rIns="0" bIns="0" upright="true"/>
                            </wps:wsp>
                            <wps:wsp>
                              <wps:cNvPr id="383" name="文本框 547"/>
                              <wps:cNvSpPr txBox="true"/>
                              <wps:spPr>
                                <a:xfrm>
                                  <a:off x="3319" y="1"/>
                                  <a:ext cx="300" cy="300"/>
                                </a:xfrm>
                                <a:prstGeom prst="rect">
                                  <a:avLst/>
                                </a:prstGeom>
                                <a:noFill/>
                                <a:ln>
                                  <a:noFill/>
                                </a:ln>
                              </wps:spPr>
                              <wps:txbx>
                                <w:txbxContent>
                                  <w:p>
                                    <w:pPr>
                                      <w:snapToGrid w:val="0"/>
                                      <w:spacing w:before="156" w:beforeLines="50" w:line="276" w:lineRule="auto"/>
                                      <w:rPr>
                                        <w:szCs w:val="21"/>
                                      </w:rPr>
                                    </w:pPr>
                                    <w:r>
                                      <w:rPr>
                                        <w:rFonts w:hint="eastAsia"/>
                                        <w:sz w:val="21"/>
                                        <w:szCs w:val="21"/>
                                      </w:rPr>
                                      <w:t>法</w:t>
                                    </w:r>
                                  </w:p>
                                </w:txbxContent>
                              </wps:txbx>
                              <wps:bodyPr lIns="0" tIns="0" rIns="0" bIns="0" upright="true"/>
                            </wps:wsp>
                          </wpg:wgp>
                        </a:graphicData>
                      </a:graphic>
                    </wp:anchor>
                  </w:drawing>
                </mc:Choice>
                <mc:Fallback>
                  <w:pict>
                    <v:group id="_x0000_s1026" o:spid="_x0000_s1026" o:spt="203" style="position:absolute;left:0pt;margin-left:-4.55pt;margin-top:-0.1pt;height:30.4pt;width:188.55pt;z-index:251676672;mso-width-relative:page;mso-height-relative:page;" coordsize="3780,301" o:gfxdata="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WAAAAZHJzL1BLAQIU&#10;ABQAAAAIAIdO4kAZS3Fq2AAAAAcBAAAPAAAAAAAAAAEAIAAAADgAAABkcnMvZG93bnJldi54bWxQ&#10;SwECFAAUAAAACACHTuJAK3kmx8UCAADuBwAADgAAAAAAAAABACAAAAA9AQAAZHJzL2Uyb0RvYy54&#10;bWxQSwUGAAAAAAYABgBZAQAAdAYAAAAA&#10;">
                      <o:lock v:ext="edit" aspectratio="f"/>
                      <v:line id="直接连接符 545" o:spid="_x0000_s1026" o:spt="20" style="position:absolute;left:0;top:0;height:240;width:3780;" filled="f" stroked="t" coordsize="21600,21600" o:gfxdata="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6V9cvAAAANwAAAAPAAAAAAAAAAEAIAAAADgAAABkcnMvZG93bnJldi54&#10;bWxQSwECFAAUAAAACACHTuJAMy8FnjsAAAA5AAAAEAAAAAAAAAABACAAAAAhAQAAZHJzL3NoYXBl&#10;eG1sLnhtbFBLBQYAAAAABgAGAFsBAADLAwAAAAA=&#10;">
                        <v:fill on="f" focussize="0,0"/>
                        <v:stroke weight="0.5pt" color="#000000" joinstyle="round"/>
                        <v:imagedata o:title=""/>
                        <o:lock v:ext="edit" aspectratio="f"/>
                      </v:line>
                      <v:shape id="文本框 546" o:spid="_x0000_s1026" o:spt="202" type="#_x0000_t202" style="position:absolute;left:2996;top:0;height:300;width:300;" filled="f" stroked="f" coordsize="21600,21600" o:gfxdata="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kNWJ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napToGrid w:val="0"/>
                                <w:spacing w:before="156" w:beforeLines="50" w:line="360" w:lineRule="auto"/>
                                <w:rPr>
                                  <w:szCs w:val="21"/>
                                </w:rPr>
                              </w:pPr>
                              <w:r>
                                <w:rPr>
                                  <w:rFonts w:hint="eastAsia"/>
                                  <w:sz w:val="21"/>
                                  <w:szCs w:val="21"/>
                                </w:rPr>
                                <w:t>方</w:t>
                              </w:r>
                            </w:p>
                          </w:txbxContent>
                        </v:textbox>
                      </v:shape>
                      <v:shape id="文本框 547" o:spid="_x0000_s1026" o:spt="202" type="#_x0000_t202" style="position:absolute;left:3319;top:1;height:300;width:300;" filled="f" stroked="f" coordsize="21600,21600" o:gfxdata="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dFpa6+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napToGrid w:val="0"/>
                                <w:spacing w:before="156" w:beforeLines="50" w:line="276" w:lineRule="auto"/>
                                <w:rPr>
                                  <w:szCs w:val="21"/>
                                </w:rPr>
                              </w:pPr>
                              <w:r>
                                <w:rPr>
                                  <w:rFonts w:hint="eastAsia"/>
                                  <w:sz w:val="21"/>
                                  <w:szCs w:val="21"/>
                                </w:rPr>
                                <w:t>法</w:t>
                              </w:r>
                            </w:p>
                          </w:txbxContent>
                        </v:textbox>
                      </v:shape>
                    </v:group>
                  </w:pict>
                </mc:Fallback>
              </mc:AlternateContent>
            </w:r>
            <w:r>
              <w:rPr>
                <w:rFonts w:hint="eastAsia" w:ascii="宋体" w:hAnsi="宋体"/>
                <w:sz w:val="21"/>
                <w:szCs w:val="21"/>
              </w:rPr>
              <w:t>土类别</w:t>
            </w:r>
          </w:p>
        </w:tc>
        <w:tc>
          <w:tcPr>
            <w:tcW w:w="1896" w:type="dxa"/>
          </w:tcPr>
          <w:p>
            <w:pPr>
              <w:tabs>
                <w:tab w:val="left" w:pos="5745"/>
              </w:tabs>
              <w:spacing w:line="480" w:lineRule="exact"/>
              <w:jc w:val="center"/>
              <w:rPr>
                <w:rFonts w:ascii="宋体" w:hAnsi="宋体"/>
                <w:szCs w:val="21"/>
              </w:rPr>
            </w:pPr>
            <w:r>
              <w:rPr>
                <w:rFonts w:hint="eastAsia" w:ascii="宋体" w:hAnsi="宋体"/>
                <w:sz w:val="21"/>
                <w:szCs w:val="21"/>
              </w:rPr>
              <w:t>单管法</w:t>
            </w:r>
          </w:p>
        </w:tc>
        <w:tc>
          <w:tcPr>
            <w:tcW w:w="1895" w:type="dxa"/>
          </w:tcPr>
          <w:p>
            <w:pPr>
              <w:tabs>
                <w:tab w:val="left" w:pos="5745"/>
              </w:tabs>
              <w:spacing w:line="480" w:lineRule="exact"/>
              <w:jc w:val="center"/>
              <w:rPr>
                <w:rFonts w:ascii="宋体" w:hAnsi="宋体"/>
                <w:szCs w:val="21"/>
              </w:rPr>
            </w:pPr>
            <w:r>
              <w:rPr>
                <w:rFonts w:hint="eastAsia" w:ascii="宋体" w:hAnsi="宋体"/>
                <w:sz w:val="21"/>
                <w:szCs w:val="21"/>
              </w:rPr>
              <w:t>二重管法</w:t>
            </w:r>
          </w:p>
        </w:tc>
        <w:tc>
          <w:tcPr>
            <w:tcW w:w="1896" w:type="dxa"/>
          </w:tcPr>
          <w:p>
            <w:pPr>
              <w:tabs>
                <w:tab w:val="left" w:pos="5745"/>
              </w:tabs>
              <w:spacing w:line="480" w:lineRule="exact"/>
              <w:jc w:val="center"/>
              <w:rPr>
                <w:rFonts w:ascii="宋体" w:hAnsi="宋体"/>
                <w:szCs w:val="21"/>
              </w:rPr>
            </w:pPr>
            <w:r>
              <w:rPr>
                <w:rFonts w:hint="eastAsia" w:ascii="宋体" w:hAnsi="宋体"/>
                <w:sz w:val="21"/>
                <w:szCs w:val="21"/>
              </w:rPr>
              <w:t>三重管法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jc w:val="center"/>
        </w:trPr>
        <w:tc>
          <w:tcPr>
            <w:tcW w:w="1895" w:type="dxa"/>
            <w:vMerge w:val="restart"/>
            <w:vAlign w:val="center"/>
          </w:tcPr>
          <w:p>
            <w:pPr>
              <w:tabs>
                <w:tab w:val="left" w:pos="5745"/>
              </w:tabs>
              <w:spacing w:line="480" w:lineRule="exact"/>
              <w:jc w:val="center"/>
              <w:rPr>
                <w:rFonts w:ascii="宋体" w:hAnsi="宋体"/>
                <w:szCs w:val="21"/>
              </w:rPr>
            </w:pPr>
            <w:r>
              <w:rPr>
                <w:rFonts w:hint="eastAsia" w:ascii="宋体" w:hAnsi="宋体"/>
                <w:sz w:val="21"/>
                <w:szCs w:val="21"/>
              </w:rPr>
              <w:t>黏性土</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＜N≤</w:t>
            </w:r>
            <w:r>
              <w:rPr>
                <w:rFonts w:hint="eastAsia" w:ascii="Times New Roman" w:hAnsi="Times New Roman"/>
                <w:sz w:val="21"/>
                <w:szCs w:val="21"/>
              </w:rPr>
              <w:t>5</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5</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8</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8</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2</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2</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895" w:type="dxa"/>
            <w:vMerge w:val="continue"/>
            <w:vAlign w:val="center"/>
          </w:tcPr>
          <w:p>
            <w:pPr>
              <w:tabs>
                <w:tab w:val="left" w:pos="5745"/>
              </w:tabs>
              <w:spacing w:line="480" w:lineRule="exact"/>
              <w:jc w:val="center"/>
              <w:rPr>
                <w:rFonts w:ascii="宋体" w:hAnsi="宋体"/>
                <w:szCs w:val="21"/>
              </w:rPr>
            </w:pP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5</w:t>
            </w:r>
            <w:r>
              <w:rPr>
                <w:rFonts w:hint="eastAsia" w:ascii="宋体" w:hAnsi="宋体"/>
                <w:sz w:val="21"/>
                <w:szCs w:val="21"/>
              </w:rPr>
              <w:t>＜N≤</w:t>
            </w:r>
            <w:r>
              <w:rPr>
                <w:rFonts w:hint="eastAsia" w:ascii="Times New Roman" w:hAnsi="Times New Roman"/>
                <w:sz w:val="21"/>
                <w:szCs w:val="21"/>
              </w:rPr>
              <w:t>10</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4</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7</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7</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1</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jc w:val="center"/>
        </w:trPr>
        <w:tc>
          <w:tcPr>
            <w:tcW w:w="1895" w:type="dxa"/>
            <w:vMerge w:val="restart"/>
            <w:vAlign w:val="center"/>
          </w:tcPr>
          <w:p>
            <w:pPr>
              <w:tabs>
                <w:tab w:val="left" w:pos="5745"/>
              </w:tabs>
              <w:spacing w:line="480" w:lineRule="exact"/>
              <w:jc w:val="center"/>
              <w:rPr>
                <w:rFonts w:ascii="宋体" w:hAnsi="宋体"/>
                <w:szCs w:val="21"/>
              </w:rPr>
            </w:pPr>
            <w:r>
              <w:rPr>
                <w:rFonts w:hint="eastAsia" w:ascii="宋体" w:hAnsi="宋体"/>
                <w:sz w:val="21"/>
                <w:szCs w:val="21"/>
              </w:rPr>
              <w:t>砂土</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＜N≤</w:t>
            </w:r>
            <w:r>
              <w:rPr>
                <w:rFonts w:hint="eastAsia" w:ascii="Times New Roman" w:hAnsi="Times New Roman"/>
                <w:sz w:val="21"/>
                <w:szCs w:val="21"/>
              </w:rPr>
              <w:t>10</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6</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0</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4</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5</w:t>
            </w:r>
            <w:r>
              <w:rPr>
                <w:rFonts w:hint="eastAsia" w:ascii="宋体" w:hAnsi="宋体"/>
                <w:sz w:val="21"/>
                <w:szCs w:val="21"/>
              </w:rPr>
              <w:t>～</w:t>
            </w:r>
            <w:r>
              <w:rPr>
                <w:rFonts w:hint="eastAsia" w:ascii="Times New Roman" w:hAnsi="Times New Roman"/>
                <w:sz w:val="21"/>
                <w:szCs w:val="21"/>
              </w:rPr>
              <w:t>2</w:t>
            </w:r>
            <w:r>
              <w:rPr>
                <w:rFonts w:hint="eastAsia" w:ascii="宋体" w:hAnsi="宋体"/>
                <w:sz w:val="21"/>
                <w:szCs w:val="21"/>
              </w:rPr>
              <w:t>.</w:t>
            </w:r>
            <w:r>
              <w:rPr>
                <w:rFonts w:hint="eastAsia" w:ascii="Times New Roman" w:hAnsi="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895" w:type="dxa"/>
            <w:vMerge w:val="continue"/>
            <w:vAlign w:val="center"/>
          </w:tcPr>
          <w:p>
            <w:pPr>
              <w:tabs>
                <w:tab w:val="left" w:pos="5745"/>
              </w:tabs>
              <w:spacing w:line="480" w:lineRule="exact"/>
              <w:jc w:val="center"/>
              <w:rPr>
                <w:rFonts w:ascii="宋体" w:hAnsi="宋体"/>
                <w:szCs w:val="21"/>
              </w:rPr>
            </w:pP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10</w:t>
            </w:r>
            <w:r>
              <w:rPr>
                <w:rFonts w:hint="eastAsia" w:ascii="宋体" w:hAnsi="宋体"/>
                <w:sz w:val="21"/>
                <w:szCs w:val="21"/>
              </w:rPr>
              <w:t>＜N≤</w:t>
            </w:r>
            <w:r>
              <w:rPr>
                <w:rFonts w:hint="eastAsia" w:ascii="Times New Roman" w:hAnsi="Times New Roman"/>
                <w:sz w:val="21"/>
                <w:szCs w:val="21"/>
              </w:rPr>
              <w:t>20</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5</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9</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9</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3</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2</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jc w:val="center"/>
        </w:trPr>
        <w:tc>
          <w:tcPr>
            <w:tcW w:w="1895" w:type="dxa"/>
            <w:vMerge w:val="continue"/>
            <w:vAlign w:val="center"/>
          </w:tcPr>
          <w:p>
            <w:pPr>
              <w:tabs>
                <w:tab w:val="left" w:pos="5745"/>
              </w:tabs>
              <w:spacing w:line="480" w:lineRule="exact"/>
              <w:jc w:val="center"/>
              <w:rPr>
                <w:rFonts w:ascii="宋体" w:hAnsi="宋体"/>
                <w:szCs w:val="21"/>
              </w:rPr>
            </w:pP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20</w:t>
            </w:r>
            <w:r>
              <w:rPr>
                <w:rFonts w:hint="eastAsia" w:ascii="宋体" w:hAnsi="宋体"/>
                <w:sz w:val="21"/>
                <w:szCs w:val="21"/>
              </w:rPr>
              <w:t>＜N≤</w:t>
            </w:r>
            <w:r>
              <w:rPr>
                <w:rFonts w:hint="eastAsia" w:ascii="Times New Roman" w:hAnsi="Times New Roman"/>
                <w:sz w:val="21"/>
                <w:szCs w:val="21"/>
              </w:rPr>
              <w:t>30</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4</w:t>
            </w: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8</w:t>
            </w:r>
          </w:p>
        </w:tc>
        <w:tc>
          <w:tcPr>
            <w:tcW w:w="1895"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8</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2</w:t>
            </w:r>
          </w:p>
        </w:tc>
        <w:tc>
          <w:tcPr>
            <w:tcW w:w="1896" w:type="dxa"/>
            <w:vAlign w:val="center"/>
          </w:tcPr>
          <w:p>
            <w:pPr>
              <w:tabs>
                <w:tab w:val="left" w:pos="5745"/>
              </w:tabs>
              <w:spacing w:line="480" w:lineRule="exact"/>
              <w:jc w:val="center"/>
              <w:rPr>
                <w:rFonts w:ascii="宋体" w:hAnsi="宋体"/>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9</w:t>
            </w:r>
            <w:r>
              <w:rPr>
                <w:rFonts w:hint="eastAsia" w:ascii="宋体" w:hAnsi="宋体"/>
                <w:sz w:val="21"/>
                <w:szCs w:val="21"/>
              </w:rPr>
              <w:t>～</w:t>
            </w:r>
            <w:r>
              <w:rPr>
                <w:rFonts w:hint="eastAsia" w:ascii="Times New Roman" w:hAnsi="Times New Roman"/>
                <w:sz w:val="21"/>
                <w:szCs w:val="21"/>
              </w:rPr>
              <w:t>1</w:t>
            </w:r>
            <w:r>
              <w:rPr>
                <w:rFonts w:hint="eastAsia" w:ascii="宋体" w:hAnsi="宋体"/>
                <w:sz w:val="21"/>
                <w:szCs w:val="21"/>
              </w:rPr>
              <w:t>.</w:t>
            </w:r>
            <w:r>
              <w:rPr>
                <w:rFonts w:hint="eastAsia" w:ascii="Times New Roman" w:hAnsi="Times New Roman"/>
                <w:sz w:val="21"/>
                <w:szCs w:val="21"/>
              </w:rPr>
              <w:t>5</w:t>
            </w:r>
          </w:p>
        </w:tc>
      </w:tr>
    </w:tbl>
    <w:p>
      <w:pPr>
        <w:tabs>
          <w:tab w:val="left" w:pos="5745"/>
        </w:tabs>
        <w:spacing w:line="480" w:lineRule="exact"/>
        <w:rPr>
          <w:rFonts w:ascii="宋体" w:hAnsi="宋体" w:cs="宋体"/>
          <w:szCs w:val="21"/>
        </w:rPr>
      </w:pPr>
      <w:r>
        <w:rPr>
          <w:rFonts w:hint="eastAsia" w:ascii="宋体" w:hAnsi="宋体" w:cs="宋体"/>
          <w:sz w:val="21"/>
          <w:szCs w:val="21"/>
        </w:rPr>
        <w:t>注：N为标准贯入试验锤击数。</w:t>
      </w:r>
    </w:p>
    <w:p>
      <w:pPr>
        <w:spacing w:line="480" w:lineRule="exact"/>
        <w:ind w:firstLine="492" w:firstLineChars="205"/>
        <w:rPr>
          <w:rFonts w:hint="eastAsia" w:ascii="宋体" w:hAnsi="宋体" w:cs="宋体"/>
          <w:szCs w:val="24"/>
        </w:rPr>
      </w:pPr>
      <w:r>
        <w:rPr>
          <w:rFonts w:hint="eastAsia" w:ascii="宋体" w:hAnsi="宋体" w:cs="宋体"/>
          <w:szCs w:val="24"/>
        </w:rPr>
        <w:t>下图是搅拌桩、高压喷射注浆与排桩常见的连接形式。高压喷射注浆与排桩组合的帷幕，高压喷射注浆可采用旋喷、摆喷形式。组合帷幕中支护桩与旋喷、摆喷桩的平面轴线关系应使旋喷、摆喷固结体受力后与支护桩之间有一定的压合面。</w:t>
      </w:r>
    </w:p>
    <w:p>
      <w:pPr>
        <w:spacing w:line="480" w:lineRule="exact"/>
        <w:ind w:firstLine="480" w:firstLineChars="200"/>
        <w:rPr>
          <w:rFonts w:hint="eastAsia" w:ascii="宋体" w:hAnsi="宋体" w:cs="宋体"/>
          <w:szCs w:val="24"/>
        </w:rPr>
      </w:pPr>
      <w:r>
        <w:rPr>
          <w:rFonts w:hint="eastAsia" w:ascii="宋体" w:hAnsi="宋体" w:cs="宋体"/>
          <w:szCs w:val="24"/>
        </w:rPr>
        <w:t>旋喷帷幕和摆喷帷幕一般采用双喷嘴喷射注浆。与排桩咬合的截水帷幕，当采用半圆形、扇形摆喷时，一般采用单喷嘴喷射注浆。根据目前国内的设备性能，实际工程中常见的高压喷射注浆的施工工艺参数见下表。</w:t>
      </w:r>
    </w:p>
    <w:p>
      <w:pPr>
        <w:spacing w:line="480" w:lineRule="exact"/>
        <w:ind w:firstLine="480" w:firstLineChars="200"/>
        <w:rPr>
          <w:rFonts w:hint="eastAsia" w:ascii="宋体" w:hAnsi="宋体" w:cs="宋体"/>
          <w:szCs w:val="24"/>
        </w:rPr>
      </w:pPr>
    </w:p>
    <w:p>
      <w:pPr>
        <w:spacing w:line="480" w:lineRule="exact"/>
        <w:ind w:firstLine="480" w:firstLineChars="200"/>
        <w:rPr>
          <w:rFonts w:hint="eastAsia" w:ascii="宋体" w:hAnsi="宋体" w:cs="宋体"/>
          <w:szCs w:val="24"/>
        </w:rPr>
      </w:pPr>
      <w:r>
        <w:rPr>
          <w:rFonts w:hint="eastAsia" w:ascii="宋体" w:hAnsi="宋体" w:cs="宋体"/>
        </w:rPr>
        <w:drawing>
          <wp:anchor distT="0" distB="0" distL="114300" distR="114300" simplePos="0" relativeHeight="251678720" behindDoc="0" locked="0" layoutInCell="1" allowOverlap="1">
            <wp:simplePos x="0" y="0"/>
            <wp:positionH relativeFrom="column">
              <wp:posOffset>-343535</wp:posOffset>
            </wp:positionH>
            <wp:positionV relativeFrom="paragraph">
              <wp:posOffset>125730</wp:posOffset>
            </wp:positionV>
            <wp:extent cx="6029325" cy="1221740"/>
            <wp:effectExtent l="0" t="0" r="0" b="10160"/>
            <wp:wrapSquare wrapText="bothSides"/>
            <wp:docPr id="38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4" name="图片 7"/>
                    <pic:cNvPicPr>
                      <a:picLocks noChangeAspect="true"/>
                    </pic:cNvPicPr>
                  </pic:nvPicPr>
                  <pic:blipFill>
                    <a:blip r:embed="rId936"/>
                    <a:srcRect l="17268" t="28453" r="10605" b="45610"/>
                    <a:stretch>
                      <a:fillRect/>
                    </a:stretch>
                  </pic:blipFill>
                  <pic:spPr>
                    <a:xfrm>
                      <a:off x="0" y="0"/>
                      <a:ext cx="6029325" cy="1221740"/>
                    </a:xfrm>
                    <a:prstGeom prst="rect">
                      <a:avLst/>
                    </a:prstGeom>
                    <a:noFill/>
                    <a:ln>
                      <a:noFill/>
                    </a:ln>
                  </pic:spPr>
                </pic:pic>
              </a:graphicData>
            </a:graphic>
          </wp:anchor>
        </w:drawing>
      </w:r>
    </w:p>
    <w:p>
      <w:pPr>
        <w:spacing w:line="480" w:lineRule="exact"/>
        <w:ind w:firstLine="120" w:firstLineChars="50"/>
        <w:jc w:val="center"/>
        <w:rPr>
          <w:rFonts w:ascii="宋体" w:hAnsi="宋体" w:cs="宋体"/>
        </w:rPr>
      </w:pPr>
      <w:r>
        <w:rPr>
          <w:rFonts w:hint="eastAsia" w:ascii="宋体" w:hAnsi="宋体" w:cs="宋体"/>
          <w:szCs w:val="24"/>
        </w:rPr>
        <w:t>1-支护桩； 2-旋喷固结体或搅拌桩； 3-摆喷固结体； 4-基坑方向</w:t>
      </w:r>
    </w:p>
    <w:p>
      <w:pPr>
        <w:spacing w:line="480" w:lineRule="exact"/>
        <w:ind w:firstLine="120" w:firstLineChars="50"/>
        <w:jc w:val="center"/>
        <w:rPr>
          <w:rFonts w:ascii="宋体" w:hAnsi="宋体" w:cs="宋体"/>
        </w:rPr>
      </w:pPr>
      <w:r>
        <w:rPr>
          <w:rFonts w:hint="eastAsia" w:ascii="宋体" w:hAnsi="宋体" w:cs="宋体"/>
          <w:szCs w:val="24"/>
        </w:rPr>
        <w:t>图7 截水帷幕平面形式</w:t>
      </w:r>
    </w:p>
    <w:p>
      <w:pPr>
        <w:tabs>
          <w:tab w:val="left" w:pos="5745"/>
        </w:tabs>
        <w:spacing w:line="480" w:lineRule="exact"/>
        <w:jc w:val="center"/>
        <w:rPr>
          <w:rFonts w:ascii="宋体" w:hAnsi="宋体"/>
          <w:b/>
        </w:rPr>
      </w:pPr>
      <w:r>
        <w:rPr>
          <w:rFonts w:hint="eastAsia" w:ascii="宋体" w:hAnsi="宋体"/>
          <w:b/>
          <w:szCs w:val="24"/>
        </w:rPr>
        <w:t>常用的高压喷射注浆工艺参数</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12"/>
        <w:gridCol w:w="1411"/>
        <w:gridCol w:w="1411"/>
        <w:gridCol w:w="1411"/>
        <w:gridCol w:w="1411"/>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188"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工艺</w:t>
            </w:r>
          </w:p>
        </w:tc>
        <w:tc>
          <w:tcPr>
            <w:tcW w:w="1412"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水压（MPa）</w:t>
            </w:r>
          </w:p>
        </w:tc>
        <w:tc>
          <w:tcPr>
            <w:tcW w:w="1411"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气压（MPa）</w:t>
            </w:r>
          </w:p>
        </w:tc>
        <w:tc>
          <w:tcPr>
            <w:tcW w:w="1411"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浆压（MPa）</w:t>
            </w:r>
          </w:p>
        </w:tc>
        <w:tc>
          <w:tcPr>
            <w:tcW w:w="1411" w:type="dxa"/>
            <w:vAlign w:val="center"/>
          </w:tcPr>
          <w:p>
            <w:pPr>
              <w:tabs>
                <w:tab w:val="left" w:pos="5745"/>
              </w:tabs>
              <w:spacing w:line="360" w:lineRule="exact"/>
              <w:jc w:val="center"/>
              <w:rPr>
                <w:rFonts w:ascii="宋体" w:hAnsi="宋体"/>
                <w:sz w:val="21"/>
                <w:szCs w:val="21"/>
              </w:rPr>
            </w:pPr>
            <w:r>
              <w:rPr>
                <w:rFonts w:hint="eastAsia" w:ascii="宋体" w:hAnsi="宋体"/>
                <w:sz w:val="21"/>
                <w:szCs w:val="21"/>
              </w:rPr>
              <w:t>注浆流量（L/min）</w:t>
            </w:r>
          </w:p>
        </w:tc>
        <w:tc>
          <w:tcPr>
            <w:tcW w:w="1411" w:type="dxa"/>
            <w:vAlign w:val="center"/>
          </w:tcPr>
          <w:p>
            <w:pPr>
              <w:tabs>
                <w:tab w:val="left" w:pos="5745"/>
              </w:tabs>
              <w:spacing w:line="360" w:lineRule="exact"/>
              <w:jc w:val="center"/>
              <w:rPr>
                <w:rFonts w:ascii="宋体" w:hAnsi="宋体"/>
                <w:sz w:val="21"/>
                <w:szCs w:val="21"/>
              </w:rPr>
            </w:pPr>
            <w:r>
              <w:rPr>
                <w:rFonts w:hint="eastAsia" w:ascii="宋体" w:hAnsi="宋体"/>
                <w:sz w:val="21"/>
                <w:szCs w:val="21"/>
              </w:rPr>
              <w:t>提升速度（m/min）</w:t>
            </w:r>
          </w:p>
        </w:tc>
        <w:tc>
          <w:tcPr>
            <w:tcW w:w="1409" w:type="dxa"/>
            <w:vAlign w:val="center"/>
          </w:tcPr>
          <w:p>
            <w:pPr>
              <w:tabs>
                <w:tab w:val="left" w:pos="5745"/>
              </w:tabs>
              <w:spacing w:line="360" w:lineRule="exact"/>
              <w:jc w:val="center"/>
              <w:rPr>
                <w:rFonts w:ascii="宋体" w:hAnsi="宋体"/>
                <w:sz w:val="21"/>
                <w:szCs w:val="21"/>
              </w:rPr>
            </w:pPr>
            <w:r>
              <w:rPr>
                <w:rFonts w:hint="eastAsia" w:ascii="宋体" w:hAnsi="宋体"/>
                <w:sz w:val="21"/>
                <w:szCs w:val="21"/>
              </w:rPr>
              <w:t>旋转速度（r/min）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trPr>
        <w:tc>
          <w:tcPr>
            <w:tcW w:w="1188"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单管法</w:t>
            </w:r>
          </w:p>
        </w:tc>
        <w:tc>
          <w:tcPr>
            <w:tcW w:w="1412" w:type="dxa"/>
            <w:vAlign w:val="center"/>
          </w:tcPr>
          <w:p>
            <w:pPr>
              <w:tabs>
                <w:tab w:val="left" w:pos="5745"/>
              </w:tabs>
              <w:spacing w:line="480" w:lineRule="exact"/>
              <w:jc w:val="center"/>
              <w:rPr>
                <w:rFonts w:ascii="宋体" w:hAnsi="宋体"/>
                <w:sz w:val="21"/>
                <w:szCs w:val="21"/>
              </w:rPr>
            </w:pPr>
          </w:p>
        </w:tc>
        <w:tc>
          <w:tcPr>
            <w:tcW w:w="1411" w:type="dxa"/>
            <w:vAlign w:val="center"/>
          </w:tcPr>
          <w:p>
            <w:pPr>
              <w:tabs>
                <w:tab w:val="left" w:pos="5745"/>
              </w:tabs>
              <w:spacing w:line="480" w:lineRule="exact"/>
              <w:jc w:val="center"/>
              <w:rPr>
                <w:rFonts w:ascii="宋体" w:hAnsi="宋体"/>
                <w:sz w:val="21"/>
                <w:szCs w:val="21"/>
              </w:rPr>
            </w:pP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20</w:t>
            </w:r>
            <w:r>
              <w:rPr>
                <w:rFonts w:hint="eastAsia" w:ascii="宋体" w:hAnsi="宋体"/>
                <w:sz w:val="21"/>
                <w:szCs w:val="21"/>
              </w:rPr>
              <w:t>～</w:t>
            </w:r>
            <w:r>
              <w:rPr>
                <w:rFonts w:hint="eastAsia" w:ascii="Times New Roman" w:hAnsi="Times New Roman"/>
                <w:sz w:val="21"/>
                <w:szCs w:val="21"/>
              </w:rPr>
              <w:t>28</w:t>
            </w: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80</w:t>
            </w:r>
            <w:r>
              <w:rPr>
                <w:rFonts w:hint="eastAsia" w:ascii="宋体" w:hAnsi="宋体"/>
                <w:sz w:val="21"/>
                <w:szCs w:val="21"/>
              </w:rPr>
              <w:t>～</w:t>
            </w:r>
            <w:r>
              <w:rPr>
                <w:rFonts w:hint="eastAsia" w:ascii="Times New Roman" w:hAnsi="Times New Roman"/>
                <w:sz w:val="21"/>
                <w:szCs w:val="21"/>
              </w:rPr>
              <w:t>120</w:t>
            </w:r>
          </w:p>
        </w:tc>
        <w:tc>
          <w:tcPr>
            <w:tcW w:w="1411" w:type="dxa"/>
            <w:vAlign w:val="center"/>
          </w:tcPr>
          <w:p>
            <w:pPr>
              <w:tabs>
                <w:tab w:val="left" w:pos="5745"/>
              </w:tabs>
              <w:spacing w:line="480" w:lineRule="exact"/>
              <w:jc w:val="center"/>
              <w:rPr>
                <w:rFonts w:ascii="宋体" w:hAnsi="宋体"/>
                <w:spacing w:val="-20"/>
                <w:sz w:val="21"/>
                <w:szCs w:val="21"/>
              </w:rPr>
            </w:pPr>
            <w:r>
              <w:rPr>
                <w:rFonts w:hint="eastAsia" w:ascii="Times New Roman" w:hAnsi="Times New Roman"/>
                <w:spacing w:val="-20"/>
                <w:sz w:val="21"/>
                <w:szCs w:val="21"/>
              </w:rPr>
              <w:t>0</w:t>
            </w:r>
            <w:r>
              <w:rPr>
                <w:rFonts w:hint="eastAsia" w:ascii="宋体" w:hAnsi="宋体"/>
                <w:spacing w:val="-20"/>
                <w:sz w:val="21"/>
                <w:szCs w:val="21"/>
              </w:rPr>
              <w:t>.</w:t>
            </w:r>
            <w:r>
              <w:rPr>
                <w:rFonts w:hint="eastAsia" w:ascii="Times New Roman" w:hAnsi="Times New Roman"/>
                <w:spacing w:val="-20"/>
                <w:sz w:val="21"/>
                <w:szCs w:val="21"/>
              </w:rPr>
              <w:t>15</w:t>
            </w:r>
            <w:r>
              <w:rPr>
                <w:rFonts w:hint="eastAsia" w:ascii="宋体" w:hAnsi="宋体"/>
                <w:spacing w:val="-20"/>
                <w:sz w:val="21"/>
                <w:szCs w:val="21"/>
              </w:rPr>
              <w:t>～</w:t>
            </w:r>
            <w:r>
              <w:rPr>
                <w:rFonts w:hint="eastAsia" w:ascii="Times New Roman" w:hAnsi="Times New Roman"/>
                <w:spacing w:val="-20"/>
                <w:sz w:val="21"/>
                <w:szCs w:val="21"/>
              </w:rPr>
              <w:t>0</w:t>
            </w:r>
            <w:r>
              <w:rPr>
                <w:rFonts w:hint="eastAsia" w:ascii="宋体" w:hAnsi="宋体"/>
                <w:spacing w:val="-20"/>
                <w:sz w:val="21"/>
                <w:szCs w:val="21"/>
              </w:rPr>
              <w:t>.</w:t>
            </w:r>
            <w:r>
              <w:rPr>
                <w:rFonts w:hint="eastAsia" w:ascii="Times New Roman" w:hAnsi="Times New Roman"/>
                <w:spacing w:val="-20"/>
                <w:sz w:val="21"/>
                <w:szCs w:val="21"/>
              </w:rPr>
              <w:t>20</w:t>
            </w:r>
          </w:p>
        </w:tc>
        <w:tc>
          <w:tcPr>
            <w:tcW w:w="1409"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88"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二重管法</w:t>
            </w:r>
          </w:p>
        </w:tc>
        <w:tc>
          <w:tcPr>
            <w:tcW w:w="1412" w:type="dxa"/>
            <w:vAlign w:val="center"/>
          </w:tcPr>
          <w:p>
            <w:pPr>
              <w:tabs>
                <w:tab w:val="left" w:pos="5745"/>
              </w:tabs>
              <w:spacing w:line="480" w:lineRule="exact"/>
              <w:jc w:val="center"/>
              <w:rPr>
                <w:rFonts w:ascii="宋体" w:hAnsi="宋体"/>
                <w:sz w:val="21"/>
                <w:szCs w:val="21"/>
              </w:rPr>
            </w:pP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7</w:t>
            </w: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20</w:t>
            </w:r>
            <w:r>
              <w:rPr>
                <w:rFonts w:hint="eastAsia" w:ascii="宋体" w:hAnsi="宋体"/>
                <w:sz w:val="21"/>
                <w:szCs w:val="21"/>
              </w:rPr>
              <w:t>～</w:t>
            </w:r>
            <w:r>
              <w:rPr>
                <w:rFonts w:hint="eastAsia" w:ascii="Times New Roman" w:hAnsi="Times New Roman"/>
                <w:sz w:val="21"/>
                <w:szCs w:val="21"/>
              </w:rPr>
              <w:t>28</w:t>
            </w: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80</w:t>
            </w:r>
            <w:r>
              <w:rPr>
                <w:rFonts w:hint="eastAsia" w:ascii="宋体" w:hAnsi="宋体"/>
                <w:sz w:val="21"/>
                <w:szCs w:val="21"/>
              </w:rPr>
              <w:t>～</w:t>
            </w:r>
            <w:r>
              <w:rPr>
                <w:rFonts w:hint="eastAsia" w:ascii="Times New Roman" w:hAnsi="Times New Roman"/>
                <w:sz w:val="21"/>
                <w:szCs w:val="21"/>
              </w:rPr>
              <w:t>120</w:t>
            </w:r>
          </w:p>
        </w:tc>
        <w:tc>
          <w:tcPr>
            <w:tcW w:w="1411" w:type="dxa"/>
            <w:vAlign w:val="center"/>
          </w:tcPr>
          <w:p>
            <w:pPr>
              <w:tabs>
                <w:tab w:val="left" w:pos="5745"/>
              </w:tabs>
              <w:spacing w:line="480" w:lineRule="exact"/>
              <w:jc w:val="center"/>
              <w:rPr>
                <w:rFonts w:ascii="宋体" w:hAnsi="宋体"/>
                <w:spacing w:val="-20"/>
                <w:sz w:val="21"/>
                <w:szCs w:val="21"/>
              </w:rPr>
            </w:pPr>
            <w:r>
              <w:rPr>
                <w:rFonts w:hint="eastAsia" w:ascii="Times New Roman" w:hAnsi="Times New Roman"/>
                <w:spacing w:val="-20"/>
                <w:sz w:val="21"/>
                <w:szCs w:val="21"/>
              </w:rPr>
              <w:t>0</w:t>
            </w:r>
            <w:r>
              <w:rPr>
                <w:rFonts w:hint="eastAsia" w:ascii="宋体" w:hAnsi="宋体"/>
                <w:spacing w:val="-20"/>
                <w:sz w:val="21"/>
                <w:szCs w:val="21"/>
              </w:rPr>
              <w:t>.</w:t>
            </w:r>
            <w:r>
              <w:rPr>
                <w:rFonts w:hint="eastAsia" w:ascii="Times New Roman" w:hAnsi="Times New Roman"/>
                <w:spacing w:val="-20"/>
                <w:sz w:val="21"/>
                <w:szCs w:val="21"/>
              </w:rPr>
              <w:t>12</w:t>
            </w:r>
            <w:r>
              <w:rPr>
                <w:rFonts w:hint="eastAsia" w:ascii="宋体" w:hAnsi="宋体"/>
                <w:spacing w:val="-20"/>
                <w:sz w:val="21"/>
                <w:szCs w:val="21"/>
              </w:rPr>
              <w:t>～</w:t>
            </w:r>
            <w:r>
              <w:rPr>
                <w:rFonts w:hint="eastAsia" w:ascii="Times New Roman" w:hAnsi="Times New Roman"/>
                <w:spacing w:val="-20"/>
                <w:sz w:val="21"/>
                <w:szCs w:val="21"/>
              </w:rPr>
              <w:t>0</w:t>
            </w:r>
            <w:r>
              <w:rPr>
                <w:rFonts w:hint="eastAsia" w:ascii="宋体" w:hAnsi="宋体"/>
                <w:spacing w:val="-20"/>
                <w:sz w:val="21"/>
                <w:szCs w:val="21"/>
              </w:rPr>
              <w:t>.</w:t>
            </w:r>
            <w:r>
              <w:rPr>
                <w:rFonts w:hint="eastAsia" w:ascii="Times New Roman" w:hAnsi="Times New Roman"/>
                <w:spacing w:val="-20"/>
                <w:sz w:val="21"/>
                <w:szCs w:val="21"/>
              </w:rPr>
              <w:t>25</w:t>
            </w:r>
          </w:p>
        </w:tc>
        <w:tc>
          <w:tcPr>
            <w:tcW w:w="1409"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88"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三重管法</w:t>
            </w:r>
          </w:p>
        </w:tc>
        <w:tc>
          <w:tcPr>
            <w:tcW w:w="1412"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25</w:t>
            </w:r>
            <w:r>
              <w:rPr>
                <w:rFonts w:hint="eastAsia" w:ascii="宋体" w:hAnsi="宋体"/>
                <w:sz w:val="21"/>
                <w:szCs w:val="21"/>
              </w:rPr>
              <w:t>～</w:t>
            </w:r>
            <w:r>
              <w:rPr>
                <w:rFonts w:hint="eastAsia" w:ascii="Times New Roman" w:hAnsi="Times New Roman"/>
                <w:sz w:val="21"/>
                <w:szCs w:val="21"/>
              </w:rPr>
              <w:t>32</w:t>
            </w: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7</w:t>
            </w:r>
          </w:p>
        </w:tc>
        <w:tc>
          <w:tcPr>
            <w:tcW w:w="1411" w:type="dxa"/>
            <w:vAlign w:val="center"/>
          </w:tcPr>
          <w:p>
            <w:pPr>
              <w:tabs>
                <w:tab w:val="left" w:pos="5745"/>
              </w:tabs>
              <w:spacing w:line="480" w:lineRule="exact"/>
              <w:jc w:val="center"/>
              <w:rPr>
                <w:rFonts w:ascii="宋体" w:hAnsi="宋体"/>
                <w:sz w:val="21"/>
                <w:szCs w:val="21"/>
              </w:rPr>
            </w:pPr>
            <w:r>
              <w:rPr>
                <w:rFonts w:hint="eastAsia" w:ascii="宋体" w:hAnsi="宋体"/>
                <w:sz w:val="21"/>
                <w:szCs w:val="21"/>
              </w:rPr>
              <w:t>≥</w:t>
            </w:r>
            <w:r>
              <w:rPr>
                <w:rFonts w:hint="eastAsia" w:ascii="Times New Roman" w:hAnsi="Times New Roman"/>
                <w:sz w:val="21"/>
                <w:szCs w:val="21"/>
              </w:rPr>
              <w:t>0</w:t>
            </w:r>
            <w:r>
              <w:rPr>
                <w:rFonts w:hint="eastAsia" w:ascii="宋体" w:hAnsi="宋体"/>
                <w:sz w:val="21"/>
                <w:szCs w:val="21"/>
              </w:rPr>
              <w:t>.</w:t>
            </w:r>
            <w:r>
              <w:rPr>
                <w:rFonts w:hint="eastAsia" w:ascii="Times New Roman" w:hAnsi="Times New Roman"/>
                <w:sz w:val="21"/>
                <w:szCs w:val="21"/>
              </w:rPr>
              <w:t>3</w:t>
            </w:r>
          </w:p>
        </w:tc>
        <w:tc>
          <w:tcPr>
            <w:tcW w:w="1411"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80</w:t>
            </w:r>
            <w:r>
              <w:rPr>
                <w:rFonts w:hint="eastAsia" w:ascii="宋体" w:hAnsi="宋体"/>
                <w:sz w:val="21"/>
                <w:szCs w:val="21"/>
              </w:rPr>
              <w:t>～</w:t>
            </w:r>
            <w:r>
              <w:rPr>
                <w:rFonts w:hint="eastAsia" w:ascii="Times New Roman" w:hAnsi="Times New Roman"/>
                <w:sz w:val="21"/>
                <w:szCs w:val="21"/>
              </w:rPr>
              <w:t>150</w:t>
            </w:r>
          </w:p>
        </w:tc>
        <w:tc>
          <w:tcPr>
            <w:tcW w:w="1411" w:type="dxa"/>
            <w:vAlign w:val="center"/>
          </w:tcPr>
          <w:p>
            <w:pPr>
              <w:tabs>
                <w:tab w:val="left" w:pos="5745"/>
              </w:tabs>
              <w:spacing w:line="480" w:lineRule="exact"/>
              <w:jc w:val="center"/>
              <w:rPr>
                <w:rFonts w:ascii="宋体" w:hAnsi="宋体"/>
                <w:spacing w:val="-20"/>
                <w:sz w:val="21"/>
                <w:szCs w:val="21"/>
              </w:rPr>
            </w:pPr>
            <w:r>
              <w:rPr>
                <w:rFonts w:hint="eastAsia" w:ascii="Times New Roman" w:hAnsi="Times New Roman"/>
                <w:spacing w:val="-20"/>
                <w:sz w:val="21"/>
                <w:szCs w:val="21"/>
              </w:rPr>
              <w:t>0</w:t>
            </w:r>
            <w:r>
              <w:rPr>
                <w:rFonts w:hint="eastAsia" w:ascii="宋体" w:hAnsi="宋体"/>
                <w:spacing w:val="-20"/>
                <w:sz w:val="21"/>
                <w:szCs w:val="21"/>
              </w:rPr>
              <w:t>.</w:t>
            </w:r>
            <w:r>
              <w:rPr>
                <w:rFonts w:hint="eastAsia" w:ascii="Times New Roman" w:hAnsi="Times New Roman"/>
                <w:spacing w:val="-20"/>
                <w:sz w:val="21"/>
                <w:szCs w:val="21"/>
              </w:rPr>
              <w:t>08</w:t>
            </w:r>
            <w:r>
              <w:rPr>
                <w:rFonts w:hint="eastAsia" w:ascii="宋体" w:hAnsi="宋体"/>
                <w:spacing w:val="-20"/>
                <w:sz w:val="21"/>
                <w:szCs w:val="21"/>
              </w:rPr>
              <w:t>～</w:t>
            </w:r>
            <w:r>
              <w:rPr>
                <w:rFonts w:hint="eastAsia" w:ascii="Times New Roman" w:hAnsi="Times New Roman"/>
                <w:spacing w:val="-20"/>
                <w:sz w:val="21"/>
                <w:szCs w:val="21"/>
              </w:rPr>
              <w:t>0</w:t>
            </w:r>
            <w:r>
              <w:rPr>
                <w:rFonts w:hint="eastAsia" w:ascii="宋体" w:hAnsi="宋体"/>
                <w:spacing w:val="-20"/>
                <w:sz w:val="21"/>
                <w:szCs w:val="21"/>
              </w:rPr>
              <w:t>.</w:t>
            </w:r>
            <w:r>
              <w:rPr>
                <w:rFonts w:hint="eastAsia" w:ascii="Times New Roman" w:hAnsi="Times New Roman"/>
                <w:spacing w:val="-20"/>
                <w:sz w:val="21"/>
                <w:szCs w:val="21"/>
              </w:rPr>
              <w:t>15</w:t>
            </w:r>
          </w:p>
        </w:tc>
        <w:tc>
          <w:tcPr>
            <w:tcW w:w="1409" w:type="dxa"/>
            <w:vAlign w:val="center"/>
          </w:tcPr>
          <w:p>
            <w:pPr>
              <w:tabs>
                <w:tab w:val="left" w:pos="5745"/>
              </w:tabs>
              <w:spacing w:line="480" w:lineRule="exact"/>
              <w:jc w:val="center"/>
              <w:rPr>
                <w:rFonts w:ascii="宋体" w:hAnsi="宋体"/>
                <w:sz w:val="21"/>
                <w:szCs w:val="21"/>
              </w:rPr>
            </w:pPr>
            <w:r>
              <w:rPr>
                <w:rFonts w:hint="eastAsia" w:ascii="Times New Roman" w:hAnsi="Times New Roman"/>
                <w:sz w:val="21"/>
                <w:szCs w:val="21"/>
              </w:rPr>
              <w:t>5</w:t>
            </w:r>
            <w:r>
              <w:rPr>
                <w:rFonts w:hint="eastAsia" w:ascii="宋体" w:hAnsi="宋体"/>
                <w:sz w:val="21"/>
                <w:szCs w:val="21"/>
              </w:rPr>
              <w:t>～</w:t>
            </w:r>
            <w:r>
              <w:rPr>
                <w:rFonts w:hint="eastAsia" w:ascii="Times New Roman" w:hAnsi="Times New Roman"/>
                <w:sz w:val="21"/>
                <w:szCs w:val="21"/>
              </w:rPr>
              <w:t>15</w:t>
            </w:r>
          </w:p>
        </w:tc>
      </w:tr>
    </w:tbl>
    <w:p>
      <w:pPr>
        <w:spacing w:line="480" w:lineRule="exact"/>
        <w:ind w:firstLine="480" w:firstLineChars="200"/>
        <w:rPr>
          <w:rFonts w:hint="eastAsia" w:ascii="Times New Roman" w:hAnsi="Times New Roman" w:cs="宋体"/>
          <w:szCs w:val="28"/>
          <w:highlight w:val="yellow"/>
          <w:lang w:eastAsia="zh-CN" w:bidi="ar"/>
        </w:rPr>
      </w:pPr>
    </w:p>
    <w:p>
      <w:pPr>
        <w:rPr>
          <w:rFonts w:hint="eastAsia" w:ascii="Times New Roman" w:hAnsi="Times New Roman" w:cs="宋体"/>
          <w:szCs w:val="28"/>
          <w:highlight w:val="yellow"/>
          <w:lang w:eastAsia="zh-CN" w:bidi="ar"/>
        </w:rPr>
      </w:pPr>
      <w:r>
        <w:rPr>
          <w:rFonts w:hint="eastAsia" w:ascii="Times New Roman" w:hAnsi="Times New Roman" w:cs="宋体"/>
          <w:szCs w:val="28"/>
          <w:highlight w:val="yellow"/>
          <w:lang w:eastAsia="zh-CN" w:bidi="ar"/>
        </w:rPr>
        <w:br w:type="page"/>
      </w:r>
    </w:p>
    <w:p>
      <w:pPr>
        <w:pStyle w:val="2"/>
      </w:pPr>
      <w:bookmarkStart w:id="1350" w:name="_Toc12190"/>
      <w:bookmarkStart w:id="1351" w:name="_Toc24208"/>
      <w:bookmarkStart w:id="1352" w:name="_Toc1477"/>
      <w:bookmarkStart w:id="1353" w:name="_Toc381951666"/>
      <w:bookmarkStart w:id="1354" w:name="_Toc382559811"/>
      <w:bookmarkStart w:id="1355" w:name="_Toc385579393"/>
      <w:bookmarkStart w:id="1356" w:name="_Toc369733278"/>
      <w:bookmarkStart w:id="1357" w:name="_Toc388643515"/>
      <w:bookmarkStart w:id="1358" w:name="_Toc384300353"/>
      <w:bookmarkStart w:id="1359" w:name="_Toc368170559"/>
      <w:bookmarkStart w:id="1360" w:name="_Toc385577008"/>
      <w:bookmarkStart w:id="1361" w:name="_Toc381950825"/>
      <w:bookmarkStart w:id="1362" w:name="_Toc384309925"/>
      <w:bookmarkStart w:id="1363" w:name="_Toc384304433"/>
      <w:bookmarkStart w:id="1364" w:name="_Toc381951087"/>
      <w:bookmarkStart w:id="1365" w:name="_Toc385518911"/>
      <w:bookmarkStart w:id="1366" w:name="_Toc384300205"/>
      <w:bookmarkStart w:id="1367" w:name="_Toc382559973"/>
      <w:bookmarkStart w:id="1368" w:name="_Toc388643632"/>
      <w:bookmarkStart w:id="1369" w:name="_Toc384310146"/>
      <w:bookmarkStart w:id="1370" w:name="_Toc375039762"/>
      <w:bookmarkStart w:id="1371" w:name="_Toc381951471"/>
      <w:bookmarkStart w:id="1372" w:name="_Toc369880257"/>
      <w:r>
        <w:rPr>
          <w:rFonts w:hint="eastAsia"/>
        </w:rPr>
        <w:t>14 基坑开挖与回填</w:t>
      </w:r>
      <w:bookmarkEnd w:id="1350"/>
      <w:bookmarkEnd w:id="1351"/>
      <w:bookmarkEnd w:id="1352"/>
    </w:p>
    <w:p>
      <w:pPr>
        <w:pStyle w:val="3"/>
      </w:pPr>
      <w:bookmarkStart w:id="1373" w:name="_Toc16057"/>
      <w:bookmarkStart w:id="1374" w:name="_Toc8238"/>
      <w:bookmarkStart w:id="1375" w:name="_Toc2301"/>
      <w:r>
        <w:rPr>
          <w:rFonts w:ascii="Times New Roman" w:hAnsi="Times New Roman"/>
        </w:rPr>
        <w:t>1</w:t>
      </w:r>
      <w:r>
        <w:rPr>
          <w:rFonts w:hint="eastAsia" w:ascii="Times New Roman" w:hAnsi="Times New Roman"/>
        </w:rPr>
        <w:t>4</w:t>
      </w:r>
      <w:r>
        <w:rPr>
          <w:rFonts w:ascii="Times New Roman" w:hAnsi="Times New Roman"/>
        </w:rPr>
        <w:t>.1</w:t>
      </w:r>
      <w:r>
        <w:rPr>
          <w:rFonts w:hint="eastAsia"/>
        </w:rPr>
        <w:t xml:space="preserve">  一般规定</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 xml:space="preserve">.1.1 </w:t>
      </w:r>
      <w:r>
        <w:rPr>
          <w:rFonts w:hint="eastAsia" w:ascii="宋体" w:hAnsi="宋体"/>
          <w:szCs w:val="24"/>
        </w:rPr>
        <w:t>影响基坑开挖的环境因素不止包括基坑开挖范围，考虑到可能采取的土钉、锚索等支护措施，还应尽可能查明基坑周边的建（构）筑物及地下管线等情况，包括类型、埋置深度、宽度、荷载等。</w:t>
      </w:r>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 xml:space="preserve">.1.2 </w:t>
      </w:r>
      <w:r>
        <w:rPr>
          <w:rFonts w:hint="eastAsia" w:ascii="宋体" w:hAnsi="宋体"/>
          <w:szCs w:val="24"/>
        </w:rPr>
        <w:t>目前多数基坑都需要进行支护，很多还涉及到降水问题。在开挖前一定要明确相关的方案。考虑到勘察资料的局限性，任何基坑开挖都要准备好应急预案。</w:t>
      </w:r>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.1.7</w:t>
      </w:r>
      <w:r>
        <w:rPr>
          <w:rFonts w:hint="eastAsia" w:ascii="宋体" w:hAnsi="宋体"/>
          <w:szCs w:val="24"/>
        </w:rPr>
        <w:t xml:space="preserve"> 为减小降水或地下水对基坑安全的影响，应采取相应的措施。基坑顶部可做成向外侧的一个坡度，或在基坑边缘砌筑截水墙，避免降水流向基坑。基坑开挖深度内如有含水量较丰富的土层，应设置导水孔和引水槽。</w:t>
      </w:r>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.1.8</w:t>
      </w:r>
      <w:r>
        <w:rPr>
          <w:rFonts w:hint="eastAsia" w:ascii="宋体" w:hAnsi="宋体"/>
          <w:szCs w:val="24"/>
        </w:rPr>
        <w:t>基坑周边如用作施工场地时，一定要严格控制堆载，具体控制指标应按基坑支护设计方案的要求执行。</w:t>
      </w:r>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.1.9</w:t>
      </w:r>
      <w:r>
        <w:rPr>
          <w:rFonts w:hint="eastAsia" w:ascii="宋体" w:hAnsi="宋体"/>
          <w:szCs w:val="24"/>
        </w:rPr>
        <w:t xml:space="preserve"> 基坑周边地面硬化处理，可降低基坑边通行车辆的荷载对基坑安全的影响，还可防止降水和工地洒水对基坑土的影响。</w:t>
      </w:r>
    </w:p>
    <w:p>
      <w:pPr>
        <w:pStyle w:val="3"/>
      </w:pPr>
      <w:bookmarkStart w:id="1376" w:name="_Toc388643516"/>
      <w:bookmarkStart w:id="1377" w:name="_Toc381951667"/>
      <w:bookmarkStart w:id="1378" w:name="_Toc384310147"/>
      <w:bookmarkStart w:id="1379" w:name="_Toc369880258"/>
      <w:bookmarkStart w:id="1380" w:name="_Toc385577009"/>
      <w:bookmarkStart w:id="1381" w:name="_Toc385518912"/>
      <w:bookmarkStart w:id="1382" w:name="_Toc382559812"/>
      <w:bookmarkStart w:id="1383" w:name="_Toc13099"/>
      <w:bookmarkStart w:id="1384" w:name="_Toc382559974"/>
      <w:bookmarkStart w:id="1385" w:name="_Toc26979"/>
      <w:bookmarkStart w:id="1386" w:name="_Toc384309926"/>
      <w:bookmarkStart w:id="1387" w:name="_Toc381951088"/>
      <w:bookmarkStart w:id="1388" w:name="_Toc384300354"/>
      <w:bookmarkStart w:id="1389" w:name="_Toc368170560"/>
      <w:bookmarkStart w:id="1390" w:name="_Toc375039763"/>
      <w:bookmarkStart w:id="1391" w:name="_Toc381950826"/>
      <w:bookmarkStart w:id="1392" w:name="_Toc388643633"/>
      <w:bookmarkStart w:id="1393" w:name="_Toc369733279"/>
      <w:bookmarkStart w:id="1394" w:name="_Toc385579394"/>
      <w:bookmarkStart w:id="1395" w:name="_Toc381951472"/>
      <w:bookmarkStart w:id="1396" w:name="_Toc384300206"/>
      <w:bookmarkStart w:id="1397" w:name="_Toc26851"/>
      <w:bookmarkStart w:id="1398" w:name="_Toc384304434"/>
      <w:r>
        <w:rPr>
          <w:rFonts w:ascii="Times New Roman" w:hAnsi="Times New Roman"/>
        </w:rPr>
        <w:t>1</w:t>
      </w:r>
      <w:r>
        <w:rPr>
          <w:rFonts w:hint="eastAsia" w:ascii="Times New Roman" w:hAnsi="Times New Roman"/>
        </w:rPr>
        <w:t>4</w:t>
      </w:r>
      <w:r>
        <w:rPr>
          <w:rFonts w:hint="eastAsia"/>
        </w:rPr>
        <w:t>.</w:t>
      </w:r>
      <w:r>
        <w:rPr>
          <w:rFonts w:ascii="Times New Roman" w:hAnsi="Times New Roman"/>
        </w:rPr>
        <w:t>2</w:t>
      </w:r>
      <w:r>
        <w:rPr>
          <w:rFonts w:hint="eastAsia"/>
        </w:rPr>
        <w:t xml:space="preserve">  开挖方案</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.2.2</w:t>
      </w:r>
      <w:r>
        <w:rPr>
          <w:rFonts w:hint="eastAsia" w:ascii="宋体" w:hAnsi="宋体"/>
          <w:szCs w:val="24"/>
        </w:rPr>
        <w:t xml:space="preserve"> 基坑开挖的方法主要取决于基坑支护的形式。不论采用何种支护形式和开挖方法，都要进行严格的监测。应急预案和抢险措施是应对土方开挖不可预知因素的必要方案。通常在基坑开挖过程中，应随时预备砂袋等堆填物，如发现基坑侧壁出现变形位移大于报警值则应立即停止开挖，堆填砂袋，防止基坑继续变形，并立刻进行支护。面积较大的基坑可根据周边环境保护要求、支撑布置形式等因素,采用盆式开挖、岛式开挖等方式施工,并结合开挖方式及时形成支撑或基础底板。</w:t>
      </w:r>
    </w:p>
    <w:p>
      <w:pPr>
        <w:pStyle w:val="3"/>
      </w:pPr>
      <w:bookmarkStart w:id="1399" w:name="_Toc384300355"/>
      <w:bookmarkStart w:id="1400" w:name="_Toc388643634"/>
      <w:bookmarkStart w:id="1401" w:name="_Toc388643517"/>
      <w:bookmarkStart w:id="1402" w:name="_Toc381951668"/>
      <w:bookmarkStart w:id="1403" w:name="_Toc14169"/>
      <w:bookmarkStart w:id="1404" w:name="_Toc382559813"/>
      <w:bookmarkStart w:id="1405" w:name="_Toc381951473"/>
      <w:bookmarkStart w:id="1406" w:name="_Toc384310148"/>
      <w:bookmarkStart w:id="1407" w:name="_Toc375039764"/>
      <w:bookmarkStart w:id="1408" w:name="_Toc368170561"/>
      <w:bookmarkStart w:id="1409" w:name="_Toc2895"/>
      <w:bookmarkStart w:id="1410" w:name="_Toc369733280"/>
      <w:bookmarkStart w:id="1411" w:name="_Toc384304435"/>
      <w:bookmarkStart w:id="1412" w:name="_Toc382559975"/>
      <w:bookmarkStart w:id="1413" w:name="_Toc381951089"/>
      <w:bookmarkStart w:id="1414" w:name="_Toc385579395"/>
      <w:bookmarkStart w:id="1415" w:name="_Toc384300207"/>
      <w:bookmarkStart w:id="1416" w:name="_Toc8105"/>
      <w:bookmarkStart w:id="1417" w:name="_Toc385518913"/>
      <w:bookmarkStart w:id="1418" w:name="_Toc385577010"/>
      <w:bookmarkStart w:id="1419" w:name="_Toc384309927"/>
      <w:bookmarkStart w:id="1420" w:name="_Toc381950827"/>
      <w:bookmarkStart w:id="1421" w:name="_Toc369880259"/>
      <w:r>
        <w:rPr>
          <w:rFonts w:ascii="Times New Roman" w:hAnsi="Times New Roman"/>
        </w:rPr>
        <w:t>1</w:t>
      </w:r>
      <w:r>
        <w:rPr>
          <w:rFonts w:hint="eastAsia" w:ascii="Times New Roman" w:hAnsi="Times New Roman"/>
        </w:rPr>
        <w:t>4</w:t>
      </w:r>
      <w:r>
        <w:rPr>
          <w:rFonts w:hint="eastAsia"/>
        </w:rPr>
        <w:t>.</w:t>
      </w:r>
      <w:r>
        <w:rPr>
          <w:rFonts w:ascii="Times New Roman" w:hAnsi="Times New Roman"/>
        </w:rPr>
        <w:t>3</w:t>
      </w:r>
      <w:r>
        <w:rPr>
          <w:rFonts w:hint="eastAsia"/>
        </w:rPr>
        <w:t xml:space="preserve">  土方开挖</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 xml:space="preserve">.3.2 </w:t>
      </w:r>
      <w:r>
        <w:rPr>
          <w:rFonts w:hint="eastAsia" w:ascii="宋体" w:hAnsi="宋体"/>
          <w:szCs w:val="24"/>
        </w:rPr>
        <w:t>采用土钉、锚杆、支撑等形式时，支护施工是随土方开挖分层进行的，设计将每设置一层锚杆、支撑或土钉后，</w:t>
      </w:r>
      <w:r>
        <w:rPr>
          <w:rFonts w:hint="eastAsia"/>
        </w:rPr>
        <w:t>再</w:t>
      </w:r>
      <w:r>
        <w:rPr>
          <w:rFonts w:hint="eastAsia" w:ascii="宋体" w:hAnsi="宋体"/>
          <w:szCs w:val="24"/>
        </w:rPr>
        <w:t>开挖至下一</w:t>
      </w:r>
      <w:r>
        <w:rPr>
          <w:rFonts w:hint="eastAsia"/>
        </w:rPr>
        <w:t>层</w:t>
      </w:r>
      <w:r>
        <w:rPr>
          <w:rFonts w:hint="eastAsia" w:ascii="宋体" w:hAnsi="宋体"/>
          <w:szCs w:val="24"/>
        </w:rPr>
        <w:t>锚杆、支撑或土钉的施工面作为一个设计工况。因此，如开挖深度超过下层锚杆、支撑或土钉的施工面标高时，支护结构受力及变形会超越设计状况，也就是通常说的超挖。此外，还要考虑支护施工的进度，进行分段开挖。</w:t>
      </w:r>
    </w:p>
    <w:p>
      <w:pPr>
        <w:widowControl w:val="0"/>
        <w:spacing w:line="480" w:lineRule="exact"/>
        <w:rPr>
          <w:rFonts w:ascii="宋体" w:hAnsi="宋体"/>
          <w:szCs w:val="24"/>
        </w:rPr>
      </w:pPr>
      <w:r>
        <w:rPr>
          <w:rFonts w:ascii="Times New Roman" w:hAnsi="Times New Roman"/>
          <w:b/>
          <w:szCs w:val="24"/>
        </w:rPr>
        <w:t>1</w:t>
      </w:r>
      <w:r>
        <w:rPr>
          <w:rFonts w:hint="eastAsia" w:ascii="Times New Roman" w:hAnsi="Times New Roman"/>
          <w:b/>
          <w:szCs w:val="24"/>
        </w:rPr>
        <w:t>4</w:t>
      </w:r>
      <w:r>
        <w:rPr>
          <w:rFonts w:ascii="Times New Roman" w:hAnsi="Times New Roman"/>
          <w:b/>
          <w:szCs w:val="24"/>
        </w:rPr>
        <w:t>.3.4</w:t>
      </w:r>
      <w:r>
        <w:rPr>
          <w:rFonts w:hint="eastAsia" w:ascii="宋体" w:hAnsi="宋体"/>
          <w:szCs w:val="24"/>
        </w:rPr>
        <w:t>支护设计时，将每一步支护施工面作为一个设计工况，每一步的施工作业都要保证其结构强度达到要求，如盲目抢工期，在上一步支护作业完成后立刻开挖，则可能造成支护结构的破坏和坍塌，酿成重大工程事故。基坑开挖的分层厚度宜控制在3m以内,并应配合支护结构的设置和施工的要求,临近基坑边的局部深坑宜在大面积垫层完成后开挖。</w:t>
      </w:r>
    </w:p>
    <w:p>
      <w:pPr>
        <w:spacing w:line="480" w:lineRule="exact"/>
        <w:rPr>
          <w:rFonts w:ascii="宋体" w:hAnsi="宋体"/>
          <w:szCs w:val="24"/>
        </w:rPr>
      </w:pPr>
      <w:r>
        <w:rPr>
          <w:rFonts w:hint="eastAsia" w:ascii="Times New Roman" w:hAnsi="Times New Roman"/>
          <w:b/>
          <w:szCs w:val="24"/>
        </w:rPr>
        <w:t xml:space="preserve">14.3.5 </w:t>
      </w:r>
      <w:r>
        <w:rPr>
          <w:rFonts w:hint="eastAsia" w:ascii="宋体" w:hAnsi="宋体"/>
          <w:szCs w:val="24"/>
        </w:rPr>
        <w:t>灵敏度高的土体在基坑开挖的分层、分段数值上宜小于常规数据，分层厚度宜取0.5-1.5m。</w:t>
      </w:r>
    </w:p>
    <w:p>
      <w:pPr>
        <w:rPr>
          <w:rFonts w:ascii="Times New Roman" w:hAnsi="Times New Roman"/>
          <w:color w:val="FF0000"/>
          <w:szCs w:val="24"/>
        </w:rPr>
      </w:pPr>
    </w:p>
    <w:p>
      <w:pPr>
        <w:pStyle w:val="3"/>
      </w:pPr>
      <w:bookmarkStart w:id="1422" w:name="_Toc29155"/>
      <w:bookmarkStart w:id="1423" w:name="_Toc26703"/>
      <w:bookmarkStart w:id="1424" w:name="_Toc23543"/>
      <w:r>
        <w:t>1</w:t>
      </w:r>
      <w:r>
        <w:rPr>
          <w:rFonts w:hint="eastAsia"/>
        </w:rPr>
        <w:t>4.4  土方回填</w:t>
      </w:r>
      <w:bookmarkEnd w:id="1422"/>
      <w:bookmarkEnd w:id="1423"/>
      <w:bookmarkEnd w:id="1424"/>
    </w:p>
    <w:p>
      <w:pPr>
        <w:widowControl w:val="0"/>
        <w:spacing w:line="480" w:lineRule="exact"/>
        <w:rPr>
          <w:rFonts w:ascii="Times New Roman" w:hAnsi="Times New Roman"/>
          <w:szCs w:val="24"/>
        </w:rPr>
      </w:pPr>
      <w:r>
        <w:rPr>
          <w:rFonts w:hint="eastAsia" w:ascii="Times New Roman" w:hAnsi="Times New Roman"/>
          <w:b/>
          <w:szCs w:val="24"/>
        </w:rPr>
        <w:t xml:space="preserve">14.4.6 </w:t>
      </w:r>
      <w:r>
        <w:rPr>
          <w:rFonts w:hint="eastAsia" w:ascii="Times New Roman" w:hAnsi="宋体"/>
          <w:szCs w:val="24"/>
        </w:rPr>
        <w:t>土料不得采用淤泥和淤泥质土</w:t>
      </w:r>
      <w:r>
        <w:rPr>
          <w:rFonts w:hint="eastAsia" w:ascii="Times New Roman" w:hAnsi="Times New Roman"/>
          <w:szCs w:val="24"/>
        </w:rPr>
        <w:t>,</w:t>
      </w:r>
      <w:r>
        <w:rPr>
          <w:rFonts w:hint="eastAsia" w:ascii="Times New Roman" w:hAnsi="宋体"/>
          <w:szCs w:val="24"/>
        </w:rPr>
        <w:t>有机质含量不大于</w:t>
      </w:r>
      <w:r>
        <w:rPr>
          <w:rFonts w:hint="eastAsia" w:ascii="Times New Roman" w:hAnsi="Times New Roman"/>
          <w:szCs w:val="24"/>
        </w:rPr>
        <w:t>5%,</w:t>
      </w:r>
      <w:r>
        <w:rPr>
          <w:rFonts w:hint="eastAsia" w:ascii="Times New Roman" w:hAnsi="宋体"/>
          <w:szCs w:val="24"/>
        </w:rPr>
        <w:t>土料含水量应满足压实要求。碎石类土或爆破石碴用作回填土料时</w:t>
      </w:r>
      <w:r>
        <w:rPr>
          <w:rFonts w:hint="eastAsia" w:ascii="Times New Roman" w:hAnsi="Times New Roman"/>
          <w:szCs w:val="24"/>
        </w:rPr>
        <w:t>,</w:t>
      </w:r>
      <w:r>
        <w:rPr>
          <w:rFonts w:hint="eastAsia" w:ascii="Times New Roman" w:hAnsi="宋体"/>
          <w:szCs w:val="24"/>
        </w:rPr>
        <w:t>其最大粒径不应大于每层铺填厚度的</w:t>
      </w:r>
      <w:r>
        <w:rPr>
          <w:rFonts w:hint="eastAsia" w:ascii="Times New Roman" w:hAnsi="Times New Roman"/>
          <w:szCs w:val="24"/>
        </w:rPr>
        <w:t>2/3,</w:t>
      </w:r>
      <w:r>
        <w:rPr>
          <w:rFonts w:hint="eastAsia" w:ascii="Times New Roman" w:hAnsi="宋体"/>
          <w:szCs w:val="24"/>
        </w:rPr>
        <w:t>铺填时大块料不应集中</w:t>
      </w:r>
      <w:r>
        <w:rPr>
          <w:rFonts w:hint="eastAsia" w:ascii="Times New Roman" w:hAnsi="Times New Roman"/>
          <w:szCs w:val="24"/>
        </w:rPr>
        <w:t>,</w:t>
      </w:r>
      <w:r>
        <w:rPr>
          <w:rFonts w:hint="eastAsia" w:ascii="Times New Roman" w:hAnsi="宋体"/>
          <w:szCs w:val="24"/>
        </w:rPr>
        <w:t>且不得回填在分段接头处。</w:t>
      </w:r>
    </w:p>
    <w:p>
      <w:pPr>
        <w:widowControl w:val="0"/>
        <w:spacing w:line="480" w:lineRule="exact"/>
        <w:rPr>
          <w:rFonts w:ascii="宋体" w:hAnsi="宋体" w:cs="宋体"/>
          <w:iCs/>
          <w:color w:val="000000" w:themeColor="text1"/>
          <w:sz w:val="28"/>
          <w:szCs w:val="28"/>
          <w14:textFill>
            <w14:solidFill>
              <w14:schemeClr w14:val="tx1"/>
            </w14:solidFill>
          </w14:textFill>
        </w:rPr>
      </w:pPr>
      <w:r>
        <w:rPr>
          <w:rFonts w:hint="eastAsia" w:ascii="Times New Roman" w:hAnsi="Times New Roman"/>
          <w:b/>
          <w:szCs w:val="24"/>
        </w:rPr>
        <w:t>14.4.7</w:t>
      </w:r>
      <w:r>
        <w:rPr>
          <w:rFonts w:hint="eastAsia" w:ascii="Times New Roman" w:hAnsi="宋体"/>
          <w:szCs w:val="24"/>
        </w:rPr>
        <w:t>黏土或排水不良的砂土作为回填土料的</w:t>
      </w:r>
      <w:r>
        <w:rPr>
          <w:rFonts w:hint="eastAsia" w:ascii="Times New Roman" w:hAnsi="Times New Roman"/>
          <w:szCs w:val="24"/>
        </w:rPr>
        <w:t>,</w:t>
      </w:r>
      <w:r>
        <w:rPr>
          <w:rFonts w:hint="eastAsia" w:ascii="Times New Roman" w:hAnsi="宋体"/>
          <w:szCs w:val="24"/>
        </w:rPr>
        <w:t>其最优含水量与相应的最大干容重</w:t>
      </w:r>
      <w:r>
        <w:rPr>
          <w:rFonts w:hint="eastAsia" w:ascii="Times New Roman" w:hAnsi="Times New Roman"/>
          <w:szCs w:val="24"/>
        </w:rPr>
        <w:t>,</w:t>
      </w:r>
      <w:r>
        <w:rPr>
          <w:rFonts w:hint="eastAsia" w:ascii="Times New Roman" w:hAnsi="宋体"/>
          <w:szCs w:val="24"/>
        </w:rPr>
        <w:t>宜通过击实试验测定或通过计算确定。黏土的施工含水量与最优含水量之差可控制为一</w:t>
      </w:r>
      <w:r>
        <w:rPr>
          <w:rFonts w:hint="eastAsia" w:ascii="Times New Roman" w:hAnsi="Times New Roman"/>
          <w:szCs w:val="24"/>
        </w:rPr>
        <w:t>4%</w:t>
      </w:r>
      <w:r>
        <w:rPr>
          <w:rFonts w:hint="eastAsia" w:ascii="Times New Roman" w:hAnsi="宋体"/>
          <w:szCs w:val="24"/>
        </w:rPr>
        <w:t>～</w:t>
      </w:r>
      <w:r>
        <w:rPr>
          <w:rFonts w:hint="eastAsia" w:ascii="Times New Roman" w:hAnsi="Times New Roman"/>
          <w:szCs w:val="24"/>
        </w:rPr>
        <w:t>+2%,</w:t>
      </w:r>
      <w:r>
        <w:rPr>
          <w:rFonts w:hint="eastAsia" w:ascii="Times New Roman" w:hAnsi="宋体"/>
          <w:szCs w:val="24"/>
        </w:rPr>
        <w:t>使用振动辗时</w:t>
      </w:r>
      <w:r>
        <w:rPr>
          <w:rFonts w:hint="eastAsia" w:ascii="Times New Roman" w:hAnsi="Times New Roman"/>
          <w:szCs w:val="24"/>
        </w:rPr>
        <w:t>,</w:t>
      </w:r>
      <w:r>
        <w:rPr>
          <w:rFonts w:hint="eastAsia" w:ascii="Times New Roman" w:hAnsi="宋体"/>
          <w:szCs w:val="24"/>
        </w:rPr>
        <w:t>可控制为</w:t>
      </w:r>
      <w:r>
        <w:rPr>
          <w:rFonts w:hint="eastAsia" w:ascii="Times New Roman" w:hAnsi="Times New Roman"/>
          <w:szCs w:val="24"/>
        </w:rPr>
        <w:t>-6%</w:t>
      </w:r>
      <w:r>
        <w:rPr>
          <w:rFonts w:hint="eastAsia" w:ascii="Times New Roman" w:hAnsi="宋体"/>
          <w:szCs w:val="24"/>
        </w:rPr>
        <w:t>～</w:t>
      </w:r>
      <w:r>
        <w:rPr>
          <w:rFonts w:hint="eastAsia" w:ascii="Times New Roman" w:hAnsi="Times New Roman"/>
          <w:szCs w:val="24"/>
        </w:rPr>
        <w:t>+2%</w:t>
      </w:r>
      <w:r>
        <w:rPr>
          <w:rFonts w:hint="eastAsia" w:ascii="Times New Roman" w:hAnsi="宋体"/>
          <w:szCs w:val="24"/>
        </w:rPr>
        <w:t>。回填压实施工时轮</w:t>
      </w:r>
      <w:r>
        <w:rPr>
          <w:rFonts w:hint="eastAsia" w:ascii="Times New Roman" w:hAnsi="Times New Roman"/>
          <w:szCs w:val="24"/>
        </w:rPr>
        <w:t>(</w:t>
      </w:r>
      <w:r>
        <w:rPr>
          <w:rFonts w:hint="eastAsia" w:ascii="Times New Roman" w:hAnsi="宋体"/>
          <w:szCs w:val="24"/>
        </w:rPr>
        <w:t>夯</w:t>
      </w:r>
      <w:r>
        <w:rPr>
          <w:rFonts w:hint="eastAsia" w:ascii="Times New Roman" w:hAnsi="Times New Roman"/>
          <w:szCs w:val="24"/>
        </w:rPr>
        <w:t>)</w:t>
      </w:r>
      <w:r>
        <w:rPr>
          <w:rFonts w:hint="eastAsia" w:ascii="Times New Roman" w:hAnsi="宋体"/>
          <w:szCs w:val="24"/>
        </w:rPr>
        <w:t>迹应相互搭接</w:t>
      </w:r>
      <w:r>
        <w:rPr>
          <w:rFonts w:hint="eastAsia" w:ascii="Times New Roman" w:hAnsi="Times New Roman"/>
          <w:szCs w:val="24"/>
        </w:rPr>
        <w:t>,</w:t>
      </w:r>
      <w:r>
        <w:rPr>
          <w:rFonts w:hint="eastAsia" w:ascii="Times New Roman" w:hAnsi="宋体"/>
          <w:szCs w:val="24"/>
        </w:rPr>
        <w:t>机械压实应控制行驶速度。各块</w:t>
      </w:r>
      <w:r>
        <w:rPr>
          <w:rFonts w:hint="eastAsia" w:ascii="Times New Roman" w:hAnsi="Times New Roman"/>
          <w:szCs w:val="24"/>
        </w:rPr>
        <w:t>(</w:t>
      </w:r>
      <w:r>
        <w:rPr>
          <w:rFonts w:hint="eastAsia" w:ascii="Times New Roman" w:hAnsi="宋体"/>
          <w:szCs w:val="24"/>
        </w:rPr>
        <w:t>段</w:t>
      </w:r>
      <w:r>
        <w:rPr>
          <w:rFonts w:hint="eastAsia" w:ascii="Times New Roman" w:hAnsi="Times New Roman"/>
          <w:szCs w:val="24"/>
        </w:rPr>
        <w:t>)</w:t>
      </w:r>
      <w:r>
        <w:rPr>
          <w:rFonts w:hint="eastAsia" w:ascii="Times New Roman" w:hAnsi="宋体"/>
          <w:szCs w:val="24"/>
        </w:rPr>
        <w:t>交界面应设置成斜坡形</w:t>
      </w:r>
      <w:r>
        <w:rPr>
          <w:rFonts w:hint="eastAsia" w:ascii="Times New Roman" w:hAnsi="Times New Roman"/>
          <w:szCs w:val="24"/>
        </w:rPr>
        <w:t>,</w:t>
      </w:r>
      <w:r>
        <w:rPr>
          <w:rFonts w:hint="eastAsia" w:ascii="Times New Roman" w:hAnsi="宋体"/>
          <w:szCs w:val="24"/>
        </w:rPr>
        <w:t>辗迹应重叠</w:t>
      </w:r>
      <w:r>
        <w:rPr>
          <w:rFonts w:hint="eastAsia" w:ascii="Times New Roman" w:hAnsi="Times New Roman"/>
          <w:szCs w:val="24"/>
        </w:rPr>
        <w:t>0.5m</w:t>
      </w:r>
      <w:r>
        <w:rPr>
          <w:rFonts w:hint="eastAsia" w:ascii="Times New Roman" w:hAnsi="宋体"/>
          <w:szCs w:val="24"/>
        </w:rPr>
        <w:t>～</w:t>
      </w:r>
      <w:r>
        <w:rPr>
          <w:rFonts w:hint="eastAsia" w:ascii="Times New Roman" w:hAnsi="Times New Roman"/>
          <w:szCs w:val="24"/>
        </w:rPr>
        <w:t>1.0m</w:t>
      </w:r>
      <w:r>
        <w:rPr>
          <w:rFonts w:hint="eastAsia" w:ascii="Times New Roman" w:hAnsi="宋体"/>
          <w:szCs w:val="24"/>
        </w:rPr>
        <w:t>，填土施工时的分层厚度及压实遍数应相关施工规定，上、下层交界面应错开</w:t>
      </w:r>
      <w:r>
        <w:rPr>
          <w:rFonts w:hint="eastAsia" w:ascii="Times New Roman" w:hAnsi="Times New Roman"/>
          <w:szCs w:val="24"/>
        </w:rPr>
        <w:t>,</w:t>
      </w:r>
      <w:r>
        <w:rPr>
          <w:rFonts w:hint="eastAsia" w:ascii="Times New Roman" w:hAnsi="宋体"/>
          <w:szCs w:val="24"/>
        </w:rPr>
        <w:t>错开距离不应小于</w:t>
      </w:r>
      <w:r>
        <w:rPr>
          <w:rFonts w:hint="eastAsia" w:ascii="Times New Roman" w:hAnsi="Times New Roman"/>
          <w:szCs w:val="24"/>
        </w:rPr>
        <w:t>1m</w:t>
      </w:r>
      <w:r>
        <w:rPr>
          <w:rFonts w:hint="eastAsia" w:ascii="Times New Roman" w:hAnsi="宋体"/>
          <w:szCs w:val="24"/>
        </w:rPr>
        <w:t>。</w:t>
      </w:r>
    </w:p>
    <w:p>
      <w:pPr>
        <w:rPr>
          <w:rFonts w:hint="eastAsia" w:ascii="Times New Roman" w:hAnsi="Times New Roman" w:cs="宋体"/>
          <w:szCs w:val="28"/>
          <w:highlight w:val="yellow"/>
          <w:lang w:eastAsia="zh-CN" w:bidi="ar"/>
        </w:rPr>
      </w:pPr>
    </w:p>
    <w:p>
      <w:pPr>
        <w:spacing w:line="480" w:lineRule="exact"/>
        <w:ind w:firstLine="480" w:firstLineChars="200"/>
        <w:rPr>
          <w:rFonts w:hint="eastAsia" w:ascii="Times New Roman" w:hAnsi="Times New Roman" w:cs="宋体"/>
          <w:szCs w:val="28"/>
          <w:highlight w:val="yellow"/>
          <w:lang w:eastAsia="zh-CN" w:bidi="ar"/>
        </w:rPr>
      </w:pPr>
    </w:p>
    <w:p>
      <w:pPr>
        <w:pStyle w:val="2"/>
        <w:bidi w:val="0"/>
        <w:rPr>
          <w:rFonts w:hint="eastAsia"/>
          <w:color w:val="auto"/>
        </w:rPr>
      </w:pPr>
      <w:bookmarkStart w:id="1425" w:name="_Toc17373"/>
      <w:bookmarkStart w:id="1426" w:name="_Toc12656"/>
      <w:bookmarkStart w:id="1427" w:name="_Toc9398"/>
      <w:bookmarkStart w:id="1428" w:name="_Toc28632"/>
      <w:r>
        <w:rPr>
          <w:rFonts w:hint="eastAsia"/>
          <w:color w:val="auto"/>
        </w:rPr>
        <w:t>1</w:t>
      </w:r>
      <w:r>
        <w:rPr>
          <w:rFonts w:hint="eastAsia"/>
          <w:color w:val="auto"/>
          <w:lang w:val="en-US" w:eastAsia="zh-CN"/>
        </w:rPr>
        <w:t>5</w:t>
      </w:r>
      <w:r>
        <w:rPr>
          <w:rFonts w:hint="eastAsia"/>
          <w:color w:val="auto"/>
        </w:rPr>
        <w:t xml:space="preserve"> </w:t>
      </w:r>
      <w:bookmarkEnd w:id="1425"/>
      <w:bookmarkEnd w:id="1426"/>
      <w:bookmarkEnd w:id="1427"/>
      <w:r>
        <w:rPr>
          <w:rFonts w:hint="eastAsia" w:ascii="Times New Roman" w:hAnsi="Times New Roman"/>
          <w:color w:val="auto"/>
        </w:rPr>
        <w:t>环境影响评价及</w:t>
      </w:r>
      <w:r>
        <w:rPr>
          <w:rFonts w:hint="eastAsia" w:ascii="Times New Roman" w:hAnsi="Times New Roman"/>
          <w:color w:val="auto"/>
          <w:lang w:val="en-US" w:eastAsia="zh-CN"/>
        </w:rPr>
        <w:t>保护</w:t>
      </w:r>
      <w:r>
        <w:rPr>
          <w:rFonts w:hint="eastAsia" w:ascii="Times New Roman" w:hAnsi="Times New Roman"/>
          <w:color w:val="auto"/>
        </w:rPr>
        <w:t>措施</w:t>
      </w:r>
      <w:bookmarkEnd w:id="1428"/>
    </w:p>
    <w:p>
      <w:pPr>
        <w:pStyle w:val="4"/>
        <w:widowControl w:val="0"/>
        <w:ind w:left="240" w:right="240" w:firstLine="0" w:firstLineChars="0"/>
        <w:outlineLvl w:val="1"/>
        <w:rPr>
          <w:rFonts w:hint="eastAsia" w:ascii="Times New Roman" w:hAnsi="Times New Roman"/>
          <w:color w:val="auto"/>
        </w:rPr>
      </w:pPr>
      <w:bookmarkStart w:id="1429" w:name="_Toc10119"/>
      <w:r>
        <w:rPr>
          <w:rFonts w:hint="eastAsia" w:ascii="Times New Roman" w:hAnsi="Times New Roman"/>
          <w:color w:val="auto"/>
        </w:rPr>
        <w:t>1</w:t>
      </w:r>
      <w:r>
        <w:rPr>
          <w:rFonts w:hint="eastAsia" w:ascii="Times New Roman" w:hAnsi="Times New Roman"/>
          <w:color w:val="auto"/>
          <w:lang w:val="en-US" w:eastAsia="zh-CN"/>
        </w:rPr>
        <w:t>5</w:t>
      </w:r>
      <w:r>
        <w:rPr>
          <w:rFonts w:hint="eastAsia" w:ascii="Times New Roman" w:hAnsi="Times New Roman"/>
          <w:color w:val="auto"/>
        </w:rPr>
        <w:t>.1  一般规定</w:t>
      </w:r>
      <w:bookmarkEnd w:id="1429"/>
    </w:p>
    <w:p>
      <w:pPr>
        <w:pStyle w:val="12"/>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b/>
          <w:color w:val="auto"/>
        </w:rPr>
      </w:pPr>
    </w:p>
    <w:p>
      <w:pPr>
        <w:pStyle w:val="12"/>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b/>
          <w:color w:val="auto"/>
        </w:rPr>
        <w:t>1</w:t>
      </w:r>
      <w:r>
        <w:rPr>
          <w:rFonts w:hint="eastAsia" w:ascii="Times New Roman" w:hAnsi="Times New Roman"/>
          <w:b/>
          <w:color w:val="auto"/>
          <w:lang w:val="en-US" w:eastAsia="zh-CN"/>
        </w:rPr>
        <w:t>5</w:t>
      </w:r>
      <w:r>
        <w:rPr>
          <w:rFonts w:hint="eastAsia" w:ascii="Times New Roman" w:hAnsi="Times New Roman"/>
          <w:b/>
          <w:color w:val="auto"/>
        </w:rPr>
        <w:t xml:space="preserve">.1.1 </w:t>
      </w:r>
      <w:r>
        <w:rPr>
          <w:rFonts w:hint="eastAsia" w:ascii="Times New Roman" w:hAnsi="Times New Roman" w:eastAsia="宋体" w:cs="Times New Roman"/>
          <w:color w:val="auto"/>
          <w:kern w:val="2"/>
          <w:sz w:val="24"/>
          <w:szCs w:val="24"/>
          <w:lang w:val="en-US" w:eastAsia="zh-CN" w:bidi="ar-SA"/>
        </w:rPr>
        <w:t>根据《山西省住房和城乡建设厅危险性较大的分部分项工程安全管理实施细则》要求，基坑工程监测应对基坑周边2-3倍基坑深度范围内的环境状况进行说明，故本条中要求调查距基坑边2-3倍基坑深度范围内各保护对象的现状，并对调查对象进行了明确。</w:t>
      </w:r>
    </w:p>
    <w:p>
      <w:pPr>
        <w:widowControl w:val="0"/>
        <w:spacing w:line="480" w:lineRule="atLeast"/>
        <w:rPr>
          <w:rFonts w:hint="eastAsia" w:ascii="Times New Roman" w:hAnsi="Times New Roman" w:eastAsia="宋体" w:cs="Times New Roman"/>
          <w:color w:val="FF0000"/>
          <w:kern w:val="2"/>
          <w:sz w:val="24"/>
          <w:szCs w:val="24"/>
          <w:lang w:val="en-US" w:eastAsia="zh-CN" w:bidi="ar-SA"/>
        </w:rPr>
      </w:pPr>
    </w:p>
    <w:p>
      <w:pPr>
        <w:widowControl w:val="0"/>
        <w:spacing w:line="480" w:lineRule="atLeast"/>
        <w:jc w:val="left"/>
        <w:rPr>
          <w:rFonts w:hint="eastAsia"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15.1</w:t>
      </w:r>
      <w:r>
        <w:rPr>
          <w:rFonts w:hint="eastAsia" w:ascii="Times New Roman" w:hAnsi="Times New Roman"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3</w:t>
      </w:r>
      <w:r>
        <w:rPr>
          <w:rFonts w:hint="eastAsia" w:ascii="Times New Roman" w:hAnsi="Times New Roman" w:eastAsia="宋体" w:cs="Times New Roman"/>
          <w:b w:val="0"/>
          <w:bCs/>
          <w:color w:val="auto"/>
          <w:kern w:val="2"/>
          <w:sz w:val="24"/>
          <w:szCs w:val="22"/>
          <w:lang w:val="en-US" w:eastAsia="zh-CN" w:bidi="ar-SA"/>
        </w:rPr>
        <w:t>针对基坑周边环境的保护，在基坑工程的设计时就应进行支护结构及周边的变形控制设计，并提出相应的保护措施。基坑周边的影响对象主要有相邻建筑、地面管线等。</w:t>
      </w:r>
    </w:p>
    <w:p>
      <w:pPr>
        <w:rPr>
          <w:rFonts w:ascii="宋体" w:hAnsi="宋体" w:cs="宋体"/>
          <w:color w:val="FF0000"/>
          <w:sz w:val="28"/>
          <w:szCs w:val="28"/>
        </w:rPr>
      </w:pPr>
    </w:p>
    <w:p>
      <w:pPr>
        <w:pStyle w:val="12"/>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color w:val="auto"/>
          <w:szCs w:val="24"/>
          <w:lang w:val="en-US" w:eastAsia="zh-CN"/>
        </w:rPr>
      </w:pPr>
      <w:r>
        <w:rPr>
          <w:rFonts w:hint="eastAsia" w:ascii="Times New Roman" w:hAnsi="Times New Roman"/>
          <w:b/>
          <w:color w:val="auto"/>
          <w:lang w:val="en-US" w:eastAsia="zh-CN"/>
        </w:rPr>
        <w:t>15.1.4</w:t>
      </w:r>
      <w:r>
        <w:rPr>
          <w:rFonts w:hint="eastAsia" w:ascii="Times New Roman" w:hAnsi="Times New Roman"/>
          <w:color w:val="auto"/>
          <w:szCs w:val="24"/>
          <w:lang w:val="en-US" w:eastAsia="zh-CN"/>
        </w:rPr>
        <w:t>对监测时间范围进行明确，基坑工程回填结束前不仅包括“基坑施工过程”还包括“基坑使用过程”。</w:t>
      </w:r>
    </w:p>
    <w:p>
      <w:pPr>
        <w:pStyle w:val="12"/>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color w:val="auto"/>
          <w:szCs w:val="24"/>
          <w:lang w:val="en-US" w:eastAsia="zh-CN"/>
        </w:rPr>
      </w:pPr>
    </w:p>
    <w:p>
      <w:pPr>
        <w:pStyle w:val="4"/>
        <w:widowControl w:val="0"/>
        <w:ind w:left="240" w:right="240" w:firstLine="0" w:firstLineChars="0"/>
        <w:outlineLvl w:val="1"/>
        <w:rPr>
          <w:rFonts w:ascii="Times New Roman" w:hAnsi="Times New Roman"/>
        </w:rPr>
      </w:pPr>
      <w:bookmarkStart w:id="1430" w:name="_Toc6756"/>
      <w:r>
        <w:rPr>
          <w:rFonts w:hint="eastAsia" w:ascii="Times New Roman" w:hAnsi="Times New Roman"/>
        </w:rPr>
        <w:t>1</w:t>
      </w:r>
      <w:r>
        <w:rPr>
          <w:rFonts w:hint="eastAsia" w:ascii="Times New Roman" w:hAnsi="Times New Roman"/>
          <w:lang w:val="en-US" w:eastAsia="zh-CN"/>
        </w:rPr>
        <w:t>5</w:t>
      </w:r>
      <w:r>
        <w:rPr>
          <w:rFonts w:hint="eastAsia" w:ascii="Times New Roman" w:hAnsi="Times New Roman"/>
        </w:rPr>
        <w:t>.2  评估内容</w:t>
      </w:r>
      <w:bookmarkEnd w:id="1430"/>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lang w:val="en-US" w:eastAsia="zh-CN"/>
        </w:rPr>
      </w:pPr>
      <w:r>
        <w:rPr>
          <w:rFonts w:hint="eastAsia" w:ascii="Times New Roman" w:hAnsi="Times New Roman" w:eastAsia="宋体" w:cs="Times New Roman"/>
          <w:b/>
          <w:color w:val="auto"/>
          <w:kern w:val="2"/>
          <w:sz w:val="24"/>
          <w:szCs w:val="22"/>
          <w:lang w:val="en-US" w:eastAsia="zh-CN" w:bidi="ar-SA"/>
        </w:rPr>
        <w:t xml:space="preserve">15.2.1 </w:t>
      </w:r>
      <w:r>
        <w:rPr>
          <w:rFonts w:hint="eastAsia"/>
          <w:lang w:val="en-US" w:eastAsia="zh-CN"/>
        </w:rPr>
        <w:t>本条规定</w:t>
      </w:r>
      <w:r>
        <w:rPr>
          <w:rFonts w:hint="eastAsia"/>
        </w:rPr>
        <w:t>基坑工程对环境的影响评估</w:t>
      </w:r>
      <w:r>
        <w:rPr>
          <w:rFonts w:hint="eastAsia"/>
          <w:lang w:val="en-US" w:eastAsia="zh-CN"/>
        </w:rPr>
        <w:t>主要从哪些方面进行，主要包括</w:t>
      </w:r>
      <w:r>
        <w:rPr>
          <w:rFonts w:hint="eastAsia"/>
        </w:rPr>
        <w:t>坑内环境与周边环境两部分。</w:t>
      </w:r>
    </w:p>
    <w:p>
      <w:pPr>
        <w:pStyle w:val="12"/>
        <w:rPr>
          <w:rFonts w:ascii="宋体" w:hAnsi="宋体" w:cs="宋体"/>
          <w:sz w:val="28"/>
          <w:szCs w:val="28"/>
        </w:rPr>
      </w:pPr>
    </w:p>
    <w:p>
      <w:pPr>
        <w:pStyle w:val="4"/>
        <w:widowControl w:val="0"/>
        <w:ind w:left="240" w:right="240" w:firstLine="0" w:firstLineChars="0"/>
        <w:outlineLvl w:val="1"/>
        <w:rPr>
          <w:rFonts w:hint="eastAsia" w:ascii="Times New Roman" w:hAnsi="Times New Roman"/>
        </w:rPr>
      </w:pPr>
      <w:bookmarkStart w:id="1431" w:name="_Toc453"/>
      <w:r>
        <w:rPr>
          <w:rFonts w:hint="eastAsia" w:ascii="Times New Roman" w:hAnsi="Times New Roman"/>
        </w:rPr>
        <w:t>1</w:t>
      </w:r>
      <w:r>
        <w:rPr>
          <w:rFonts w:hint="eastAsia" w:ascii="Times New Roman" w:hAnsi="Times New Roman"/>
          <w:lang w:val="en-US" w:eastAsia="zh-CN"/>
        </w:rPr>
        <w:t>5</w:t>
      </w:r>
      <w:r>
        <w:rPr>
          <w:rFonts w:hint="eastAsia" w:ascii="Times New Roman" w:hAnsi="Times New Roman"/>
        </w:rPr>
        <w:t>.3  基坑变形预估</w:t>
      </w:r>
      <w:bookmarkEnd w:id="1431"/>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lang w:val="en-US" w:eastAsia="zh-CN"/>
        </w:rPr>
      </w:pPr>
      <w:r>
        <w:rPr>
          <w:rFonts w:hint="eastAsia" w:ascii="Times New Roman" w:hAnsi="Times New Roman" w:eastAsia="宋体" w:cs="Times New Roman"/>
          <w:b/>
          <w:color w:val="auto"/>
          <w:kern w:val="2"/>
          <w:sz w:val="24"/>
          <w:szCs w:val="22"/>
          <w:lang w:val="en-US" w:eastAsia="zh-CN" w:bidi="ar-SA"/>
        </w:rPr>
        <w:t>15.3.1</w:t>
      </w:r>
      <w:r>
        <w:rPr>
          <w:rFonts w:hint="eastAsia"/>
          <w:lang w:val="en-US" w:eastAsia="zh-CN"/>
        </w:rPr>
        <w:t xml:space="preserve"> 本条预估墙后地表沉降的方法是建立在大基坑统计资料的基础上的经验方法,该方法预测的是地表的沉降,并不考虑周围建(构)筑物存在的影响,可以用来间接评估基坑开挖可能对周围环境的影响。</w:t>
      </w:r>
    </w:p>
    <w:p>
      <w:pPr>
        <w:bidi w:val="0"/>
      </w:pPr>
      <w:r>
        <w:br w:type="page"/>
      </w:r>
    </w:p>
    <w:p>
      <w:pPr>
        <w:pStyle w:val="2"/>
        <w:bidi w:val="0"/>
        <w:rPr>
          <w:rFonts w:hint="default" w:eastAsia="黑体"/>
          <w:lang w:val="en-US" w:eastAsia="zh-CN"/>
        </w:rPr>
      </w:pPr>
      <w:bookmarkStart w:id="1432" w:name="_Toc14763"/>
      <w:bookmarkStart w:id="1433" w:name="_Toc10807"/>
      <w:bookmarkStart w:id="1434" w:name="_Toc20473"/>
      <w:bookmarkStart w:id="1435" w:name="_Toc8871"/>
      <w:r>
        <w:rPr>
          <w:rFonts w:hint="eastAsia"/>
        </w:rPr>
        <w:t>1</w:t>
      </w:r>
      <w:r>
        <w:rPr>
          <w:rFonts w:hint="eastAsia"/>
          <w:lang w:val="en-US" w:eastAsia="zh-CN"/>
        </w:rPr>
        <w:t>6</w:t>
      </w:r>
      <w:r>
        <w:rPr>
          <w:rFonts w:hint="eastAsia"/>
        </w:rPr>
        <w:t xml:space="preserve"> </w:t>
      </w:r>
      <w:bookmarkEnd w:id="1432"/>
      <w:bookmarkEnd w:id="1433"/>
      <w:bookmarkEnd w:id="1434"/>
      <w:r>
        <w:rPr>
          <w:rFonts w:hint="eastAsia"/>
          <w:lang w:val="en-US" w:eastAsia="zh-CN"/>
        </w:rPr>
        <w:t>基坑监测</w:t>
      </w:r>
      <w:bookmarkEnd w:id="1435"/>
    </w:p>
    <w:p>
      <w:pPr>
        <w:pStyle w:val="3"/>
        <w:bidi w:val="0"/>
      </w:pPr>
      <w:bookmarkStart w:id="1436" w:name="_Toc13858"/>
      <w:r>
        <w:rPr>
          <w:rFonts w:hint="eastAsia"/>
        </w:rPr>
        <w:t>1</w:t>
      </w:r>
      <w:r>
        <w:rPr>
          <w:rFonts w:hint="eastAsia"/>
          <w:lang w:val="en-US" w:eastAsia="zh-CN"/>
        </w:rPr>
        <w:t>6</w:t>
      </w:r>
      <w:r>
        <w:rPr>
          <w:rFonts w:hint="eastAsia"/>
        </w:rPr>
        <w:t>.1  一般规定</w:t>
      </w:r>
      <w:bookmarkEnd w:id="1436"/>
    </w:p>
    <w:p>
      <w:pPr>
        <w:widowControl w:val="0"/>
        <w:spacing w:line="480" w:lineRule="atLeast"/>
        <w:rPr>
          <w:rFonts w:ascii="Times New Roman" w:hAnsi="Times New Roman"/>
          <w:szCs w:val="24"/>
        </w:rPr>
      </w:pPr>
      <w:r>
        <w:rPr>
          <w:rFonts w:hint="eastAsia" w:ascii="Times New Roman" w:hAnsi="Times New Roman"/>
          <w:b/>
        </w:rPr>
        <w:t>1</w:t>
      </w:r>
      <w:r>
        <w:rPr>
          <w:rFonts w:hint="eastAsia" w:ascii="Times New Roman" w:hAnsi="Times New Roman"/>
          <w:b/>
          <w:lang w:val="en-US" w:eastAsia="zh-CN"/>
        </w:rPr>
        <w:t>6</w:t>
      </w:r>
      <w:r>
        <w:rPr>
          <w:rFonts w:hint="eastAsia" w:ascii="Times New Roman" w:hAnsi="Times New Roman"/>
          <w:b/>
        </w:rPr>
        <w:t>.1.1</w:t>
      </w:r>
      <w:r>
        <w:rPr>
          <w:rFonts w:hint="eastAsia" w:ascii="Times New Roman" w:hAnsi="Times New Roman"/>
          <w:szCs w:val="24"/>
          <w:lang w:val="en-US" w:eastAsia="zh-CN"/>
        </w:rPr>
        <w:t>本条对基坑监测的时间范围及监测形式进行了规定，即在基坑施工至回填结束前均需进行监测，监测既要求施工方自行监测，也要求要有建设单位委托的第三方监测</w:t>
      </w:r>
      <w:r>
        <w:rPr>
          <w:rFonts w:hint="eastAsia" w:ascii="Times New Roman" w:hAnsi="Times New Roman"/>
          <w:szCs w:val="24"/>
        </w:rPr>
        <w:t>。</w:t>
      </w:r>
    </w:p>
    <w:p>
      <w:pPr>
        <w:widowControl w:val="0"/>
        <w:spacing w:line="480" w:lineRule="exact"/>
        <w:rPr>
          <w:rFonts w:hint="eastAsia" w:ascii="Times New Roman" w:hAnsi="Times New Roman"/>
          <w:b/>
        </w:rPr>
      </w:pPr>
    </w:p>
    <w:p>
      <w:pPr>
        <w:pStyle w:val="12"/>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b/>
          <w:kern w:val="2"/>
          <w:sz w:val="24"/>
          <w:szCs w:val="22"/>
          <w:lang w:val="en-US" w:eastAsia="zh-CN" w:bidi="ar-SA"/>
        </w:rPr>
        <w:t>1</w:t>
      </w:r>
      <w:r>
        <w:rPr>
          <w:rFonts w:hint="eastAsia" w:ascii="Times New Roman" w:hAnsi="Times New Roman" w:cs="Times New Roman"/>
          <w:b/>
          <w:kern w:val="2"/>
          <w:sz w:val="24"/>
          <w:szCs w:val="22"/>
          <w:lang w:val="en-US" w:eastAsia="zh-CN" w:bidi="ar-SA"/>
        </w:rPr>
        <w:t>6</w:t>
      </w:r>
      <w:r>
        <w:rPr>
          <w:rFonts w:hint="eastAsia" w:ascii="Times New Roman" w:hAnsi="Times New Roman" w:eastAsia="宋体" w:cs="Times New Roman"/>
          <w:b/>
          <w:kern w:val="2"/>
          <w:sz w:val="24"/>
          <w:szCs w:val="22"/>
          <w:lang w:val="en-US" w:eastAsia="zh-CN" w:bidi="ar-SA"/>
        </w:rPr>
        <w:t>.1.3</w:t>
      </w:r>
      <w:r>
        <w:rPr>
          <w:rFonts w:hint="eastAsia" w:ascii="Times New Roman" w:hAnsi="Times New Roman" w:eastAsia="宋体" w:cs="Times New Roman"/>
          <w:kern w:val="2"/>
          <w:sz w:val="24"/>
          <w:szCs w:val="24"/>
          <w:lang w:val="en-US" w:eastAsia="zh-CN" w:bidi="ar-SA"/>
        </w:rPr>
        <w:t>本条内容对原条文进行了调整，具体内容与《山西省住房和城乡建设厅危险性较大的分部分项工程安全管理实施细则》相关要求一致。</w:t>
      </w:r>
    </w:p>
    <w:p>
      <w:pPr>
        <w:widowControl w:val="0"/>
        <w:rPr>
          <w:rFonts w:hint="eastAsia" w:ascii="宋体" w:hAnsi="宋体" w:cs="宋体"/>
          <w:color w:val="000000" w:themeColor="text1"/>
          <w:sz w:val="28"/>
          <w:szCs w:val="28"/>
          <w14:textFill>
            <w14:solidFill>
              <w14:schemeClr w14:val="tx1"/>
            </w14:solidFill>
          </w14:textFill>
        </w:rPr>
      </w:pPr>
    </w:p>
    <w:p>
      <w:pPr>
        <w:pStyle w:val="12"/>
        <w:rPr>
          <w:rFonts w:ascii="宋体" w:hAnsi="宋体" w:cs="宋体"/>
          <w:i/>
          <w:iCs/>
          <w:color w:val="000000"/>
          <w:sz w:val="28"/>
          <w:szCs w:val="28"/>
        </w:rPr>
      </w:pPr>
      <w:bookmarkStart w:id="1437" w:name="_Toc7360"/>
      <w:bookmarkStart w:id="1438" w:name="_Toc2753"/>
      <w:bookmarkStart w:id="1439" w:name="_Toc1012"/>
      <w:r>
        <w:rPr>
          <w:rFonts w:hint="eastAsia" w:ascii="Times New Roman" w:hAnsi="Times New Roman" w:eastAsia="宋体" w:cs="Times New Roman"/>
          <w:b/>
          <w:kern w:val="2"/>
          <w:sz w:val="24"/>
          <w:szCs w:val="22"/>
          <w:lang w:val="en-US" w:eastAsia="zh-CN" w:bidi="ar-SA"/>
        </w:rPr>
        <w:t>1</w:t>
      </w:r>
      <w:r>
        <w:rPr>
          <w:rFonts w:hint="eastAsia" w:ascii="Times New Roman" w:hAnsi="Times New Roman" w:cs="Times New Roman"/>
          <w:b/>
          <w:kern w:val="2"/>
          <w:sz w:val="24"/>
          <w:szCs w:val="22"/>
          <w:lang w:val="en-US" w:eastAsia="zh-CN" w:bidi="ar-SA"/>
        </w:rPr>
        <w:t>6</w:t>
      </w:r>
      <w:r>
        <w:rPr>
          <w:rFonts w:hint="eastAsia" w:ascii="Times New Roman" w:hAnsi="Times New Roman" w:eastAsia="宋体" w:cs="Times New Roman"/>
          <w:b/>
          <w:kern w:val="2"/>
          <w:sz w:val="24"/>
          <w:szCs w:val="22"/>
          <w:lang w:val="en-US" w:eastAsia="zh-CN" w:bidi="ar-SA"/>
        </w:rPr>
        <w:t>.1.</w:t>
      </w:r>
      <w:r>
        <w:rPr>
          <w:rFonts w:hint="eastAsia" w:ascii="Times New Roman" w:hAnsi="Times New Roman" w:cs="Times New Roman"/>
          <w:b/>
          <w:kern w:val="2"/>
          <w:sz w:val="24"/>
          <w:szCs w:val="22"/>
          <w:lang w:val="en-US" w:eastAsia="zh-CN" w:bidi="ar-SA"/>
        </w:rPr>
        <w:t>5</w:t>
      </w:r>
      <w:r>
        <w:rPr>
          <w:rFonts w:hint="eastAsia" w:ascii="Times New Roman" w:hAnsi="Times New Roman" w:eastAsia="宋体" w:cs="Times New Roman"/>
          <w:kern w:val="2"/>
          <w:sz w:val="24"/>
          <w:szCs w:val="24"/>
          <w:lang w:val="en-US" w:eastAsia="zh-CN" w:bidi="ar-SA"/>
        </w:rPr>
        <w:t>本条</w:t>
      </w:r>
      <w:r>
        <w:rPr>
          <w:rFonts w:hint="eastAsia" w:ascii="Times New Roman" w:hAnsi="Times New Roman" w:cs="Times New Roman"/>
          <w:kern w:val="2"/>
          <w:sz w:val="24"/>
          <w:szCs w:val="24"/>
          <w:lang w:val="en-US" w:eastAsia="zh-CN" w:bidi="ar-SA"/>
        </w:rPr>
        <w:t>对基坑巡视检查内容进行了明确，具体与本规范第八章中支护形式相对应。</w:t>
      </w:r>
    </w:p>
    <w:p>
      <w:pPr>
        <w:widowControl w:val="0"/>
        <w:spacing w:line="480" w:lineRule="exact"/>
        <w:jc w:val="left"/>
        <w:outlineLvl w:val="1"/>
        <w:rPr>
          <w:rFonts w:hint="eastAsia" w:ascii="宋体" w:hAnsi="宋体"/>
          <w:b/>
          <w:bCs/>
          <w:color w:val="4472C4" w:themeColor="accent5"/>
          <w:szCs w:val="24"/>
          <w14:textFill>
            <w14:solidFill>
              <w14:schemeClr w14:val="accent5"/>
            </w14:solidFill>
          </w14:textFill>
        </w:rPr>
      </w:pPr>
    </w:p>
    <w:bookmarkEnd w:id="1437"/>
    <w:bookmarkEnd w:id="1438"/>
    <w:bookmarkEnd w:id="1439"/>
    <w:p>
      <w:pPr>
        <w:pStyle w:val="3"/>
        <w:bidi w:val="0"/>
      </w:pPr>
      <w:bookmarkStart w:id="1440" w:name="_Toc26558"/>
      <w:r>
        <w:t>1</w:t>
      </w:r>
      <w:r>
        <w:rPr>
          <w:rFonts w:hint="eastAsia"/>
          <w:lang w:val="en-US" w:eastAsia="zh-CN"/>
        </w:rPr>
        <w:t>6</w:t>
      </w:r>
      <w:r>
        <w:t>.2  监测点布置</w:t>
      </w:r>
      <w:bookmarkEnd w:id="1440"/>
    </w:p>
    <w:p>
      <w:pPr>
        <w:widowControl w:val="0"/>
        <w:spacing w:line="480" w:lineRule="exact"/>
        <w:rPr>
          <w:rFonts w:ascii="Times New Roman" w:hAnsi="Times New Roman"/>
          <w:szCs w:val="24"/>
        </w:rPr>
      </w:pPr>
      <w:r>
        <w:rPr>
          <w:rFonts w:ascii="Times New Roman" w:hAnsi="Times New Roman"/>
          <w:b/>
        </w:rPr>
        <w:t>1</w:t>
      </w:r>
      <w:r>
        <w:rPr>
          <w:rFonts w:hint="eastAsia" w:ascii="Times New Roman" w:hAnsi="Times New Roman"/>
          <w:b/>
          <w:lang w:val="en-US" w:eastAsia="zh-CN"/>
        </w:rPr>
        <w:t>6</w:t>
      </w:r>
      <w:r>
        <w:rPr>
          <w:rFonts w:ascii="Times New Roman" w:hAnsi="Times New Roman"/>
          <w:b/>
        </w:rPr>
        <w:t>.2.1</w:t>
      </w:r>
      <w:r>
        <w:rPr>
          <w:rFonts w:hint="eastAsia" w:ascii="Times New Roman" w:hAnsi="Times New Roman"/>
          <w:b/>
          <w:lang w:val="en-US" w:eastAsia="zh-CN"/>
        </w:rPr>
        <w:t xml:space="preserve"> </w:t>
      </w:r>
      <w:r>
        <w:rPr>
          <w:rFonts w:hint="eastAsia" w:ascii="Times New Roman" w:hAnsi="Times New Roman" w:eastAsia="宋体" w:cs="Times New Roman"/>
          <w:kern w:val="2"/>
          <w:sz w:val="24"/>
          <w:szCs w:val="24"/>
          <w:lang w:val="en-US" w:eastAsia="zh-CN" w:bidi="ar-SA"/>
        </w:rPr>
        <w:t>本条对基坑监测点布置的考虑因素进行了规定，为保证监测工作的可持续性，强调了监测期间建设方及施工方应协助监测单位保护监测设施。</w:t>
      </w:r>
    </w:p>
    <w:p>
      <w:pPr>
        <w:pStyle w:val="3"/>
        <w:bidi w:val="0"/>
        <w:rPr>
          <w:rFonts w:hint="eastAsia" w:ascii="Times New Roman" w:hAnsi="Times New Roman"/>
          <w:szCs w:val="22"/>
        </w:rPr>
      </w:pPr>
    </w:p>
    <w:p>
      <w:pPr>
        <w:pStyle w:val="3"/>
        <w:bidi w:val="0"/>
      </w:pPr>
      <w:bookmarkStart w:id="1441" w:name="_Toc25456"/>
      <w:r>
        <w:rPr>
          <w:rFonts w:hint="eastAsia" w:ascii="Times New Roman" w:hAnsi="Times New Roman"/>
          <w:szCs w:val="22"/>
        </w:rPr>
        <w:t>1</w:t>
      </w:r>
      <w:r>
        <w:rPr>
          <w:rFonts w:hint="eastAsia" w:ascii="Times New Roman" w:hAnsi="Times New Roman"/>
          <w:szCs w:val="22"/>
          <w:lang w:val="en-US" w:eastAsia="zh-CN"/>
        </w:rPr>
        <w:t>6</w:t>
      </w:r>
      <w:r>
        <w:rPr>
          <w:rFonts w:hint="eastAsia" w:ascii="Times New Roman" w:hAnsi="Times New Roman"/>
          <w:szCs w:val="22"/>
        </w:rPr>
        <w:t>.3</w:t>
      </w:r>
      <w:r>
        <w:rPr>
          <w:rFonts w:hint="eastAsia"/>
        </w:rPr>
        <w:t xml:space="preserve">  监测方法</w:t>
      </w:r>
      <w:bookmarkEnd w:id="1441"/>
    </w:p>
    <w:p>
      <w:pPr>
        <w:widowControl w:val="0"/>
        <w:spacing w:line="480" w:lineRule="exact"/>
        <w:rPr>
          <w:rFonts w:hint="eastAsia" w:ascii="Times New Roman" w:hAnsi="Times New Roman" w:cs="Times New Roman"/>
          <w:kern w:val="2"/>
          <w:sz w:val="24"/>
          <w:szCs w:val="24"/>
          <w:lang w:val="en-US" w:eastAsia="zh-CN" w:bidi="ar-SA"/>
        </w:rPr>
      </w:pPr>
      <w:r>
        <w:rPr>
          <w:rFonts w:ascii="Times New Roman" w:hAnsi="Times New Roman"/>
          <w:b/>
        </w:rPr>
        <w:t>1</w:t>
      </w:r>
      <w:r>
        <w:rPr>
          <w:rFonts w:hint="eastAsia" w:ascii="Times New Roman" w:hAnsi="Times New Roman"/>
          <w:b/>
          <w:lang w:val="en-US" w:eastAsia="zh-CN"/>
        </w:rPr>
        <w:t>6</w:t>
      </w:r>
      <w:r>
        <w:rPr>
          <w:rFonts w:ascii="Times New Roman" w:hAnsi="Times New Roman"/>
          <w:b/>
        </w:rPr>
        <w:t>.</w:t>
      </w:r>
      <w:r>
        <w:rPr>
          <w:rFonts w:hint="eastAsia" w:ascii="Times New Roman" w:hAnsi="Times New Roman"/>
          <w:b/>
          <w:lang w:val="en-US" w:eastAsia="zh-CN"/>
        </w:rPr>
        <w:t>3</w:t>
      </w:r>
      <w:r>
        <w:rPr>
          <w:rFonts w:ascii="Times New Roman" w:hAnsi="Times New Roman"/>
          <w:b/>
        </w:rPr>
        <w:t>.1</w:t>
      </w:r>
      <w:r>
        <w:rPr>
          <w:rFonts w:hint="eastAsia" w:ascii="Times New Roman" w:hAnsi="Times New Roman"/>
          <w:b/>
          <w:lang w:val="en-US" w:eastAsia="zh-CN"/>
        </w:rPr>
        <w:t xml:space="preserve"> </w:t>
      </w:r>
      <w:r>
        <w:rPr>
          <w:rFonts w:hint="eastAsia" w:ascii="Times New Roman" w:hAnsi="Times New Roman" w:eastAsia="宋体" w:cs="Times New Roman"/>
          <w:kern w:val="2"/>
          <w:sz w:val="24"/>
          <w:szCs w:val="24"/>
          <w:lang w:val="en-US" w:eastAsia="zh-CN" w:bidi="ar-SA"/>
        </w:rPr>
        <w:t>本条对基坑工程的现场监测的方法提出了总要求，并把仪器监测与巡视检查放在同等重要的地位，</w:t>
      </w:r>
      <w:r>
        <w:rPr>
          <w:rFonts w:hint="eastAsia" w:ascii="Times New Roman" w:hAnsi="Times New Roman" w:cs="Times New Roman"/>
          <w:kern w:val="2"/>
          <w:sz w:val="24"/>
          <w:szCs w:val="24"/>
          <w:lang w:val="en-US" w:eastAsia="zh-CN" w:bidi="ar-SA"/>
        </w:rPr>
        <w:t>根据大量工程实践表明，巡视检查能够有效弥补仪器监测的不足，应该提高对巡视检查这一方法的重视。</w:t>
      </w:r>
    </w:p>
    <w:p>
      <w:pPr>
        <w:pStyle w:val="3"/>
        <w:bidi w:val="0"/>
        <w:rPr>
          <w:rFonts w:hint="eastAsia"/>
        </w:rPr>
      </w:pPr>
    </w:p>
    <w:p>
      <w:pPr>
        <w:pStyle w:val="3"/>
        <w:bidi w:val="0"/>
      </w:pPr>
      <w:bookmarkStart w:id="1442" w:name="_Toc180"/>
      <w:r>
        <w:rPr>
          <w:rFonts w:hint="eastAsia"/>
        </w:rPr>
        <w:t>1</w:t>
      </w:r>
      <w:r>
        <w:rPr>
          <w:rFonts w:hint="eastAsia"/>
          <w:lang w:val="en-US" w:eastAsia="zh-CN"/>
        </w:rPr>
        <w:t>6</w:t>
      </w:r>
      <w:r>
        <w:rPr>
          <w:rFonts w:hint="eastAsia"/>
        </w:rPr>
        <w:t>.4  报警值</w:t>
      </w:r>
      <w:bookmarkEnd w:id="1442"/>
    </w:p>
    <w:p>
      <w:pPr>
        <w:widowControl w:val="0"/>
        <w:rPr>
          <w:rFonts w:hint="eastAsia" w:ascii="宋体" w:hAnsi="宋体" w:cs="宋体"/>
          <w:i/>
          <w:iCs/>
          <w:color w:val="000000" w:themeColor="text1"/>
          <w:sz w:val="28"/>
          <w:szCs w:val="28"/>
          <w14:textFill>
            <w14:solidFill>
              <w14:schemeClr w14:val="tx1"/>
            </w14:solidFill>
          </w14:textFill>
        </w:rPr>
      </w:pPr>
      <w:r>
        <w:rPr>
          <w:rFonts w:hint="eastAsia" w:ascii="Times New Roman" w:hAnsi="Times New Roman"/>
          <w:b/>
          <w:lang w:val="en-US" w:eastAsia="zh-CN"/>
        </w:rPr>
        <w:t>16.4.3</w:t>
      </w:r>
      <w:r>
        <w:rPr>
          <w:rFonts w:hint="eastAsia" w:ascii="宋体" w:hAnsi="宋体"/>
          <w:szCs w:val="24"/>
        </w:rPr>
        <w:t>基坑支护体系监测项目的报警值</w:t>
      </w:r>
      <w:r>
        <w:rPr>
          <w:rFonts w:hint="eastAsia" w:ascii="宋体" w:hAnsi="宋体"/>
          <w:szCs w:val="24"/>
          <w:lang w:val="en-US" w:eastAsia="zh-CN"/>
        </w:rPr>
        <w:t>应由</w:t>
      </w:r>
      <w:r>
        <w:rPr>
          <w:rFonts w:hint="eastAsia" w:ascii="宋体" w:hAnsi="宋体"/>
          <w:szCs w:val="24"/>
        </w:rPr>
        <w:t>设计</w:t>
      </w:r>
      <w:r>
        <w:rPr>
          <w:rFonts w:hint="eastAsia" w:ascii="宋体" w:hAnsi="宋体"/>
          <w:szCs w:val="24"/>
          <w:lang w:val="en-US" w:eastAsia="zh-CN"/>
        </w:rPr>
        <w:t>单位</w:t>
      </w:r>
      <w:r>
        <w:rPr>
          <w:rFonts w:hint="eastAsia" w:ascii="宋体" w:hAnsi="宋体"/>
          <w:szCs w:val="24"/>
        </w:rPr>
        <w:t>明确</w:t>
      </w:r>
      <w:r>
        <w:rPr>
          <w:rFonts w:hint="eastAsia" w:ascii="宋体" w:hAnsi="宋体"/>
          <w:szCs w:val="24"/>
          <w:lang w:eastAsia="zh-CN"/>
        </w:rPr>
        <w:t>，</w:t>
      </w:r>
      <w:r>
        <w:rPr>
          <w:rFonts w:hint="eastAsia" w:ascii="宋体" w:hAnsi="宋体"/>
          <w:szCs w:val="24"/>
          <w:lang w:val="en-US" w:eastAsia="zh-CN"/>
        </w:rPr>
        <w:t>本条中所提变化速率及累计值仅为参考，可根据基坑工程实际条件参考使用。</w:t>
      </w:r>
    </w:p>
    <w:p>
      <w:pPr>
        <w:widowControl w:val="0"/>
        <w:rPr>
          <w:rFonts w:hint="eastAsia" w:ascii="宋体" w:hAnsi="宋体" w:cs="宋体"/>
          <w:i/>
          <w:iCs/>
          <w:color w:val="000000" w:themeColor="text1"/>
          <w:sz w:val="28"/>
          <w:szCs w:val="28"/>
          <w14:textFill>
            <w14:solidFill>
              <w14:schemeClr w14:val="tx1"/>
            </w14:solidFill>
          </w14:textFill>
        </w:rPr>
      </w:pPr>
    </w:p>
    <w:sectPr>
      <w:footerReference r:id="rId6" w:type="default"/>
      <w:pgSz w:w="12240" w:h="15840"/>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Arial Unicode MS">
    <w:altName w:val="DejaVu Sans"/>
    <w:panose1 w:val="020B0604020202020204"/>
    <w:charset w:val="86"/>
    <w:family w:val="swiss"/>
    <w:pitch w:val="default"/>
    <w:sig w:usb0="00000000" w:usb1="00000000" w:usb2="0000003F" w:usb3="00000000" w:csb0="603F01FF" w:csb1="FFFF0000"/>
  </w:font>
  <w:font w:name="仿宋">
    <w:altName w:val="方正仿宋_GBK"/>
    <w:panose1 w:val="02010609060101010101"/>
    <w:charset w:val="86"/>
    <w:family w:val="modern"/>
    <w:pitch w:val="default"/>
    <w:sig w:usb0="00000000" w:usb1="00000000" w:usb2="00000016" w:usb3="00000000" w:csb0="00040001" w:csb1="00000000"/>
  </w:font>
  <w:font w:name="Tahoma">
    <w:altName w:val="DejaVu Sans"/>
    <w:panose1 w:val="020B0604030504040204"/>
    <w:charset w:val="00"/>
    <w:family w:val="swiss"/>
    <w:pitch w:val="default"/>
    <w:sig w:usb0="00000000" w:usb1="00000000" w:usb2="00000029" w:usb3="00000000" w:csb0="200101FF" w:csb1="20280000"/>
  </w:font>
  <w:font w:name="微软雅黑">
    <w:altName w:val="方正黑体_GBK"/>
    <w:panose1 w:val="020B0503020204020204"/>
    <w:charset w:val="86"/>
    <w:family w:val="swiss"/>
    <w:pitch w:val="default"/>
    <w:sig w:usb0="00000000" w:usb1="00000000" w:usb2="00000016" w:usb3="00000000" w:csb0="0004001F" w:csb1="00000000"/>
  </w:font>
  <w:font w:name="Cambria Math">
    <w:altName w:val="DejaVu Math TeX Gyre"/>
    <w:panose1 w:val="02040503050406030204"/>
    <w:charset w:val="00"/>
    <w:family w:val="roman"/>
    <w:pitch w:val="default"/>
    <w:sig w:usb0="00000000" w:usb1="00000000" w:usb2="02000000" w:usb3="00000000" w:csb0="2000019F" w:csb1="00000000"/>
  </w:font>
  <w:font w:name="ItalicT">
    <w:altName w:val="方正宋体S-超大字符集(SIP)"/>
    <w:panose1 w:val="00000400000000000000"/>
    <w:charset w:val="00"/>
    <w:family w:val="auto"/>
    <w:pitch w:val="default"/>
    <w:sig w:usb0="00000000" w:usb1="00000000" w:usb2="00000000" w:usb3="00000000" w:csb0="000001FF" w:csb1="00000000"/>
  </w:font>
  <w:font w:name="ItalicC">
    <w:altName w:val="方正宋体S-超大字符集(SIP)"/>
    <w:panose1 w:val="00000400000000000000"/>
    <w:charset w:val="00"/>
    <w:family w:val="auto"/>
    <w:pitch w:val="default"/>
    <w:sig w:usb0="00000000" w:usb1="00000000" w:usb2="00000000" w:usb3="00000000" w:csb0="000001FF" w:csb1="00000000"/>
  </w:font>
  <w:font w:name="Microsoft JhengHei">
    <w:altName w:val="方正书宋_GBK"/>
    <w:panose1 w:val="020B0604030504040204"/>
    <w:charset w:val="88"/>
    <w:family w:val="swiss"/>
    <w:pitch w:val="default"/>
    <w:sig w:usb0="00000000" w:usb1="00000000" w:usb2="00000016" w:usb3="00000000" w:csb0="00100009" w:csb1="00000000"/>
  </w:font>
  <w:font w:name="SJQY">
    <w:altName w:val="Noto Serif CJK JP"/>
    <w:panose1 w:val="02010600030101010101"/>
    <w:charset w:val="86"/>
    <w:family w:val="auto"/>
    <w:pitch w:val="default"/>
    <w:sig w:usb0="00000000" w:usb1="00000000" w:usb2="00000000" w:usb3="00000000" w:csb0="00040001" w:csb1="00000000"/>
  </w:font>
  <w:font w:name="方正书宋简体">
    <w:altName w:val="方正书宋_GBK"/>
    <w:panose1 w:val="00000000000000000000"/>
    <w:charset w:val="86"/>
    <w:family w:val="auto"/>
    <w:pitch w:val="default"/>
    <w:sig w:usb0="00000000" w:usb1="00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TimesNewRomanPSMT">
    <w:altName w:val="DejaVu Sans"/>
    <w:panose1 w:val="00000000000000000000"/>
    <w:charset w:val="00"/>
    <w:family w:val="roman"/>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Droid Sans Fallback">
    <w:panose1 w:val="020B0502000000000001"/>
    <w:charset w:val="86"/>
    <w:family w:val="auto"/>
    <w:pitch w:val="default"/>
    <w:sig w:usb0="910002FF" w:usb1="2BDFFCFB" w:usb2="00000036" w:usb3="00000000" w:csb0="203F01FF" w:csb1="D7FF0000"/>
  </w:font>
  <w:font w:name="方正宋体S-超大字符集(SIP)">
    <w:panose1 w:val="03000509000000000000"/>
    <w:charset w:val="86"/>
    <w:family w:val="auto"/>
    <w:pitch w:val="default"/>
    <w:sig w:usb0="00000003" w:usb1="0A0E0800" w:usb2="00000006" w:usb3="00000000" w:csb0="00040001" w:csb1="00000000"/>
  </w:font>
  <w:font w:name="Noto Serif CJK JP">
    <w:panose1 w:val="02020400000000000000"/>
    <w:charset w:val="86"/>
    <w:family w:val="auto"/>
    <w:pitch w:val="default"/>
    <w:sig w:usb0="30000083" w:usb1="2BDF3C10" w:usb2="00000016" w:usb3="00000000" w:csb0="602E0107"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upq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1e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upqDHgIAAC0EAAAOAAAAAAAAAAEAIAAAADU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F+Afx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ILyY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Mq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4ILyYHgIAAC0EAAAOAAAAAAAAAAEAIAAAADU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38320"/>
    <w:multiLevelType w:val="singleLevel"/>
    <w:tmpl w:val="8AE38320"/>
    <w:lvl w:ilvl="0" w:tentative="0">
      <w:start w:val="1"/>
      <w:numFmt w:val="decimal"/>
      <w:suff w:val="space"/>
      <w:lvlText w:val="%1）"/>
      <w:lvlJc w:val="left"/>
      <w:rPr>
        <w:rFonts w:hint="default"/>
        <w:color w:val="auto"/>
      </w:rPr>
    </w:lvl>
  </w:abstractNum>
  <w:abstractNum w:abstractNumId="1">
    <w:nsid w:val="8B66B5EF"/>
    <w:multiLevelType w:val="singleLevel"/>
    <w:tmpl w:val="8B66B5EF"/>
    <w:lvl w:ilvl="0" w:tentative="0">
      <w:start w:val="1"/>
      <w:numFmt w:val="lowerLetter"/>
      <w:lvlText w:val="(%1)"/>
      <w:lvlJc w:val="left"/>
      <w:pPr>
        <w:tabs>
          <w:tab w:val="left" w:pos="312"/>
        </w:tabs>
        <w:ind w:left="3672" w:firstLine="0"/>
      </w:pPr>
    </w:lvl>
  </w:abstractNum>
  <w:abstractNum w:abstractNumId="2">
    <w:nsid w:val="1FFFDF4D"/>
    <w:multiLevelType w:val="singleLevel"/>
    <w:tmpl w:val="1FFFDF4D"/>
    <w:lvl w:ilvl="0" w:tentative="0">
      <w:start w:val="2"/>
      <w:numFmt w:val="decimal"/>
      <w:suff w:val="nothing"/>
      <w:lvlText w:val="%1、"/>
      <w:lvlJc w:val="left"/>
    </w:lvl>
  </w:abstractNum>
  <w:abstractNum w:abstractNumId="3">
    <w:nsid w:val="713C6C7A"/>
    <w:multiLevelType w:val="multilevel"/>
    <w:tmpl w:val="713C6C7A"/>
    <w:lvl w:ilvl="0" w:tentative="0">
      <w:start w:val="1"/>
      <w:numFmt w:val="decimal"/>
      <w:lvlText w:val="%1)"/>
      <w:lvlJc w:val="left"/>
      <w:pPr>
        <w:ind w:left="840" w:hanging="36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hideSpellingErrors/>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lZmM0ODczNWY0YTIwM2QwZmQ0NmJiMjg3NDcxNjEifQ=="/>
  </w:docVars>
  <w:rsids>
    <w:rsidRoot w:val="4BDA6D36"/>
    <w:rsid w:val="000166D3"/>
    <w:rsid w:val="00070A41"/>
    <w:rsid w:val="000B2850"/>
    <w:rsid w:val="000C4AFA"/>
    <w:rsid w:val="000D46C4"/>
    <w:rsid w:val="000D6DB0"/>
    <w:rsid w:val="000F2CEC"/>
    <w:rsid w:val="00101B92"/>
    <w:rsid w:val="00125920"/>
    <w:rsid w:val="00133AB5"/>
    <w:rsid w:val="001B3497"/>
    <w:rsid w:val="002375E8"/>
    <w:rsid w:val="00247C03"/>
    <w:rsid w:val="00275B4D"/>
    <w:rsid w:val="002C36D3"/>
    <w:rsid w:val="002F1AD4"/>
    <w:rsid w:val="00351550"/>
    <w:rsid w:val="003A13CF"/>
    <w:rsid w:val="003A29F1"/>
    <w:rsid w:val="003C5608"/>
    <w:rsid w:val="00402AF4"/>
    <w:rsid w:val="00462D61"/>
    <w:rsid w:val="00474EC1"/>
    <w:rsid w:val="004A23D8"/>
    <w:rsid w:val="004E088E"/>
    <w:rsid w:val="005925D1"/>
    <w:rsid w:val="005B1B6C"/>
    <w:rsid w:val="00631878"/>
    <w:rsid w:val="00653360"/>
    <w:rsid w:val="00673108"/>
    <w:rsid w:val="0068339B"/>
    <w:rsid w:val="00703721"/>
    <w:rsid w:val="00712014"/>
    <w:rsid w:val="007864FB"/>
    <w:rsid w:val="00794201"/>
    <w:rsid w:val="008338BD"/>
    <w:rsid w:val="00835C2E"/>
    <w:rsid w:val="00837043"/>
    <w:rsid w:val="008546D5"/>
    <w:rsid w:val="009170B8"/>
    <w:rsid w:val="00956722"/>
    <w:rsid w:val="009864D6"/>
    <w:rsid w:val="009C0024"/>
    <w:rsid w:val="00A11D6B"/>
    <w:rsid w:val="00A12A26"/>
    <w:rsid w:val="00A510E4"/>
    <w:rsid w:val="00A53DDC"/>
    <w:rsid w:val="00A5735E"/>
    <w:rsid w:val="00A82680"/>
    <w:rsid w:val="00AF4A09"/>
    <w:rsid w:val="00B155B8"/>
    <w:rsid w:val="00B757DC"/>
    <w:rsid w:val="00B75984"/>
    <w:rsid w:val="00BA1461"/>
    <w:rsid w:val="00BB0E94"/>
    <w:rsid w:val="00BB54E0"/>
    <w:rsid w:val="00BD2A66"/>
    <w:rsid w:val="00BE74E9"/>
    <w:rsid w:val="00C36559"/>
    <w:rsid w:val="00C65FA4"/>
    <w:rsid w:val="00CB5CD7"/>
    <w:rsid w:val="00D91CBA"/>
    <w:rsid w:val="00DF08BD"/>
    <w:rsid w:val="00E47C7A"/>
    <w:rsid w:val="00E53D00"/>
    <w:rsid w:val="00E73F31"/>
    <w:rsid w:val="00EB2208"/>
    <w:rsid w:val="00EF417E"/>
    <w:rsid w:val="00F258CC"/>
    <w:rsid w:val="00F4406C"/>
    <w:rsid w:val="00F55957"/>
    <w:rsid w:val="00FB0CEB"/>
    <w:rsid w:val="00FB1337"/>
    <w:rsid w:val="00FB3F3F"/>
    <w:rsid w:val="00FD7600"/>
    <w:rsid w:val="00FE3E43"/>
    <w:rsid w:val="013369C0"/>
    <w:rsid w:val="01763BCE"/>
    <w:rsid w:val="0194674A"/>
    <w:rsid w:val="01993D60"/>
    <w:rsid w:val="019F475B"/>
    <w:rsid w:val="01A72B23"/>
    <w:rsid w:val="021F75A6"/>
    <w:rsid w:val="023D0B8F"/>
    <w:rsid w:val="032928CD"/>
    <w:rsid w:val="033B547E"/>
    <w:rsid w:val="037C5803"/>
    <w:rsid w:val="038D3451"/>
    <w:rsid w:val="04C36E73"/>
    <w:rsid w:val="04E62991"/>
    <w:rsid w:val="055F407A"/>
    <w:rsid w:val="05950818"/>
    <w:rsid w:val="05C018BB"/>
    <w:rsid w:val="06135BCE"/>
    <w:rsid w:val="062F7387"/>
    <w:rsid w:val="065169B7"/>
    <w:rsid w:val="06FC2DC7"/>
    <w:rsid w:val="0713560A"/>
    <w:rsid w:val="072639A0"/>
    <w:rsid w:val="0743247E"/>
    <w:rsid w:val="07477140"/>
    <w:rsid w:val="074F739B"/>
    <w:rsid w:val="07D93CCB"/>
    <w:rsid w:val="08872B64"/>
    <w:rsid w:val="08A07782"/>
    <w:rsid w:val="08B651F8"/>
    <w:rsid w:val="08D12AA1"/>
    <w:rsid w:val="08D6430E"/>
    <w:rsid w:val="09565A7D"/>
    <w:rsid w:val="096D2A05"/>
    <w:rsid w:val="09787546"/>
    <w:rsid w:val="09F91116"/>
    <w:rsid w:val="0A086F7F"/>
    <w:rsid w:val="0A4D56E8"/>
    <w:rsid w:val="0A595E3B"/>
    <w:rsid w:val="0A6E64DB"/>
    <w:rsid w:val="0A99114F"/>
    <w:rsid w:val="0AEE2A27"/>
    <w:rsid w:val="0B7A250D"/>
    <w:rsid w:val="0B9C3814"/>
    <w:rsid w:val="0C0361D9"/>
    <w:rsid w:val="0CAE7645"/>
    <w:rsid w:val="0CB83BC3"/>
    <w:rsid w:val="0CDB347F"/>
    <w:rsid w:val="0D004C93"/>
    <w:rsid w:val="0D346DF6"/>
    <w:rsid w:val="0D4123A0"/>
    <w:rsid w:val="0DC64C17"/>
    <w:rsid w:val="0DC814D4"/>
    <w:rsid w:val="0DD1622F"/>
    <w:rsid w:val="0E0407B3"/>
    <w:rsid w:val="0E082D07"/>
    <w:rsid w:val="0E6B63BF"/>
    <w:rsid w:val="0E6D2AA6"/>
    <w:rsid w:val="0E807E3A"/>
    <w:rsid w:val="0E9503CA"/>
    <w:rsid w:val="0E9D75E1"/>
    <w:rsid w:val="0EF34AB0"/>
    <w:rsid w:val="0EF455AD"/>
    <w:rsid w:val="0F380C32"/>
    <w:rsid w:val="0F4C0664"/>
    <w:rsid w:val="0F621C35"/>
    <w:rsid w:val="0F852175"/>
    <w:rsid w:val="0FA16164"/>
    <w:rsid w:val="0FAB78D4"/>
    <w:rsid w:val="10235383"/>
    <w:rsid w:val="10842273"/>
    <w:rsid w:val="10B3519C"/>
    <w:rsid w:val="11036B00"/>
    <w:rsid w:val="11217E3F"/>
    <w:rsid w:val="115B08EB"/>
    <w:rsid w:val="115E01DA"/>
    <w:rsid w:val="120021FC"/>
    <w:rsid w:val="120968F4"/>
    <w:rsid w:val="120C4728"/>
    <w:rsid w:val="12942106"/>
    <w:rsid w:val="12A81475"/>
    <w:rsid w:val="13733A6E"/>
    <w:rsid w:val="138C7281"/>
    <w:rsid w:val="13983E78"/>
    <w:rsid w:val="13AB6A60"/>
    <w:rsid w:val="13FA068E"/>
    <w:rsid w:val="146B1376"/>
    <w:rsid w:val="15073939"/>
    <w:rsid w:val="154871D8"/>
    <w:rsid w:val="154B4238"/>
    <w:rsid w:val="155E4C4D"/>
    <w:rsid w:val="157306F8"/>
    <w:rsid w:val="15995C85"/>
    <w:rsid w:val="159F6049"/>
    <w:rsid w:val="15C73A33"/>
    <w:rsid w:val="15D31197"/>
    <w:rsid w:val="15D72712"/>
    <w:rsid w:val="15DE18EA"/>
    <w:rsid w:val="165C5ABD"/>
    <w:rsid w:val="167A1613"/>
    <w:rsid w:val="16EE4A15"/>
    <w:rsid w:val="16EF6A68"/>
    <w:rsid w:val="170B2BB3"/>
    <w:rsid w:val="177119FF"/>
    <w:rsid w:val="17780248"/>
    <w:rsid w:val="178937FF"/>
    <w:rsid w:val="17A22A5A"/>
    <w:rsid w:val="17C4348D"/>
    <w:rsid w:val="17D631C0"/>
    <w:rsid w:val="17DB07D7"/>
    <w:rsid w:val="17E02C2C"/>
    <w:rsid w:val="181126B2"/>
    <w:rsid w:val="186404DF"/>
    <w:rsid w:val="189C7F66"/>
    <w:rsid w:val="18C7778D"/>
    <w:rsid w:val="18DD4CA7"/>
    <w:rsid w:val="192835A8"/>
    <w:rsid w:val="1936112E"/>
    <w:rsid w:val="19667640"/>
    <w:rsid w:val="196D1903"/>
    <w:rsid w:val="19834C82"/>
    <w:rsid w:val="19960E59"/>
    <w:rsid w:val="19CF7E4E"/>
    <w:rsid w:val="1A1F1582"/>
    <w:rsid w:val="1A757BA3"/>
    <w:rsid w:val="1A845156"/>
    <w:rsid w:val="1B746F78"/>
    <w:rsid w:val="1C0F0A4F"/>
    <w:rsid w:val="1C146065"/>
    <w:rsid w:val="1C330A15"/>
    <w:rsid w:val="1CC414DA"/>
    <w:rsid w:val="1CDD467C"/>
    <w:rsid w:val="1D874F90"/>
    <w:rsid w:val="1DE87571"/>
    <w:rsid w:val="1DFE521F"/>
    <w:rsid w:val="1E8219AC"/>
    <w:rsid w:val="1EA96F39"/>
    <w:rsid w:val="1EBC255B"/>
    <w:rsid w:val="1EDE338D"/>
    <w:rsid w:val="1EF51331"/>
    <w:rsid w:val="1F2B4A85"/>
    <w:rsid w:val="1F584333"/>
    <w:rsid w:val="1F7966A4"/>
    <w:rsid w:val="1F8B663F"/>
    <w:rsid w:val="1FA05B32"/>
    <w:rsid w:val="1FD47FE6"/>
    <w:rsid w:val="1FD55B0C"/>
    <w:rsid w:val="1FFC753C"/>
    <w:rsid w:val="20542D03"/>
    <w:rsid w:val="20BA674D"/>
    <w:rsid w:val="20BB73F7"/>
    <w:rsid w:val="21271BF9"/>
    <w:rsid w:val="213F2CAB"/>
    <w:rsid w:val="21577120"/>
    <w:rsid w:val="21BB2C48"/>
    <w:rsid w:val="220B528B"/>
    <w:rsid w:val="224C47AB"/>
    <w:rsid w:val="227930C6"/>
    <w:rsid w:val="229A37FF"/>
    <w:rsid w:val="22B12860"/>
    <w:rsid w:val="23403BE4"/>
    <w:rsid w:val="23536501"/>
    <w:rsid w:val="23752844"/>
    <w:rsid w:val="23783354"/>
    <w:rsid w:val="238F6A5B"/>
    <w:rsid w:val="242641A1"/>
    <w:rsid w:val="24535D9D"/>
    <w:rsid w:val="245E7725"/>
    <w:rsid w:val="24741D97"/>
    <w:rsid w:val="249064A5"/>
    <w:rsid w:val="24967F5F"/>
    <w:rsid w:val="24CD2FC4"/>
    <w:rsid w:val="250E1FD7"/>
    <w:rsid w:val="25642DAB"/>
    <w:rsid w:val="25665B84"/>
    <w:rsid w:val="25896BFA"/>
    <w:rsid w:val="25C26B32"/>
    <w:rsid w:val="25DB62DC"/>
    <w:rsid w:val="25FA2770"/>
    <w:rsid w:val="26334674"/>
    <w:rsid w:val="266556D2"/>
    <w:rsid w:val="267B7079"/>
    <w:rsid w:val="26E50D2A"/>
    <w:rsid w:val="270B2978"/>
    <w:rsid w:val="276F1C0A"/>
    <w:rsid w:val="27C16A75"/>
    <w:rsid w:val="27D7164E"/>
    <w:rsid w:val="27E70AD2"/>
    <w:rsid w:val="28315098"/>
    <w:rsid w:val="28436950"/>
    <w:rsid w:val="2858276B"/>
    <w:rsid w:val="288A25EF"/>
    <w:rsid w:val="28C64B8B"/>
    <w:rsid w:val="2936465A"/>
    <w:rsid w:val="29656152"/>
    <w:rsid w:val="296D07FE"/>
    <w:rsid w:val="29C411F1"/>
    <w:rsid w:val="2A0876CB"/>
    <w:rsid w:val="2A1A0CEB"/>
    <w:rsid w:val="2A7B75E4"/>
    <w:rsid w:val="2AF459E0"/>
    <w:rsid w:val="2B233948"/>
    <w:rsid w:val="2B667F60"/>
    <w:rsid w:val="2B9E76FA"/>
    <w:rsid w:val="2B9F3B9D"/>
    <w:rsid w:val="2BA207D1"/>
    <w:rsid w:val="2C3342E6"/>
    <w:rsid w:val="2C3678CB"/>
    <w:rsid w:val="2CBF3DCB"/>
    <w:rsid w:val="2CF77A09"/>
    <w:rsid w:val="2D5664DE"/>
    <w:rsid w:val="2D7746A6"/>
    <w:rsid w:val="2DEC6E42"/>
    <w:rsid w:val="2E3410C4"/>
    <w:rsid w:val="2E861045"/>
    <w:rsid w:val="2EE44FC3"/>
    <w:rsid w:val="2EF94A5B"/>
    <w:rsid w:val="2F071236"/>
    <w:rsid w:val="2F6C0F4E"/>
    <w:rsid w:val="2F855F05"/>
    <w:rsid w:val="2FB614B6"/>
    <w:rsid w:val="2FC254E7"/>
    <w:rsid w:val="2FCC5877"/>
    <w:rsid w:val="2FE778C1"/>
    <w:rsid w:val="2FF630F3"/>
    <w:rsid w:val="3078777A"/>
    <w:rsid w:val="30C47C02"/>
    <w:rsid w:val="3135465C"/>
    <w:rsid w:val="31497949"/>
    <w:rsid w:val="317C228B"/>
    <w:rsid w:val="318D4498"/>
    <w:rsid w:val="32100EC2"/>
    <w:rsid w:val="321F01B9"/>
    <w:rsid w:val="326600D1"/>
    <w:rsid w:val="327877A7"/>
    <w:rsid w:val="329249B3"/>
    <w:rsid w:val="33182487"/>
    <w:rsid w:val="331A1685"/>
    <w:rsid w:val="33541711"/>
    <w:rsid w:val="33550C7E"/>
    <w:rsid w:val="335F08A3"/>
    <w:rsid w:val="33AC20E4"/>
    <w:rsid w:val="348B6E58"/>
    <w:rsid w:val="34C55364"/>
    <w:rsid w:val="34CF34ED"/>
    <w:rsid w:val="352C4A57"/>
    <w:rsid w:val="35BA15D4"/>
    <w:rsid w:val="35CA19F8"/>
    <w:rsid w:val="35EF63D1"/>
    <w:rsid w:val="36060D93"/>
    <w:rsid w:val="361E7DB5"/>
    <w:rsid w:val="369150BD"/>
    <w:rsid w:val="36B83D65"/>
    <w:rsid w:val="372D45F3"/>
    <w:rsid w:val="373C431A"/>
    <w:rsid w:val="37401216"/>
    <w:rsid w:val="377A54BF"/>
    <w:rsid w:val="37C62713"/>
    <w:rsid w:val="382B72FB"/>
    <w:rsid w:val="389D5682"/>
    <w:rsid w:val="38C73172"/>
    <w:rsid w:val="38D66725"/>
    <w:rsid w:val="390436A9"/>
    <w:rsid w:val="39205BF2"/>
    <w:rsid w:val="39916521"/>
    <w:rsid w:val="39C16118"/>
    <w:rsid w:val="39CE1AF2"/>
    <w:rsid w:val="39D07618"/>
    <w:rsid w:val="39DA3E1D"/>
    <w:rsid w:val="39E16FA9"/>
    <w:rsid w:val="39ED4E59"/>
    <w:rsid w:val="3A0D75B5"/>
    <w:rsid w:val="3A245DEE"/>
    <w:rsid w:val="3A2B0CF2"/>
    <w:rsid w:val="3A6E7C2F"/>
    <w:rsid w:val="3A7D37EE"/>
    <w:rsid w:val="3AE01ADD"/>
    <w:rsid w:val="3B5878C5"/>
    <w:rsid w:val="3B6463A5"/>
    <w:rsid w:val="3B7825AF"/>
    <w:rsid w:val="3B7F3598"/>
    <w:rsid w:val="3BAA5C47"/>
    <w:rsid w:val="3BE7006E"/>
    <w:rsid w:val="3BEE1FD7"/>
    <w:rsid w:val="3C125CC6"/>
    <w:rsid w:val="3C2E61B3"/>
    <w:rsid w:val="3C352E0B"/>
    <w:rsid w:val="3CBD0327"/>
    <w:rsid w:val="3D26481E"/>
    <w:rsid w:val="3D2C2DB7"/>
    <w:rsid w:val="3D510A70"/>
    <w:rsid w:val="3D56551E"/>
    <w:rsid w:val="3D8972ED"/>
    <w:rsid w:val="3DC6320C"/>
    <w:rsid w:val="3DC66807"/>
    <w:rsid w:val="3E4432AA"/>
    <w:rsid w:val="3E9A6E1D"/>
    <w:rsid w:val="3EB41795"/>
    <w:rsid w:val="3ED951C1"/>
    <w:rsid w:val="3F4563B2"/>
    <w:rsid w:val="3F611B68"/>
    <w:rsid w:val="400925FB"/>
    <w:rsid w:val="401364B0"/>
    <w:rsid w:val="4065572F"/>
    <w:rsid w:val="40993C5B"/>
    <w:rsid w:val="409E221E"/>
    <w:rsid w:val="40D4055A"/>
    <w:rsid w:val="40D45C40"/>
    <w:rsid w:val="40DE5471"/>
    <w:rsid w:val="41102052"/>
    <w:rsid w:val="41AA19BC"/>
    <w:rsid w:val="41B077F8"/>
    <w:rsid w:val="41DD50CB"/>
    <w:rsid w:val="42073DF3"/>
    <w:rsid w:val="4221770A"/>
    <w:rsid w:val="42711822"/>
    <w:rsid w:val="428078EE"/>
    <w:rsid w:val="42D31F27"/>
    <w:rsid w:val="430640AA"/>
    <w:rsid w:val="430F7403"/>
    <w:rsid w:val="439416B6"/>
    <w:rsid w:val="439D3CA8"/>
    <w:rsid w:val="441A20EA"/>
    <w:rsid w:val="44246EDE"/>
    <w:rsid w:val="4427077C"/>
    <w:rsid w:val="444E1AA8"/>
    <w:rsid w:val="44903FFF"/>
    <w:rsid w:val="449C0CEB"/>
    <w:rsid w:val="44EB3AD2"/>
    <w:rsid w:val="44FD1115"/>
    <w:rsid w:val="45196317"/>
    <w:rsid w:val="453018B3"/>
    <w:rsid w:val="4545710C"/>
    <w:rsid w:val="45C202A3"/>
    <w:rsid w:val="45CD0EAF"/>
    <w:rsid w:val="460074D7"/>
    <w:rsid w:val="460D74FE"/>
    <w:rsid w:val="46454EEA"/>
    <w:rsid w:val="465406F3"/>
    <w:rsid w:val="46C422B2"/>
    <w:rsid w:val="46DD5122"/>
    <w:rsid w:val="46E6047B"/>
    <w:rsid w:val="472F5EFB"/>
    <w:rsid w:val="479E6FA7"/>
    <w:rsid w:val="47A13146"/>
    <w:rsid w:val="48047DCB"/>
    <w:rsid w:val="4918222D"/>
    <w:rsid w:val="49E8763C"/>
    <w:rsid w:val="4A5E5DDF"/>
    <w:rsid w:val="4B2E23F0"/>
    <w:rsid w:val="4B46773A"/>
    <w:rsid w:val="4B6862A4"/>
    <w:rsid w:val="4BDA6D36"/>
    <w:rsid w:val="4BF947AC"/>
    <w:rsid w:val="4CA50490"/>
    <w:rsid w:val="4CBD57DA"/>
    <w:rsid w:val="4CD44FFC"/>
    <w:rsid w:val="4D27359B"/>
    <w:rsid w:val="4D826A23"/>
    <w:rsid w:val="4D9D385D"/>
    <w:rsid w:val="4D9F1383"/>
    <w:rsid w:val="4DD454D1"/>
    <w:rsid w:val="4DE4148C"/>
    <w:rsid w:val="4DEB7471"/>
    <w:rsid w:val="4E5D1A56"/>
    <w:rsid w:val="4E67134A"/>
    <w:rsid w:val="4E925EF3"/>
    <w:rsid w:val="4EA50069"/>
    <w:rsid w:val="4EFF0292"/>
    <w:rsid w:val="4F181D81"/>
    <w:rsid w:val="4F6C798B"/>
    <w:rsid w:val="4F881234"/>
    <w:rsid w:val="4F952A3E"/>
    <w:rsid w:val="4FAB1D41"/>
    <w:rsid w:val="4FAE1D52"/>
    <w:rsid w:val="4FBF7ABB"/>
    <w:rsid w:val="4FC9093A"/>
    <w:rsid w:val="500100D3"/>
    <w:rsid w:val="500B0933"/>
    <w:rsid w:val="50637B7F"/>
    <w:rsid w:val="50922385"/>
    <w:rsid w:val="50B13DF1"/>
    <w:rsid w:val="50B213CE"/>
    <w:rsid w:val="50F14B6C"/>
    <w:rsid w:val="51505556"/>
    <w:rsid w:val="51B918D2"/>
    <w:rsid w:val="51DA0C16"/>
    <w:rsid w:val="51E45789"/>
    <w:rsid w:val="521560B8"/>
    <w:rsid w:val="524C1FD7"/>
    <w:rsid w:val="5290573F"/>
    <w:rsid w:val="52D57AC8"/>
    <w:rsid w:val="52EB4CD8"/>
    <w:rsid w:val="52F45CCD"/>
    <w:rsid w:val="530F48B5"/>
    <w:rsid w:val="536746F1"/>
    <w:rsid w:val="53C358B3"/>
    <w:rsid w:val="53EA25CA"/>
    <w:rsid w:val="54052570"/>
    <w:rsid w:val="54330A77"/>
    <w:rsid w:val="54A43723"/>
    <w:rsid w:val="54B5148C"/>
    <w:rsid w:val="55BB0D24"/>
    <w:rsid w:val="55E47182"/>
    <w:rsid w:val="55F13F1A"/>
    <w:rsid w:val="5624344D"/>
    <w:rsid w:val="56551179"/>
    <w:rsid w:val="565C6063"/>
    <w:rsid w:val="56A703F5"/>
    <w:rsid w:val="57E46D1A"/>
    <w:rsid w:val="582E3475"/>
    <w:rsid w:val="5895585D"/>
    <w:rsid w:val="58D65703"/>
    <w:rsid w:val="58E50019"/>
    <w:rsid w:val="58E95BA9"/>
    <w:rsid w:val="59516618"/>
    <w:rsid w:val="596C4719"/>
    <w:rsid w:val="5975743C"/>
    <w:rsid w:val="597933D0"/>
    <w:rsid w:val="597F3CAA"/>
    <w:rsid w:val="599929E6"/>
    <w:rsid w:val="59A6725E"/>
    <w:rsid w:val="59D10B16"/>
    <w:rsid w:val="59D61647"/>
    <w:rsid w:val="59DD395F"/>
    <w:rsid w:val="5A3E5A0E"/>
    <w:rsid w:val="5A6F6D99"/>
    <w:rsid w:val="5A9B1124"/>
    <w:rsid w:val="5AAF59A9"/>
    <w:rsid w:val="5AC4067B"/>
    <w:rsid w:val="5B0312B1"/>
    <w:rsid w:val="5B1E1D7F"/>
    <w:rsid w:val="5B394BC5"/>
    <w:rsid w:val="5B524ABC"/>
    <w:rsid w:val="5C337866"/>
    <w:rsid w:val="5C6418A2"/>
    <w:rsid w:val="5C900C58"/>
    <w:rsid w:val="5CAA36E2"/>
    <w:rsid w:val="5CF7587D"/>
    <w:rsid w:val="5D080CF3"/>
    <w:rsid w:val="5D126C47"/>
    <w:rsid w:val="5D261179"/>
    <w:rsid w:val="5D5A54FE"/>
    <w:rsid w:val="5D6879E4"/>
    <w:rsid w:val="5D746389"/>
    <w:rsid w:val="5D875D92"/>
    <w:rsid w:val="5DA458BA"/>
    <w:rsid w:val="5DCF3183"/>
    <w:rsid w:val="5E761864"/>
    <w:rsid w:val="5E87563B"/>
    <w:rsid w:val="5F252540"/>
    <w:rsid w:val="5F446A72"/>
    <w:rsid w:val="5F8623A3"/>
    <w:rsid w:val="60A056E7"/>
    <w:rsid w:val="60A97045"/>
    <w:rsid w:val="60CB69BE"/>
    <w:rsid w:val="60EF0A8D"/>
    <w:rsid w:val="611A2DA3"/>
    <w:rsid w:val="61313BAE"/>
    <w:rsid w:val="613972F1"/>
    <w:rsid w:val="613D1187"/>
    <w:rsid w:val="615C785F"/>
    <w:rsid w:val="619A3EE4"/>
    <w:rsid w:val="61C55405"/>
    <w:rsid w:val="61CB3795"/>
    <w:rsid w:val="62586279"/>
    <w:rsid w:val="62633B94"/>
    <w:rsid w:val="627110E9"/>
    <w:rsid w:val="628250A4"/>
    <w:rsid w:val="62975D9E"/>
    <w:rsid w:val="62A74B0A"/>
    <w:rsid w:val="62A75A56"/>
    <w:rsid w:val="62B92A90"/>
    <w:rsid w:val="62DC2672"/>
    <w:rsid w:val="630E4B89"/>
    <w:rsid w:val="63100901"/>
    <w:rsid w:val="631C2FC6"/>
    <w:rsid w:val="631D05FE"/>
    <w:rsid w:val="635527B9"/>
    <w:rsid w:val="63A92B04"/>
    <w:rsid w:val="63C4349A"/>
    <w:rsid w:val="63FD1B44"/>
    <w:rsid w:val="642A277A"/>
    <w:rsid w:val="645B2050"/>
    <w:rsid w:val="64940C8D"/>
    <w:rsid w:val="64972A85"/>
    <w:rsid w:val="64AB05AF"/>
    <w:rsid w:val="658B24C1"/>
    <w:rsid w:val="65B111E3"/>
    <w:rsid w:val="65BE0A1E"/>
    <w:rsid w:val="65FE3176"/>
    <w:rsid w:val="6609788A"/>
    <w:rsid w:val="66263F98"/>
    <w:rsid w:val="666D2052"/>
    <w:rsid w:val="66796366"/>
    <w:rsid w:val="66A23F66"/>
    <w:rsid w:val="66B9305E"/>
    <w:rsid w:val="67000C8D"/>
    <w:rsid w:val="67176A41"/>
    <w:rsid w:val="671A352F"/>
    <w:rsid w:val="6749078A"/>
    <w:rsid w:val="676A4358"/>
    <w:rsid w:val="67BE37C3"/>
    <w:rsid w:val="696A4AE4"/>
    <w:rsid w:val="69B85DD9"/>
    <w:rsid w:val="69F83E9D"/>
    <w:rsid w:val="6A220F1A"/>
    <w:rsid w:val="6A6E2A08"/>
    <w:rsid w:val="6A6E4160"/>
    <w:rsid w:val="6A991FB4"/>
    <w:rsid w:val="6AB44779"/>
    <w:rsid w:val="6AD6255B"/>
    <w:rsid w:val="6AED32D6"/>
    <w:rsid w:val="6B403D4E"/>
    <w:rsid w:val="6B610780"/>
    <w:rsid w:val="6BDB5825"/>
    <w:rsid w:val="6BDB75D3"/>
    <w:rsid w:val="6C2E50CD"/>
    <w:rsid w:val="6C886152"/>
    <w:rsid w:val="6CAB51F7"/>
    <w:rsid w:val="6CB84D61"/>
    <w:rsid w:val="6D082649"/>
    <w:rsid w:val="6D285DB2"/>
    <w:rsid w:val="6D2C6732"/>
    <w:rsid w:val="6D41535E"/>
    <w:rsid w:val="6D8E0B99"/>
    <w:rsid w:val="6DE035C6"/>
    <w:rsid w:val="6DE633C0"/>
    <w:rsid w:val="6E070B53"/>
    <w:rsid w:val="6E2C05BA"/>
    <w:rsid w:val="6E3A0F28"/>
    <w:rsid w:val="6E4C2A0A"/>
    <w:rsid w:val="6EEC0B65"/>
    <w:rsid w:val="6F450822"/>
    <w:rsid w:val="6F7047BB"/>
    <w:rsid w:val="6F775864"/>
    <w:rsid w:val="700C06A3"/>
    <w:rsid w:val="7015230A"/>
    <w:rsid w:val="70257C6D"/>
    <w:rsid w:val="7084121F"/>
    <w:rsid w:val="71072C18"/>
    <w:rsid w:val="713F5CFA"/>
    <w:rsid w:val="717E112C"/>
    <w:rsid w:val="71BB2380"/>
    <w:rsid w:val="720F6228"/>
    <w:rsid w:val="721D26F3"/>
    <w:rsid w:val="72323CC5"/>
    <w:rsid w:val="72343EE1"/>
    <w:rsid w:val="724F0E1B"/>
    <w:rsid w:val="726A05D9"/>
    <w:rsid w:val="72E90827"/>
    <w:rsid w:val="72EE08C1"/>
    <w:rsid w:val="731A1328"/>
    <w:rsid w:val="7346211D"/>
    <w:rsid w:val="73791ED0"/>
    <w:rsid w:val="737B0E94"/>
    <w:rsid w:val="73DB2875"/>
    <w:rsid w:val="73E6120B"/>
    <w:rsid w:val="745148D6"/>
    <w:rsid w:val="74AA100A"/>
    <w:rsid w:val="74DF1EE2"/>
    <w:rsid w:val="74E24BCD"/>
    <w:rsid w:val="7538008B"/>
    <w:rsid w:val="75647B92"/>
    <w:rsid w:val="75DF4163"/>
    <w:rsid w:val="76054E69"/>
    <w:rsid w:val="76361FD5"/>
    <w:rsid w:val="76571F4C"/>
    <w:rsid w:val="76E51777"/>
    <w:rsid w:val="76F7284D"/>
    <w:rsid w:val="770C2D36"/>
    <w:rsid w:val="77954F3A"/>
    <w:rsid w:val="77A25449"/>
    <w:rsid w:val="781A76D5"/>
    <w:rsid w:val="782D7408"/>
    <w:rsid w:val="785E3A65"/>
    <w:rsid w:val="78D358E9"/>
    <w:rsid w:val="793051DD"/>
    <w:rsid w:val="79E139F7"/>
    <w:rsid w:val="7A37456E"/>
    <w:rsid w:val="7A37631C"/>
    <w:rsid w:val="7A604D4F"/>
    <w:rsid w:val="7A7B26AD"/>
    <w:rsid w:val="7A8D418E"/>
    <w:rsid w:val="7A94376E"/>
    <w:rsid w:val="7B8053B0"/>
    <w:rsid w:val="7BC55225"/>
    <w:rsid w:val="7C181A1E"/>
    <w:rsid w:val="7C723B50"/>
    <w:rsid w:val="7CC55E61"/>
    <w:rsid w:val="7D8E6B9B"/>
    <w:rsid w:val="7DA72230"/>
    <w:rsid w:val="7E097FCF"/>
    <w:rsid w:val="7E394D59"/>
    <w:rsid w:val="7E6416D8"/>
    <w:rsid w:val="7E9C1960"/>
    <w:rsid w:val="7EA87DD3"/>
    <w:rsid w:val="7ED95BF4"/>
    <w:rsid w:val="7EDC1B88"/>
    <w:rsid w:val="7F69040D"/>
    <w:rsid w:val="7FB26214"/>
    <w:rsid w:val="97837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宋体" w:cs="Times New Roman"/>
      <w:kern w:val="2"/>
      <w:sz w:val="24"/>
      <w:szCs w:val="22"/>
      <w:lang w:val="en-US" w:eastAsia="zh-CN" w:bidi="ar-SA"/>
    </w:rPr>
  </w:style>
  <w:style w:type="paragraph" w:styleId="2">
    <w:name w:val="heading 1"/>
    <w:basedOn w:val="1"/>
    <w:next w:val="1"/>
    <w:link w:val="57"/>
    <w:qFormat/>
    <w:uiPriority w:val="0"/>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55"/>
    <w:qFormat/>
    <w:uiPriority w:val="0"/>
    <w:pPr>
      <w:keepNext/>
      <w:keepLines/>
      <w:spacing w:line="416" w:lineRule="auto"/>
      <w:jc w:val="center"/>
      <w:outlineLvl w:val="1"/>
    </w:pPr>
    <w:rPr>
      <w:rFonts w:ascii="Cambria" w:hAnsi="Cambria"/>
      <w:b/>
      <w:bCs/>
      <w:sz w:val="32"/>
      <w:szCs w:val="32"/>
    </w:rPr>
  </w:style>
  <w:style w:type="paragraph" w:styleId="4">
    <w:name w:val="heading 3"/>
    <w:basedOn w:val="5"/>
    <w:next w:val="5"/>
    <w:link w:val="56"/>
    <w:qFormat/>
    <w:uiPriority w:val="0"/>
    <w:pPr>
      <w:keepNext/>
      <w:keepLines/>
      <w:tabs>
        <w:tab w:val="right" w:leader="dot" w:pos="9628"/>
      </w:tabs>
      <w:spacing w:line="240" w:lineRule="auto"/>
      <w:ind w:left="100" w:leftChars="100" w:right="100" w:rightChars="100"/>
      <w:jc w:val="center"/>
      <w:outlineLvl w:val="2"/>
    </w:pPr>
    <w:rPr>
      <w:b/>
      <w:bCs/>
      <w:sz w:val="28"/>
      <w:szCs w:val="24"/>
    </w:rPr>
  </w:style>
  <w:style w:type="paragraph" w:styleId="6">
    <w:name w:val="heading 4"/>
    <w:basedOn w:val="1"/>
    <w:next w:val="1"/>
    <w:link w:val="58"/>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link w:val="61"/>
    <w:qFormat/>
    <w:uiPriority w:val="0"/>
    <w:pPr>
      <w:keepNext/>
      <w:keepLines/>
      <w:spacing w:line="376" w:lineRule="auto"/>
      <w:jc w:val="center"/>
      <w:outlineLvl w:val="4"/>
    </w:pPr>
    <w:rPr>
      <w:b/>
      <w:bCs/>
      <w:szCs w:val="28"/>
    </w:rPr>
  </w:style>
  <w:style w:type="paragraph" w:styleId="8">
    <w:name w:val="heading 7"/>
    <w:basedOn w:val="1"/>
    <w:next w:val="1"/>
    <w:link w:val="59"/>
    <w:qFormat/>
    <w:uiPriority w:val="0"/>
    <w:pPr>
      <w:keepNext/>
      <w:keepLines/>
      <w:spacing w:before="240" w:after="64" w:line="320" w:lineRule="auto"/>
      <w:outlineLvl w:val="6"/>
    </w:pPr>
    <w:rPr>
      <w:b/>
      <w:bCs/>
      <w:kern w:val="0"/>
      <w:szCs w:val="24"/>
    </w:rPr>
  </w:style>
  <w:style w:type="paragraph" w:styleId="9">
    <w:name w:val="heading 8"/>
    <w:basedOn w:val="1"/>
    <w:next w:val="1"/>
    <w:link w:val="60"/>
    <w:qFormat/>
    <w:uiPriority w:val="0"/>
    <w:pPr>
      <w:keepNext/>
      <w:keepLines/>
      <w:outlineLvl w:val="7"/>
    </w:pPr>
    <w:rPr>
      <w:rFonts w:ascii="Cambria" w:hAnsi="Cambria"/>
      <w:b/>
      <w:sz w:val="28"/>
      <w:szCs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toc 1"/>
    <w:basedOn w:val="1"/>
    <w:next w:val="1"/>
    <w:qFormat/>
    <w:uiPriority w:val="39"/>
    <w:pPr>
      <w:tabs>
        <w:tab w:val="right" w:leader="dot" w:pos="9628"/>
      </w:tabs>
      <w:spacing w:line="360" w:lineRule="auto"/>
    </w:pPr>
    <w:rPr>
      <w:rFonts w:ascii="宋体" w:hAnsi="宋体"/>
    </w:rPr>
  </w:style>
  <w:style w:type="paragraph" w:styleId="10">
    <w:name w:val="toc 7"/>
    <w:basedOn w:val="1"/>
    <w:next w:val="1"/>
    <w:qFormat/>
    <w:uiPriority w:val="39"/>
    <w:pPr>
      <w:ind w:left="2520" w:leftChars="1200"/>
    </w:pPr>
    <w:rPr>
      <w:sz w:val="21"/>
    </w:rPr>
  </w:style>
  <w:style w:type="paragraph" w:styleId="11">
    <w:name w:val="caption"/>
    <w:basedOn w:val="1"/>
    <w:next w:val="1"/>
    <w:qFormat/>
    <w:uiPriority w:val="0"/>
    <w:pPr>
      <w:widowControl w:val="0"/>
    </w:pPr>
    <w:rPr>
      <w:rFonts w:ascii="Arial" w:hAnsi="Arial" w:eastAsia="黑体" w:cs="Arial"/>
      <w:sz w:val="20"/>
      <w:szCs w:val="20"/>
    </w:rPr>
  </w:style>
  <w:style w:type="paragraph" w:styleId="12">
    <w:name w:val="annotation text"/>
    <w:basedOn w:val="1"/>
    <w:link w:val="69"/>
    <w:qFormat/>
    <w:uiPriority w:val="0"/>
  </w:style>
  <w:style w:type="paragraph" w:styleId="13">
    <w:name w:val="Body Text"/>
    <w:basedOn w:val="1"/>
    <w:link w:val="87"/>
    <w:unhideWhenUsed/>
    <w:qFormat/>
    <w:uiPriority w:val="99"/>
    <w:pPr>
      <w:spacing w:after="120"/>
    </w:pPr>
  </w:style>
  <w:style w:type="paragraph" w:styleId="14">
    <w:name w:val="Body Text Indent"/>
    <w:basedOn w:val="1"/>
    <w:link w:val="63"/>
    <w:qFormat/>
    <w:uiPriority w:val="0"/>
    <w:pPr>
      <w:tabs>
        <w:tab w:val="left" w:pos="5220"/>
      </w:tabs>
      <w:spacing w:line="360" w:lineRule="auto"/>
      <w:ind w:firstLine="420" w:firstLineChars="200"/>
    </w:pPr>
    <w:rPr>
      <w:rFonts w:ascii="宋体" w:hAnsi="宋体"/>
      <w:sz w:val="21"/>
      <w:szCs w:val="24"/>
    </w:rPr>
  </w:style>
  <w:style w:type="paragraph" w:styleId="15">
    <w:name w:val="toc 5"/>
    <w:basedOn w:val="1"/>
    <w:next w:val="1"/>
    <w:qFormat/>
    <w:uiPriority w:val="39"/>
    <w:pPr>
      <w:ind w:left="1680" w:leftChars="800"/>
    </w:pPr>
    <w:rPr>
      <w:sz w:val="21"/>
    </w:rPr>
  </w:style>
  <w:style w:type="paragraph" w:styleId="16">
    <w:name w:val="toc 3"/>
    <w:basedOn w:val="1"/>
    <w:next w:val="1"/>
    <w:qFormat/>
    <w:uiPriority w:val="39"/>
    <w:pPr>
      <w:ind w:left="840" w:leftChars="400"/>
    </w:pPr>
  </w:style>
  <w:style w:type="paragraph" w:styleId="17">
    <w:name w:val="Plain Text"/>
    <w:basedOn w:val="1"/>
    <w:link w:val="88"/>
    <w:qFormat/>
    <w:uiPriority w:val="0"/>
    <w:pPr>
      <w:widowControl w:val="0"/>
    </w:pPr>
    <w:rPr>
      <w:rFonts w:hint="eastAsia" w:ascii="宋体" w:hAnsi="Courier New"/>
      <w:sz w:val="21"/>
      <w:szCs w:val="21"/>
    </w:rPr>
  </w:style>
  <w:style w:type="paragraph" w:styleId="18">
    <w:name w:val="toc 8"/>
    <w:basedOn w:val="1"/>
    <w:next w:val="1"/>
    <w:qFormat/>
    <w:uiPriority w:val="39"/>
    <w:pPr>
      <w:ind w:left="2940" w:leftChars="1400"/>
    </w:pPr>
    <w:rPr>
      <w:sz w:val="21"/>
    </w:rPr>
  </w:style>
  <w:style w:type="paragraph" w:styleId="19">
    <w:name w:val="Date"/>
    <w:basedOn w:val="1"/>
    <w:next w:val="1"/>
    <w:link w:val="64"/>
    <w:qFormat/>
    <w:uiPriority w:val="0"/>
    <w:pPr>
      <w:ind w:left="100" w:leftChars="2500"/>
    </w:pPr>
  </w:style>
  <w:style w:type="paragraph" w:styleId="20">
    <w:name w:val="Balloon Text"/>
    <w:basedOn w:val="1"/>
    <w:link w:val="65"/>
    <w:qFormat/>
    <w:uiPriority w:val="0"/>
    <w:rPr>
      <w:sz w:val="18"/>
      <w:szCs w:val="18"/>
    </w:rPr>
  </w:style>
  <w:style w:type="paragraph" w:styleId="21">
    <w:name w:val="footer"/>
    <w:basedOn w:val="1"/>
    <w:link w:val="54"/>
    <w:qFormat/>
    <w:uiPriority w:val="0"/>
    <w:pPr>
      <w:tabs>
        <w:tab w:val="center" w:pos="4153"/>
        <w:tab w:val="right" w:pos="8306"/>
      </w:tabs>
      <w:snapToGrid w:val="0"/>
      <w:jc w:val="left"/>
    </w:pPr>
    <w:rPr>
      <w:sz w:val="18"/>
      <w:szCs w:val="18"/>
    </w:rPr>
  </w:style>
  <w:style w:type="paragraph" w:styleId="22">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3">
    <w:name w:val="toc 4"/>
    <w:basedOn w:val="1"/>
    <w:next w:val="1"/>
    <w:qFormat/>
    <w:uiPriority w:val="39"/>
    <w:pPr>
      <w:ind w:left="1260" w:leftChars="600"/>
    </w:pPr>
    <w:rPr>
      <w:sz w:val="21"/>
    </w:rPr>
  </w:style>
  <w:style w:type="paragraph" w:styleId="24">
    <w:name w:val="Subtitle"/>
    <w:basedOn w:val="1"/>
    <w:next w:val="1"/>
    <w:link w:val="66"/>
    <w:qFormat/>
    <w:uiPriority w:val="0"/>
    <w:pPr>
      <w:widowControl w:val="0"/>
      <w:spacing w:line="312" w:lineRule="auto"/>
      <w:outlineLvl w:val="1"/>
    </w:pPr>
    <w:rPr>
      <w:rFonts w:ascii="Cambria" w:hAnsi="Cambria"/>
      <w:b/>
      <w:bCs/>
      <w:kern w:val="28"/>
      <w:sz w:val="28"/>
      <w:szCs w:val="32"/>
    </w:rPr>
  </w:style>
  <w:style w:type="paragraph" w:styleId="25">
    <w:name w:val="footnote text"/>
    <w:basedOn w:val="1"/>
    <w:link w:val="67"/>
    <w:qFormat/>
    <w:uiPriority w:val="0"/>
    <w:pPr>
      <w:snapToGrid w:val="0"/>
    </w:pPr>
    <w:rPr>
      <w:sz w:val="18"/>
      <w:szCs w:val="18"/>
    </w:rPr>
  </w:style>
  <w:style w:type="paragraph" w:styleId="26">
    <w:name w:val="toc 6"/>
    <w:basedOn w:val="1"/>
    <w:next w:val="1"/>
    <w:qFormat/>
    <w:uiPriority w:val="39"/>
    <w:pPr>
      <w:ind w:left="2100" w:leftChars="1000"/>
    </w:pPr>
    <w:rPr>
      <w:sz w:val="21"/>
    </w:r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rPr>
      <w:sz w:val="21"/>
    </w:rPr>
  </w:style>
  <w:style w:type="paragraph" w:styleId="29">
    <w:name w:val="Normal (Web)"/>
    <w:basedOn w:val="1"/>
    <w:qFormat/>
    <w:uiPriority w:val="0"/>
    <w:pPr>
      <w:spacing w:before="100" w:beforeAutospacing="1" w:after="100" w:afterAutospacing="1" w:line="264" w:lineRule="atLeast"/>
    </w:pPr>
    <w:rPr>
      <w:rFonts w:ascii="Arial Unicode MS" w:hAnsi="Arial Unicode MS" w:eastAsia="Arial Unicode MS" w:cs="Arial Unicode MS"/>
      <w:kern w:val="0"/>
      <w:sz w:val="22"/>
    </w:rPr>
  </w:style>
  <w:style w:type="paragraph" w:styleId="30">
    <w:name w:val="Title"/>
    <w:basedOn w:val="1"/>
    <w:next w:val="1"/>
    <w:link w:val="68"/>
    <w:qFormat/>
    <w:uiPriority w:val="0"/>
    <w:pPr>
      <w:widowControl w:val="0"/>
      <w:spacing w:before="240" w:after="60"/>
      <w:jc w:val="center"/>
      <w:outlineLvl w:val="0"/>
    </w:pPr>
    <w:rPr>
      <w:rFonts w:ascii="Cambria" w:hAnsi="Cambria"/>
      <w:b/>
      <w:bCs/>
      <w:sz w:val="32"/>
      <w:szCs w:val="32"/>
    </w:rPr>
  </w:style>
  <w:style w:type="paragraph" w:styleId="31">
    <w:name w:val="annotation subject"/>
    <w:basedOn w:val="12"/>
    <w:next w:val="12"/>
    <w:link w:val="70"/>
    <w:qFormat/>
    <w:uiPriority w:val="0"/>
    <w:rPr>
      <w:b/>
      <w:bCs/>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FollowedHyperlink"/>
    <w:unhideWhenUsed/>
    <w:qFormat/>
    <w:uiPriority w:val="99"/>
    <w:rPr>
      <w:color w:val="800080"/>
      <w:u w:val="single"/>
    </w:rPr>
  </w:style>
  <w:style w:type="character" w:styleId="37">
    <w:name w:val="Emphasis"/>
    <w:basedOn w:val="34"/>
    <w:qFormat/>
    <w:uiPriority w:val="0"/>
    <w:rPr>
      <w:i/>
    </w:rPr>
  </w:style>
  <w:style w:type="character" w:styleId="38">
    <w:name w:val="Hyperlink"/>
    <w:qFormat/>
    <w:uiPriority w:val="99"/>
    <w:rPr>
      <w:color w:val="0000FF"/>
      <w:u w:val="single"/>
    </w:rPr>
  </w:style>
  <w:style w:type="character" w:styleId="39">
    <w:name w:val="annotation reference"/>
    <w:qFormat/>
    <w:uiPriority w:val="0"/>
    <w:rPr>
      <w:sz w:val="21"/>
      <w:szCs w:val="21"/>
    </w:rPr>
  </w:style>
  <w:style w:type="character" w:styleId="40">
    <w:name w:val="footnote reference"/>
    <w:qFormat/>
    <w:uiPriority w:val="0"/>
    <w:rPr>
      <w:vertAlign w:val="superscript"/>
    </w:rPr>
  </w:style>
  <w:style w:type="paragraph" w:customStyle="1" w:styleId="41">
    <w:name w:val="二级条标题"/>
    <w:basedOn w:val="1"/>
    <w:next w:val="1"/>
    <w:qFormat/>
    <w:uiPriority w:val="0"/>
    <w:pPr>
      <w:ind w:left="3360" w:hanging="420"/>
      <w:outlineLvl w:val="3"/>
    </w:pPr>
    <w:rPr>
      <w:rFonts w:ascii="黑体" w:eastAsia="黑体"/>
      <w:kern w:val="0"/>
      <w:szCs w:val="20"/>
    </w:rPr>
  </w:style>
  <w:style w:type="paragraph" w:customStyle="1" w:styleId="42">
    <w:name w:val="段"/>
    <w:qFormat/>
    <w:uiPriority w:val="0"/>
    <w:pPr>
      <w:autoSpaceDE w:val="0"/>
      <w:autoSpaceDN w:val="0"/>
      <w:ind w:firstLine="200" w:firstLineChars="200"/>
      <w:jc w:val="both"/>
    </w:pPr>
    <w:rPr>
      <w:rFonts w:ascii="宋体" w:hAnsi="Calibri" w:eastAsia="宋体" w:cs="Times New Roman"/>
      <w:kern w:val="2"/>
      <w:sz w:val="21"/>
      <w:szCs w:val="22"/>
      <w:lang w:val="en-US" w:eastAsia="zh-CN" w:bidi="ar-SA"/>
    </w:rPr>
  </w:style>
  <w:style w:type="paragraph" w:customStyle="1" w:styleId="43">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列出段落1"/>
    <w:basedOn w:val="1"/>
    <w:qFormat/>
    <w:uiPriority w:val="0"/>
    <w:pPr>
      <w:ind w:firstLine="420" w:firstLineChars="200"/>
    </w:pPr>
  </w:style>
  <w:style w:type="paragraph" w:customStyle="1" w:styleId="45">
    <w:name w:val="列出段落2"/>
    <w:basedOn w:val="1"/>
    <w:qFormat/>
    <w:uiPriority w:val="0"/>
    <w:pPr>
      <w:widowControl w:val="0"/>
      <w:ind w:firstLine="420" w:firstLineChars="200"/>
    </w:pPr>
  </w:style>
  <w:style w:type="paragraph" w:customStyle="1" w:styleId="46">
    <w:name w:val="Body text|1"/>
    <w:basedOn w:val="1"/>
    <w:qFormat/>
    <w:uiPriority w:val="0"/>
    <w:pPr>
      <w:widowControl w:val="0"/>
      <w:spacing w:after="60" w:line="305" w:lineRule="exact"/>
      <w:ind w:left="580" w:firstLine="420"/>
    </w:pPr>
    <w:rPr>
      <w:rFonts w:ascii="宋体" w:hAnsi="宋体" w:cs="宋体"/>
      <w:sz w:val="20"/>
      <w:szCs w:val="20"/>
      <w:lang w:val="zh-TW" w:eastAsia="zh-TW" w:bidi="zh-TW"/>
    </w:rPr>
  </w:style>
  <w:style w:type="paragraph" w:customStyle="1" w:styleId="47">
    <w:name w:val="Other|1"/>
    <w:basedOn w:val="1"/>
    <w:qFormat/>
    <w:uiPriority w:val="0"/>
    <w:pPr>
      <w:widowControl w:val="0"/>
      <w:spacing w:line="338" w:lineRule="auto"/>
      <w:jc w:val="center"/>
    </w:pPr>
    <w:rPr>
      <w:sz w:val="17"/>
      <w:szCs w:val="17"/>
      <w:lang w:val="zh-TW" w:eastAsia="zh-TW" w:bidi="zh-TW"/>
    </w:rPr>
  </w:style>
  <w:style w:type="paragraph" w:customStyle="1" w:styleId="48">
    <w:name w:val="Body text|2"/>
    <w:basedOn w:val="1"/>
    <w:qFormat/>
    <w:uiPriority w:val="0"/>
    <w:pPr>
      <w:widowControl w:val="0"/>
      <w:spacing w:after="320"/>
      <w:jc w:val="center"/>
    </w:pPr>
    <w:rPr>
      <w:sz w:val="19"/>
      <w:szCs w:val="19"/>
    </w:rPr>
  </w:style>
  <w:style w:type="paragraph" w:customStyle="1" w:styleId="49">
    <w:name w:val="Picture caption|1"/>
    <w:basedOn w:val="1"/>
    <w:qFormat/>
    <w:uiPriority w:val="0"/>
    <w:pPr>
      <w:widowControl w:val="0"/>
      <w:jc w:val="center"/>
    </w:pPr>
    <w:rPr>
      <w:rFonts w:ascii="宋体" w:hAnsi="宋体" w:cs="宋体"/>
      <w:sz w:val="17"/>
      <w:szCs w:val="17"/>
      <w:lang w:val="zh-TW" w:eastAsia="zh-TW" w:bidi="zh-TW"/>
    </w:rPr>
  </w:style>
  <w:style w:type="paragraph" w:customStyle="1" w:styleId="50">
    <w:name w:val="Header or footer|1"/>
    <w:basedOn w:val="1"/>
    <w:qFormat/>
    <w:uiPriority w:val="0"/>
    <w:pPr>
      <w:widowControl w:val="0"/>
    </w:pPr>
    <w:rPr>
      <w:sz w:val="20"/>
      <w:szCs w:val="20"/>
      <w:lang w:val="zh-TW" w:eastAsia="zh-TW" w:bidi="zh-TW"/>
    </w:rPr>
  </w:style>
  <w:style w:type="paragraph" w:customStyle="1" w:styleId="51">
    <w:name w:val="Table caption|1"/>
    <w:basedOn w:val="1"/>
    <w:qFormat/>
    <w:uiPriority w:val="0"/>
    <w:pPr>
      <w:widowControl w:val="0"/>
      <w:ind w:firstLine="90"/>
    </w:pPr>
    <w:rPr>
      <w:rFonts w:ascii="宋体" w:hAnsi="宋体" w:cs="宋体"/>
      <w:sz w:val="18"/>
      <w:szCs w:val="18"/>
      <w:lang w:val="zh-TW" w:eastAsia="zh-TW" w:bidi="zh-TW"/>
    </w:rPr>
  </w:style>
  <w:style w:type="paragraph" w:customStyle="1" w:styleId="52">
    <w:name w:val="Header or footer|2"/>
    <w:basedOn w:val="1"/>
    <w:qFormat/>
    <w:uiPriority w:val="0"/>
    <w:pPr>
      <w:widowControl w:val="0"/>
    </w:pPr>
    <w:rPr>
      <w:sz w:val="20"/>
      <w:szCs w:val="20"/>
      <w:lang w:val="zh-TW" w:eastAsia="zh-TW" w:bidi="zh-TW"/>
    </w:rPr>
  </w:style>
  <w:style w:type="character" w:customStyle="1" w:styleId="53">
    <w:name w:val="页眉 Char"/>
    <w:basedOn w:val="34"/>
    <w:link w:val="22"/>
    <w:qFormat/>
    <w:uiPriority w:val="0"/>
    <w:rPr>
      <w:rFonts w:ascii="Calibri" w:hAnsi="Calibri"/>
      <w:kern w:val="2"/>
      <w:sz w:val="18"/>
      <w:szCs w:val="18"/>
    </w:rPr>
  </w:style>
  <w:style w:type="character" w:customStyle="1" w:styleId="54">
    <w:name w:val="页脚 Char"/>
    <w:basedOn w:val="34"/>
    <w:link w:val="21"/>
    <w:qFormat/>
    <w:uiPriority w:val="99"/>
    <w:rPr>
      <w:rFonts w:ascii="Calibri" w:hAnsi="Calibri"/>
      <w:kern w:val="2"/>
      <w:sz w:val="18"/>
      <w:szCs w:val="18"/>
    </w:rPr>
  </w:style>
  <w:style w:type="character" w:customStyle="1" w:styleId="55">
    <w:name w:val="标题 2 Char"/>
    <w:basedOn w:val="34"/>
    <w:link w:val="3"/>
    <w:qFormat/>
    <w:uiPriority w:val="0"/>
    <w:rPr>
      <w:rFonts w:ascii="Cambria" w:hAnsi="Cambria"/>
      <w:b/>
      <w:bCs/>
      <w:kern w:val="2"/>
      <w:sz w:val="32"/>
      <w:szCs w:val="32"/>
    </w:rPr>
  </w:style>
  <w:style w:type="character" w:customStyle="1" w:styleId="56">
    <w:name w:val="标题 3 Char"/>
    <w:basedOn w:val="34"/>
    <w:link w:val="4"/>
    <w:qFormat/>
    <w:uiPriority w:val="0"/>
    <w:rPr>
      <w:rFonts w:ascii="宋体" w:hAnsi="宋体"/>
      <w:b/>
      <w:bCs/>
      <w:kern w:val="2"/>
      <w:sz w:val="28"/>
      <w:szCs w:val="24"/>
    </w:rPr>
  </w:style>
  <w:style w:type="character" w:customStyle="1" w:styleId="57">
    <w:name w:val="标题 1 Char"/>
    <w:basedOn w:val="34"/>
    <w:link w:val="2"/>
    <w:qFormat/>
    <w:uiPriority w:val="0"/>
    <w:rPr>
      <w:rFonts w:ascii="Calibri" w:hAnsi="Calibri" w:eastAsia="黑体"/>
      <w:b/>
      <w:bCs/>
      <w:kern w:val="44"/>
      <w:sz w:val="44"/>
      <w:szCs w:val="44"/>
    </w:rPr>
  </w:style>
  <w:style w:type="character" w:customStyle="1" w:styleId="58">
    <w:name w:val="标题 4 Char"/>
    <w:basedOn w:val="34"/>
    <w:link w:val="6"/>
    <w:qFormat/>
    <w:uiPriority w:val="0"/>
    <w:rPr>
      <w:rFonts w:ascii="Cambria" w:hAnsi="Cambria"/>
      <w:b/>
      <w:bCs/>
      <w:kern w:val="2"/>
      <w:sz w:val="28"/>
      <w:szCs w:val="28"/>
    </w:rPr>
  </w:style>
  <w:style w:type="character" w:customStyle="1" w:styleId="59">
    <w:name w:val="标题 7 Char"/>
    <w:basedOn w:val="34"/>
    <w:link w:val="8"/>
    <w:qFormat/>
    <w:uiPriority w:val="0"/>
    <w:rPr>
      <w:rFonts w:ascii="Calibri" w:hAnsi="Calibri"/>
      <w:b/>
      <w:bCs/>
      <w:sz w:val="24"/>
      <w:szCs w:val="24"/>
    </w:rPr>
  </w:style>
  <w:style w:type="character" w:customStyle="1" w:styleId="60">
    <w:name w:val="标题 8 Char"/>
    <w:basedOn w:val="34"/>
    <w:link w:val="9"/>
    <w:qFormat/>
    <w:uiPriority w:val="0"/>
    <w:rPr>
      <w:rFonts w:ascii="Cambria" w:hAnsi="Cambria"/>
      <w:b/>
      <w:kern w:val="2"/>
      <w:sz w:val="28"/>
      <w:szCs w:val="24"/>
    </w:rPr>
  </w:style>
  <w:style w:type="character" w:customStyle="1" w:styleId="61">
    <w:name w:val="标题 5 Char"/>
    <w:basedOn w:val="34"/>
    <w:link w:val="7"/>
    <w:qFormat/>
    <w:uiPriority w:val="0"/>
    <w:rPr>
      <w:rFonts w:ascii="Calibri" w:hAnsi="Calibri"/>
      <w:b/>
      <w:bCs/>
      <w:kern w:val="2"/>
      <w:sz w:val="24"/>
      <w:szCs w:val="28"/>
    </w:rPr>
  </w:style>
  <w:style w:type="character" w:customStyle="1" w:styleId="62">
    <w:name w:val="批注文字 Char"/>
    <w:basedOn w:val="34"/>
    <w:qFormat/>
    <w:uiPriority w:val="0"/>
    <w:rPr>
      <w:kern w:val="2"/>
      <w:sz w:val="24"/>
      <w:szCs w:val="22"/>
    </w:rPr>
  </w:style>
  <w:style w:type="character" w:customStyle="1" w:styleId="63">
    <w:name w:val="正文文本缩进 Char"/>
    <w:basedOn w:val="34"/>
    <w:link w:val="14"/>
    <w:qFormat/>
    <w:uiPriority w:val="0"/>
    <w:rPr>
      <w:rFonts w:ascii="宋体" w:hAnsi="宋体"/>
      <w:kern w:val="2"/>
      <w:sz w:val="21"/>
      <w:szCs w:val="24"/>
    </w:rPr>
  </w:style>
  <w:style w:type="character" w:customStyle="1" w:styleId="64">
    <w:name w:val="日期 Char"/>
    <w:basedOn w:val="34"/>
    <w:link w:val="19"/>
    <w:qFormat/>
    <w:uiPriority w:val="0"/>
    <w:rPr>
      <w:rFonts w:ascii="Calibri" w:hAnsi="Calibri"/>
      <w:kern w:val="2"/>
      <w:sz w:val="24"/>
      <w:szCs w:val="22"/>
    </w:rPr>
  </w:style>
  <w:style w:type="character" w:customStyle="1" w:styleId="65">
    <w:name w:val="批注框文本 Char"/>
    <w:basedOn w:val="34"/>
    <w:link w:val="20"/>
    <w:qFormat/>
    <w:uiPriority w:val="0"/>
    <w:rPr>
      <w:rFonts w:ascii="Calibri" w:hAnsi="Calibri"/>
      <w:kern w:val="2"/>
      <w:sz w:val="18"/>
      <w:szCs w:val="18"/>
    </w:rPr>
  </w:style>
  <w:style w:type="character" w:customStyle="1" w:styleId="66">
    <w:name w:val="副标题 Char"/>
    <w:basedOn w:val="34"/>
    <w:link w:val="24"/>
    <w:qFormat/>
    <w:uiPriority w:val="0"/>
    <w:rPr>
      <w:rFonts w:ascii="Cambria" w:hAnsi="Cambria"/>
      <w:b/>
      <w:bCs/>
      <w:kern w:val="28"/>
      <w:sz w:val="28"/>
      <w:szCs w:val="32"/>
    </w:rPr>
  </w:style>
  <w:style w:type="character" w:customStyle="1" w:styleId="67">
    <w:name w:val="脚注文本 Char"/>
    <w:basedOn w:val="34"/>
    <w:link w:val="25"/>
    <w:qFormat/>
    <w:uiPriority w:val="0"/>
    <w:rPr>
      <w:rFonts w:ascii="Calibri" w:hAnsi="Calibri"/>
      <w:kern w:val="2"/>
      <w:sz w:val="18"/>
      <w:szCs w:val="18"/>
    </w:rPr>
  </w:style>
  <w:style w:type="character" w:customStyle="1" w:styleId="68">
    <w:name w:val="标题 Char"/>
    <w:basedOn w:val="34"/>
    <w:link w:val="30"/>
    <w:qFormat/>
    <w:uiPriority w:val="0"/>
    <w:rPr>
      <w:rFonts w:ascii="Cambria" w:hAnsi="Cambria"/>
      <w:b/>
      <w:bCs/>
      <w:kern w:val="2"/>
      <w:sz w:val="32"/>
      <w:szCs w:val="32"/>
    </w:rPr>
  </w:style>
  <w:style w:type="character" w:customStyle="1" w:styleId="69">
    <w:name w:val="批注文字 Char1"/>
    <w:basedOn w:val="34"/>
    <w:link w:val="12"/>
    <w:qFormat/>
    <w:uiPriority w:val="0"/>
    <w:rPr>
      <w:rFonts w:ascii="Calibri" w:hAnsi="Calibri"/>
      <w:kern w:val="2"/>
      <w:sz w:val="24"/>
      <w:szCs w:val="22"/>
    </w:rPr>
  </w:style>
  <w:style w:type="character" w:customStyle="1" w:styleId="70">
    <w:name w:val="批注主题 Char"/>
    <w:basedOn w:val="69"/>
    <w:link w:val="31"/>
    <w:qFormat/>
    <w:uiPriority w:val="0"/>
    <w:rPr>
      <w:rFonts w:ascii="Calibri" w:hAnsi="Calibri"/>
      <w:b/>
      <w:bCs/>
      <w:kern w:val="2"/>
      <w:sz w:val="24"/>
      <w:szCs w:val="22"/>
    </w:rPr>
  </w:style>
  <w:style w:type="character" w:customStyle="1" w:styleId="71">
    <w:name w:val="Heading 7 Char"/>
    <w:qFormat/>
    <w:uiPriority w:val="0"/>
    <w:rPr>
      <w:rFonts w:eastAsia="宋体"/>
      <w:b/>
      <w:bCs/>
      <w:kern w:val="2"/>
      <w:sz w:val="24"/>
      <w:szCs w:val="21"/>
      <w:lang w:val="en-US" w:eastAsia="zh-CN" w:bidi="ar-SA"/>
    </w:rPr>
  </w:style>
  <w:style w:type="character" w:customStyle="1" w:styleId="72">
    <w:name w:val="Heading 8 Char"/>
    <w:qFormat/>
    <w:uiPriority w:val="0"/>
    <w:rPr>
      <w:rFonts w:ascii="Arial" w:hAnsi="Arial" w:eastAsia="黑体"/>
      <w:kern w:val="2"/>
      <w:sz w:val="24"/>
      <w:szCs w:val="21"/>
      <w:lang w:val="en-US" w:eastAsia="zh-CN" w:bidi="ar-SA"/>
    </w:rPr>
  </w:style>
  <w:style w:type="character" w:customStyle="1" w:styleId="73">
    <w:name w:val="Heading 5 Char"/>
    <w:qFormat/>
    <w:uiPriority w:val="0"/>
    <w:rPr>
      <w:rFonts w:eastAsia="宋体"/>
      <w:b/>
      <w:bCs/>
      <w:kern w:val="2"/>
      <w:sz w:val="28"/>
      <w:szCs w:val="28"/>
      <w:lang w:val="en-US" w:eastAsia="zh-CN" w:bidi="ar-SA"/>
    </w:rPr>
  </w:style>
  <w:style w:type="character" w:styleId="74">
    <w:name w:val="Placeholder Text"/>
    <w:qFormat/>
    <w:uiPriority w:val="0"/>
    <w:rPr>
      <w:color w:val="808080"/>
    </w:rPr>
  </w:style>
  <w:style w:type="character" w:customStyle="1" w:styleId="75">
    <w:name w:val="Header Char"/>
    <w:qFormat/>
    <w:uiPriority w:val="0"/>
    <w:rPr>
      <w:rFonts w:eastAsia="宋体"/>
      <w:kern w:val="2"/>
      <w:sz w:val="18"/>
      <w:szCs w:val="18"/>
      <w:lang w:val="en-US" w:eastAsia="zh-CN" w:bidi="ar-SA"/>
    </w:rPr>
  </w:style>
  <w:style w:type="paragraph" w:customStyle="1" w:styleId="76">
    <w:name w:val="列出段落3"/>
    <w:basedOn w:val="1"/>
    <w:qFormat/>
    <w:uiPriority w:val="0"/>
    <w:pPr>
      <w:widowControl w:val="0"/>
      <w:ind w:firstLine="420" w:firstLineChars="200"/>
    </w:pPr>
  </w:style>
  <w:style w:type="paragraph" w:customStyle="1" w:styleId="77">
    <w:name w:val="TOC Heading"/>
    <w:basedOn w:val="2"/>
    <w:next w:val="1"/>
    <w:qFormat/>
    <w:uiPriority w:val="39"/>
    <w:pPr>
      <w:spacing w:before="480" w:after="0" w:line="276" w:lineRule="auto"/>
      <w:jc w:val="left"/>
      <w:outlineLvl w:val="9"/>
    </w:pPr>
    <w:rPr>
      <w:rFonts w:ascii="Cambria" w:hAnsi="Cambria" w:eastAsia="宋体"/>
      <w:color w:val="365F91"/>
      <w:kern w:val="0"/>
      <w:sz w:val="28"/>
      <w:szCs w:val="28"/>
    </w:rPr>
  </w:style>
  <w:style w:type="paragraph" w:customStyle="1" w:styleId="78">
    <w:name w:val="三级条标题"/>
    <w:basedOn w:val="41"/>
    <w:next w:val="42"/>
    <w:qFormat/>
    <w:uiPriority w:val="0"/>
    <w:pPr>
      <w:ind w:left="0" w:firstLine="0"/>
      <w:outlineLvl w:val="4"/>
    </w:pPr>
  </w:style>
  <w:style w:type="paragraph" w:customStyle="1" w:styleId="79">
    <w:name w:val="章标题"/>
    <w:next w:val="42"/>
    <w:qFormat/>
    <w:uiPriority w:val="0"/>
    <w:pPr>
      <w:spacing w:before="156" w:beforeLines="50" w:after="156" w:afterLines="50"/>
      <w:ind w:left="2520" w:hanging="420"/>
      <w:jc w:val="both"/>
      <w:outlineLvl w:val="1"/>
    </w:pPr>
    <w:rPr>
      <w:rFonts w:ascii="黑体" w:hAnsi="Calibri" w:eastAsia="黑体" w:cs="Times New Roman"/>
      <w:kern w:val="2"/>
      <w:sz w:val="21"/>
      <w:szCs w:val="22"/>
      <w:lang w:val="en-US" w:eastAsia="zh-CN" w:bidi="ar-SA"/>
    </w:rPr>
  </w:style>
  <w:style w:type="paragraph" w:styleId="80">
    <w:name w:val="List Paragraph"/>
    <w:basedOn w:val="1"/>
    <w:qFormat/>
    <w:uiPriority w:val="34"/>
    <w:pPr>
      <w:ind w:firstLine="420" w:firstLineChars="200"/>
    </w:pPr>
  </w:style>
  <w:style w:type="paragraph" w:customStyle="1" w:styleId="81">
    <w:name w:val="一级条标题"/>
    <w:basedOn w:val="79"/>
    <w:next w:val="42"/>
    <w:qFormat/>
    <w:uiPriority w:val="0"/>
    <w:pPr>
      <w:ind w:left="2940"/>
      <w:outlineLvl w:val="2"/>
    </w:pPr>
  </w:style>
  <w:style w:type="paragraph" w:styleId="82">
    <w:name w:val="No Spacing"/>
    <w:qFormat/>
    <w:uiPriority w:val="0"/>
    <w:pPr>
      <w:widowControl w:val="0"/>
      <w:jc w:val="both"/>
    </w:pPr>
    <w:rPr>
      <w:rFonts w:ascii="Calibri" w:hAnsi="Calibri" w:eastAsia="宋体" w:cs="Times New Roman"/>
      <w:kern w:val="2"/>
      <w:sz w:val="24"/>
      <w:szCs w:val="22"/>
      <w:lang w:val="en-US" w:eastAsia="zh-CN" w:bidi="ar-SA"/>
    </w:rPr>
  </w:style>
  <w:style w:type="paragraph" w:customStyle="1" w:styleId="83">
    <w:name w:val="五级条标题"/>
    <w:basedOn w:val="84"/>
    <w:next w:val="42"/>
    <w:qFormat/>
    <w:uiPriority w:val="0"/>
    <w:pPr>
      <w:outlineLvl w:val="6"/>
    </w:pPr>
  </w:style>
  <w:style w:type="paragraph" w:customStyle="1" w:styleId="84">
    <w:name w:val="四级条标题"/>
    <w:basedOn w:val="78"/>
    <w:next w:val="42"/>
    <w:qFormat/>
    <w:uiPriority w:val="0"/>
    <w:pPr>
      <w:outlineLvl w:val="5"/>
    </w:pPr>
  </w:style>
  <w:style w:type="paragraph" w:customStyle="1" w:styleId="85">
    <w:name w:val="前言、引言标题"/>
    <w:next w:val="1"/>
    <w:qFormat/>
    <w:uiPriority w:val="0"/>
    <w:pPr>
      <w:shd w:val="clear" w:color="FFFFFF" w:fill="FFFFFF"/>
      <w:spacing w:before="640" w:after="560"/>
      <w:ind w:left="2040" w:hanging="360"/>
      <w:jc w:val="center"/>
      <w:outlineLvl w:val="0"/>
    </w:pPr>
    <w:rPr>
      <w:rFonts w:ascii="黑体" w:hAnsi="Calibri" w:eastAsia="黑体" w:cs="Times New Roman"/>
      <w:kern w:val="2"/>
      <w:sz w:val="32"/>
      <w:szCs w:val="22"/>
      <w:lang w:val="en-US" w:eastAsia="zh-CN" w:bidi="ar-SA"/>
    </w:rPr>
  </w:style>
  <w:style w:type="paragraph" w:customStyle="1" w:styleId="86">
    <w:name w:val="Revision"/>
    <w:semiHidden/>
    <w:qFormat/>
    <w:uiPriority w:val="99"/>
    <w:rPr>
      <w:rFonts w:ascii="Calibri" w:hAnsi="Calibri" w:eastAsia="宋体" w:cs="Times New Roman"/>
      <w:kern w:val="2"/>
      <w:sz w:val="24"/>
      <w:szCs w:val="22"/>
      <w:lang w:val="en-US" w:eastAsia="zh-CN" w:bidi="ar-SA"/>
    </w:rPr>
  </w:style>
  <w:style w:type="character" w:customStyle="1" w:styleId="87">
    <w:name w:val="正文文本 Char"/>
    <w:basedOn w:val="34"/>
    <w:link w:val="13"/>
    <w:qFormat/>
    <w:uiPriority w:val="99"/>
    <w:rPr>
      <w:rFonts w:ascii="Calibri" w:hAnsi="Calibri"/>
      <w:kern w:val="2"/>
      <w:sz w:val="24"/>
      <w:szCs w:val="22"/>
    </w:rPr>
  </w:style>
  <w:style w:type="character" w:customStyle="1" w:styleId="88">
    <w:name w:val="纯文本 Char"/>
    <w:basedOn w:val="34"/>
    <w:link w:val="17"/>
    <w:qFormat/>
    <w:uiPriority w:val="0"/>
    <w:rPr>
      <w:rFonts w:ascii="宋体" w:hAnsi="Courier New"/>
      <w:kern w:val="2"/>
      <w:sz w:val="21"/>
      <w:szCs w:val="21"/>
    </w:rPr>
  </w:style>
  <w:style w:type="character" w:customStyle="1" w:styleId="89">
    <w:name w:val="Char Char12"/>
    <w:basedOn w:val="34"/>
    <w:qFormat/>
    <w:uiPriority w:val="0"/>
    <w:rPr>
      <w:rFonts w:hint="default" w:ascii="Cambria" w:hAnsi="Cambria" w:eastAsia="宋体" w:cs="Cambria"/>
      <w:b/>
      <w:bCs/>
      <w:kern w:val="2"/>
      <w:sz w:val="32"/>
      <w:szCs w:val="32"/>
      <w:lang w:val="en-US" w:eastAsia="zh-CN" w:bidi="ar"/>
    </w:rPr>
  </w:style>
  <w:style w:type="paragraph" w:customStyle="1" w:styleId="90">
    <w:name w:val="样式1"/>
    <w:basedOn w:val="1"/>
    <w:qFormat/>
    <w:uiPriority w:val="0"/>
    <w:pPr>
      <w:widowControl w:val="0"/>
      <w:spacing w:line="360" w:lineRule="auto"/>
    </w:pPr>
    <w:rPr>
      <w:rFonts w:ascii="Times New Roman" w:hAnsi="Times New Roman"/>
      <w:sz w:val="28"/>
      <w:szCs w:val="28"/>
    </w:rPr>
  </w:style>
  <w:style w:type="table" w:customStyle="1" w:styleId="91">
    <w:name w:val="网格型1"/>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
    <w:name w:val="网格型2"/>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3">
    <w:name w:val="15"/>
    <w:qFormat/>
    <w:uiPriority w:val="0"/>
    <w:rPr>
      <w:rFonts w:hint="default" w:ascii="Times New Roman" w:hAnsi="Times New Roman" w:eastAsia="宋体" w:cs="Times New Roman"/>
      <w:sz w:val="18"/>
      <w:szCs w:val="18"/>
    </w:rPr>
  </w:style>
  <w:style w:type="table" w:customStyle="1" w:styleId="94">
    <w:name w:val="Table Normal"/>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95">
    <w:name w:val="WPSOffice手动目录 1"/>
    <w:qFormat/>
    <w:uiPriority w:val="0"/>
    <w:pPr>
      <w:ind w:leftChars="0"/>
    </w:pPr>
    <w:rPr>
      <w:rFonts w:ascii="Times New Roman" w:hAnsi="Times New Roman" w:eastAsia="宋体" w:cs="Times New Roman"/>
      <w:sz w:val="20"/>
      <w:szCs w:val="20"/>
    </w:rPr>
  </w:style>
  <w:style w:type="paragraph" w:customStyle="1" w:styleId="96">
    <w:name w:val="WPSOffice手动目录 2"/>
    <w:qFormat/>
    <w:uiPriority w:val="0"/>
    <w:pPr>
      <w:ind w:leftChars="200"/>
    </w:pPr>
    <w:rPr>
      <w:rFonts w:ascii="Times New Roman" w:hAnsi="Times New Roman" w:eastAsia="宋体" w:cs="Times New Roman"/>
      <w:sz w:val="20"/>
      <w:szCs w:val="20"/>
    </w:rPr>
  </w:style>
  <w:style w:type="paragraph" w:customStyle="1" w:styleId="97">
    <w:name w:val="正文1"/>
    <w:basedOn w:val="98"/>
    <w:next w:val="1"/>
    <w:qFormat/>
    <w:uiPriority w:val="0"/>
    <w:rPr>
      <w:rFonts w:ascii="Times New Roman" w:hAnsi="Times New Roman"/>
      <w:sz w:val="32"/>
      <w:lang w:val="en-US" w:eastAsia="zh-CN" w:bidi="ar-SA"/>
    </w:rPr>
  </w:style>
  <w:style w:type="paragraph" w:customStyle="1" w:styleId="98">
    <w:name w:val="前言"/>
    <w:basedOn w:val="1"/>
    <w:qFormat/>
    <w:uiPriority w:val="0"/>
    <w:pPr>
      <w:spacing w:line="360" w:lineRule="auto"/>
      <w:ind w:firstLine="200" w:firstLineChars="200"/>
    </w:pPr>
    <w:rPr>
      <w:sz w:val="28"/>
      <w:szCs w:val="28"/>
    </w:rPr>
  </w:style>
  <w:style w:type="paragraph" w:customStyle="1" w:styleId="99">
    <w:name w:val="正文2"/>
    <w:basedOn w:val="1"/>
    <w:qFormat/>
    <w:uiPriority w:val="0"/>
    <w:pPr>
      <w:spacing w:line="360" w:lineRule="auto"/>
      <w:ind w:firstLine="200" w:firstLineChars="200"/>
    </w:pPr>
    <w:rPr>
      <w:sz w:val="28"/>
      <w:szCs w:val="2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0.bin"/><Relationship Id="rId98" Type="http://schemas.openxmlformats.org/officeDocument/2006/relationships/image" Target="media/image82.wmf"/><Relationship Id="rId97" Type="http://schemas.openxmlformats.org/officeDocument/2006/relationships/oleObject" Target="embeddings/oleObject9.bin"/><Relationship Id="rId96" Type="http://schemas.openxmlformats.org/officeDocument/2006/relationships/image" Target="media/image81.wmf"/><Relationship Id="rId95" Type="http://schemas.openxmlformats.org/officeDocument/2006/relationships/oleObject" Target="embeddings/oleObject8.bin"/><Relationship Id="rId94" Type="http://schemas.openxmlformats.org/officeDocument/2006/relationships/oleObject" Target="embeddings/oleObject7.bin"/><Relationship Id="rId939" Type="http://schemas.openxmlformats.org/officeDocument/2006/relationships/fontTable" Target="fontTable.xml"/><Relationship Id="rId938" Type="http://schemas.openxmlformats.org/officeDocument/2006/relationships/numbering" Target="numbering.xml"/><Relationship Id="rId937" Type="http://schemas.openxmlformats.org/officeDocument/2006/relationships/customXml" Target="../customXml/item1.xml"/><Relationship Id="rId936" Type="http://schemas.openxmlformats.org/officeDocument/2006/relationships/image" Target="media/image607.emf"/><Relationship Id="rId935" Type="http://schemas.openxmlformats.org/officeDocument/2006/relationships/image" Target="media/image606.emf"/><Relationship Id="rId934" Type="http://schemas.openxmlformats.org/officeDocument/2006/relationships/image" Target="media/image605.wmf"/><Relationship Id="rId933" Type="http://schemas.openxmlformats.org/officeDocument/2006/relationships/image" Target="media/image604.wmf"/><Relationship Id="rId932" Type="http://schemas.openxmlformats.org/officeDocument/2006/relationships/oleObject" Target="embeddings/oleObject322.bin"/><Relationship Id="rId931" Type="http://schemas.openxmlformats.org/officeDocument/2006/relationships/image" Target="media/image603.wmf"/><Relationship Id="rId930" Type="http://schemas.openxmlformats.org/officeDocument/2006/relationships/oleObject" Target="embeddings/oleObject321.bin"/><Relationship Id="rId93" Type="http://schemas.openxmlformats.org/officeDocument/2006/relationships/oleObject" Target="embeddings/oleObject6.bin"/><Relationship Id="rId929" Type="http://schemas.openxmlformats.org/officeDocument/2006/relationships/image" Target="media/image602.wmf"/><Relationship Id="rId928" Type="http://schemas.openxmlformats.org/officeDocument/2006/relationships/oleObject" Target="embeddings/oleObject320.bin"/><Relationship Id="rId927" Type="http://schemas.openxmlformats.org/officeDocument/2006/relationships/image" Target="media/image601.wmf"/><Relationship Id="rId926" Type="http://schemas.openxmlformats.org/officeDocument/2006/relationships/oleObject" Target="embeddings/oleObject319.bin"/><Relationship Id="rId925" Type="http://schemas.openxmlformats.org/officeDocument/2006/relationships/image" Target="media/image600.wmf"/><Relationship Id="rId924" Type="http://schemas.openxmlformats.org/officeDocument/2006/relationships/oleObject" Target="embeddings/oleObject318.bin"/><Relationship Id="rId923" Type="http://schemas.openxmlformats.org/officeDocument/2006/relationships/image" Target="media/image599.wmf"/><Relationship Id="rId922" Type="http://schemas.openxmlformats.org/officeDocument/2006/relationships/oleObject" Target="embeddings/oleObject317.bin"/><Relationship Id="rId921" Type="http://schemas.openxmlformats.org/officeDocument/2006/relationships/image" Target="media/image598.wmf"/><Relationship Id="rId920" Type="http://schemas.openxmlformats.org/officeDocument/2006/relationships/image" Target="media/image597.wmf"/><Relationship Id="rId92" Type="http://schemas.openxmlformats.org/officeDocument/2006/relationships/image" Target="media/image80.wmf"/><Relationship Id="rId919" Type="http://schemas.openxmlformats.org/officeDocument/2006/relationships/image" Target="media/image596.wmf"/><Relationship Id="rId918" Type="http://schemas.openxmlformats.org/officeDocument/2006/relationships/image" Target="media/image595.wmf"/><Relationship Id="rId917" Type="http://schemas.openxmlformats.org/officeDocument/2006/relationships/image" Target="media/image594.wmf"/><Relationship Id="rId916" Type="http://schemas.openxmlformats.org/officeDocument/2006/relationships/image" Target="media/image593.wmf"/><Relationship Id="rId915" Type="http://schemas.openxmlformats.org/officeDocument/2006/relationships/image" Target="media/image592.wmf"/><Relationship Id="rId914" Type="http://schemas.openxmlformats.org/officeDocument/2006/relationships/image" Target="media/image591.wmf"/><Relationship Id="rId913" Type="http://schemas.openxmlformats.org/officeDocument/2006/relationships/image" Target="media/image590.wmf"/><Relationship Id="rId912" Type="http://schemas.openxmlformats.org/officeDocument/2006/relationships/image" Target="media/image589.wmf"/><Relationship Id="rId911" Type="http://schemas.openxmlformats.org/officeDocument/2006/relationships/image" Target="media/image588.wmf"/><Relationship Id="rId910" Type="http://schemas.openxmlformats.org/officeDocument/2006/relationships/image" Target="media/image587.wmf"/><Relationship Id="rId91" Type="http://schemas.openxmlformats.org/officeDocument/2006/relationships/oleObject" Target="embeddings/oleObject5.bin"/><Relationship Id="rId909" Type="http://schemas.openxmlformats.org/officeDocument/2006/relationships/image" Target="media/image586.wmf"/><Relationship Id="rId908" Type="http://schemas.openxmlformats.org/officeDocument/2006/relationships/oleObject" Target="embeddings/oleObject316.bin"/><Relationship Id="rId907" Type="http://schemas.openxmlformats.org/officeDocument/2006/relationships/oleObject" Target="embeddings/oleObject315.bin"/><Relationship Id="rId906" Type="http://schemas.openxmlformats.org/officeDocument/2006/relationships/oleObject" Target="embeddings/oleObject314.bin"/><Relationship Id="rId905" Type="http://schemas.openxmlformats.org/officeDocument/2006/relationships/image" Target="media/image585.wmf"/><Relationship Id="rId904" Type="http://schemas.openxmlformats.org/officeDocument/2006/relationships/oleObject" Target="embeddings/oleObject313.bin"/><Relationship Id="rId903" Type="http://schemas.openxmlformats.org/officeDocument/2006/relationships/image" Target="media/image584.wmf"/><Relationship Id="rId902" Type="http://schemas.openxmlformats.org/officeDocument/2006/relationships/oleObject" Target="embeddings/oleObject312.bin"/><Relationship Id="rId901" Type="http://schemas.openxmlformats.org/officeDocument/2006/relationships/image" Target="media/image583.wmf"/><Relationship Id="rId900" Type="http://schemas.openxmlformats.org/officeDocument/2006/relationships/oleObject" Target="embeddings/oleObject311.bin"/><Relationship Id="rId90" Type="http://schemas.openxmlformats.org/officeDocument/2006/relationships/image" Target="media/image79.wmf"/><Relationship Id="rId9" Type="http://schemas.openxmlformats.org/officeDocument/2006/relationships/image" Target="media/image2.wmf"/><Relationship Id="rId899" Type="http://schemas.openxmlformats.org/officeDocument/2006/relationships/image" Target="media/image582.wmf"/><Relationship Id="rId898" Type="http://schemas.openxmlformats.org/officeDocument/2006/relationships/oleObject" Target="embeddings/oleObject310.bin"/><Relationship Id="rId897" Type="http://schemas.openxmlformats.org/officeDocument/2006/relationships/image" Target="media/image581.wmf"/><Relationship Id="rId896" Type="http://schemas.openxmlformats.org/officeDocument/2006/relationships/oleObject" Target="embeddings/oleObject309.bin"/><Relationship Id="rId895" Type="http://schemas.openxmlformats.org/officeDocument/2006/relationships/oleObject" Target="embeddings/oleObject308.bin"/><Relationship Id="rId894" Type="http://schemas.openxmlformats.org/officeDocument/2006/relationships/oleObject" Target="embeddings/oleObject307.bin"/><Relationship Id="rId893" Type="http://schemas.openxmlformats.org/officeDocument/2006/relationships/image" Target="media/image580.wmf"/><Relationship Id="rId892" Type="http://schemas.openxmlformats.org/officeDocument/2006/relationships/oleObject" Target="embeddings/oleObject306.bin"/><Relationship Id="rId891" Type="http://schemas.openxmlformats.org/officeDocument/2006/relationships/image" Target="media/image579.wmf"/><Relationship Id="rId890" Type="http://schemas.openxmlformats.org/officeDocument/2006/relationships/oleObject" Target="embeddings/oleObject305.bin"/><Relationship Id="rId89" Type="http://schemas.openxmlformats.org/officeDocument/2006/relationships/oleObject" Target="embeddings/oleObject4.bin"/><Relationship Id="rId889" Type="http://schemas.openxmlformats.org/officeDocument/2006/relationships/image" Target="media/image578.wmf"/><Relationship Id="rId888" Type="http://schemas.openxmlformats.org/officeDocument/2006/relationships/oleObject" Target="embeddings/oleObject304.bin"/><Relationship Id="rId887" Type="http://schemas.openxmlformats.org/officeDocument/2006/relationships/image" Target="media/image577.wmf"/><Relationship Id="rId886" Type="http://schemas.openxmlformats.org/officeDocument/2006/relationships/oleObject" Target="embeddings/oleObject303.bin"/><Relationship Id="rId885" Type="http://schemas.openxmlformats.org/officeDocument/2006/relationships/image" Target="media/image576.wmf"/><Relationship Id="rId884" Type="http://schemas.openxmlformats.org/officeDocument/2006/relationships/oleObject" Target="embeddings/oleObject302.bin"/><Relationship Id="rId883" Type="http://schemas.openxmlformats.org/officeDocument/2006/relationships/oleObject" Target="embeddings/oleObject301.bin"/><Relationship Id="rId882" Type="http://schemas.openxmlformats.org/officeDocument/2006/relationships/image" Target="media/image575.wmf"/><Relationship Id="rId881" Type="http://schemas.openxmlformats.org/officeDocument/2006/relationships/oleObject" Target="embeddings/oleObject300.bin"/><Relationship Id="rId880" Type="http://schemas.openxmlformats.org/officeDocument/2006/relationships/image" Target="media/image574.png"/><Relationship Id="rId88" Type="http://schemas.openxmlformats.org/officeDocument/2006/relationships/image" Target="media/image78.wmf"/><Relationship Id="rId879" Type="http://schemas.openxmlformats.org/officeDocument/2006/relationships/image" Target="media/image573.wmf"/><Relationship Id="rId878" Type="http://schemas.openxmlformats.org/officeDocument/2006/relationships/oleObject" Target="embeddings/oleObject299.bin"/><Relationship Id="rId877" Type="http://schemas.openxmlformats.org/officeDocument/2006/relationships/image" Target="media/image572.wmf"/><Relationship Id="rId876" Type="http://schemas.openxmlformats.org/officeDocument/2006/relationships/oleObject" Target="embeddings/oleObject298.bin"/><Relationship Id="rId875" Type="http://schemas.openxmlformats.org/officeDocument/2006/relationships/image" Target="media/image571.wmf"/><Relationship Id="rId874" Type="http://schemas.openxmlformats.org/officeDocument/2006/relationships/oleObject" Target="embeddings/oleObject297.bin"/><Relationship Id="rId873" Type="http://schemas.openxmlformats.org/officeDocument/2006/relationships/image" Target="media/image570.wmf"/><Relationship Id="rId872" Type="http://schemas.openxmlformats.org/officeDocument/2006/relationships/oleObject" Target="embeddings/oleObject296.bin"/><Relationship Id="rId871" Type="http://schemas.openxmlformats.org/officeDocument/2006/relationships/image" Target="media/image569.wmf"/><Relationship Id="rId870" Type="http://schemas.openxmlformats.org/officeDocument/2006/relationships/oleObject" Target="embeddings/oleObject295.bin"/><Relationship Id="rId87" Type="http://schemas.openxmlformats.org/officeDocument/2006/relationships/oleObject" Target="embeddings/oleObject3.bin"/><Relationship Id="rId869" Type="http://schemas.openxmlformats.org/officeDocument/2006/relationships/image" Target="media/image568.wmf"/><Relationship Id="rId868" Type="http://schemas.openxmlformats.org/officeDocument/2006/relationships/oleObject" Target="embeddings/oleObject294.bin"/><Relationship Id="rId867" Type="http://schemas.openxmlformats.org/officeDocument/2006/relationships/image" Target="media/image567.wmf"/><Relationship Id="rId866" Type="http://schemas.openxmlformats.org/officeDocument/2006/relationships/image" Target="media/image566.wmf"/><Relationship Id="rId865" Type="http://schemas.openxmlformats.org/officeDocument/2006/relationships/oleObject" Target="embeddings/oleObject293.bin"/><Relationship Id="rId864" Type="http://schemas.openxmlformats.org/officeDocument/2006/relationships/image" Target="media/image565.wmf"/><Relationship Id="rId863" Type="http://schemas.openxmlformats.org/officeDocument/2006/relationships/oleObject" Target="embeddings/oleObject292.bin"/><Relationship Id="rId862" Type="http://schemas.openxmlformats.org/officeDocument/2006/relationships/image" Target="media/image564.wmf"/><Relationship Id="rId861" Type="http://schemas.openxmlformats.org/officeDocument/2006/relationships/image" Target="media/image563.wmf"/><Relationship Id="rId860" Type="http://schemas.openxmlformats.org/officeDocument/2006/relationships/oleObject" Target="embeddings/oleObject291.bin"/><Relationship Id="rId86" Type="http://schemas.openxmlformats.org/officeDocument/2006/relationships/image" Target="media/image77.wmf"/><Relationship Id="rId859" Type="http://schemas.openxmlformats.org/officeDocument/2006/relationships/image" Target="media/image562.wmf"/><Relationship Id="rId858" Type="http://schemas.openxmlformats.org/officeDocument/2006/relationships/oleObject" Target="embeddings/oleObject290.bin"/><Relationship Id="rId857" Type="http://schemas.openxmlformats.org/officeDocument/2006/relationships/image" Target="media/image561.png"/><Relationship Id="rId856" Type="http://schemas.openxmlformats.org/officeDocument/2006/relationships/image" Target="media/image560.jpeg"/><Relationship Id="rId855" Type="http://schemas.openxmlformats.org/officeDocument/2006/relationships/image" Target="media/image559.png"/><Relationship Id="rId854" Type="http://schemas.openxmlformats.org/officeDocument/2006/relationships/image" Target="media/image558.png"/><Relationship Id="rId853" Type="http://schemas.openxmlformats.org/officeDocument/2006/relationships/image" Target="media/image557.png"/><Relationship Id="rId852" Type="http://schemas.openxmlformats.org/officeDocument/2006/relationships/image" Target="media/image556.jpeg"/><Relationship Id="rId851" Type="http://schemas.openxmlformats.org/officeDocument/2006/relationships/image" Target="media/image555.jpeg"/><Relationship Id="rId850" Type="http://schemas.openxmlformats.org/officeDocument/2006/relationships/image" Target="media/image554.emf"/><Relationship Id="rId85" Type="http://schemas.openxmlformats.org/officeDocument/2006/relationships/oleObject" Target="embeddings/oleObject2.bin"/><Relationship Id="rId849" Type="http://schemas.openxmlformats.org/officeDocument/2006/relationships/image" Target="media/image553.png"/><Relationship Id="rId848" Type="http://schemas.openxmlformats.org/officeDocument/2006/relationships/image" Target="media/image552.emf"/><Relationship Id="rId847" Type="http://schemas.openxmlformats.org/officeDocument/2006/relationships/image" Target="media/image551.png"/><Relationship Id="rId846" Type="http://schemas.openxmlformats.org/officeDocument/2006/relationships/image" Target="media/image550.png"/><Relationship Id="rId845" Type="http://schemas.openxmlformats.org/officeDocument/2006/relationships/image" Target="media/image549.png"/><Relationship Id="rId844" Type="http://schemas.openxmlformats.org/officeDocument/2006/relationships/image" Target="media/image548.jpeg"/><Relationship Id="rId843" Type="http://schemas.openxmlformats.org/officeDocument/2006/relationships/image" Target="media/image547.png"/><Relationship Id="rId842" Type="http://schemas.openxmlformats.org/officeDocument/2006/relationships/image" Target="media/image546.png"/><Relationship Id="rId841" Type="http://schemas.openxmlformats.org/officeDocument/2006/relationships/image" Target="media/image545.png"/><Relationship Id="rId840" Type="http://schemas.openxmlformats.org/officeDocument/2006/relationships/image" Target="media/image544.png"/><Relationship Id="rId84" Type="http://schemas.openxmlformats.org/officeDocument/2006/relationships/image" Target="media/image76.wmf"/><Relationship Id="rId839" Type="http://schemas.openxmlformats.org/officeDocument/2006/relationships/image" Target="media/image543.png"/><Relationship Id="rId838" Type="http://schemas.openxmlformats.org/officeDocument/2006/relationships/image" Target="media/image542.png"/><Relationship Id="rId837" Type="http://schemas.openxmlformats.org/officeDocument/2006/relationships/image" Target="media/image541.png"/><Relationship Id="rId836" Type="http://schemas.openxmlformats.org/officeDocument/2006/relationships/image" Target="media/image540.wmf"/><Relationship Id="rId835" Type="http://schemas.openxmlformats.org/officeDocument/2006/relationships/image" Target="media/image539.wmf"/><Relationship Id="rId834" Type="http://schemas.openxmlformats.org/officeDocument/2006/relationships/oleObject" Target="embeddings/oleObject289.bin"/><Relationship Id="rId833" Type="http://schemas.openxmlformats.org/officeDocument/2006/relationships/image" Target="media/image538.wmf"/><Relationship Id="rId832" Type="http://schemas.openxmlformats.org/officeDocument/2006/relationships/image" Target="media/image537.wmf"/><Relationship Id="rId831" Type="http://schemas.openxmlformats.org/officeDocument/2006/relationships/oleObject" Target="embeddings/oleObject288.bin"/><Relationship Id="rId830" Type="http://schemas.openxmlformats.org/officeDocument/2006/relationships/image" Target="media/image536.wmf"/><Relationship Id="rId83" Type="http://schemas.openxmlformats.org/officeDocument/2006/relationships/oleObject" Target="embeddings/oleObject1.bin"/><Relationship Id="rId829" Type="http://schemas.openxmlformats.org/officeDocument/2006/relationships/oleObject" Target="embeddings/oleObject287.bin"/><Relationship Id="rId828" Type="http://schemas.openxmlformats.org/officeDocument/2006/relationships/image" Target="media/image535.wmf"/><Relationship Id="rId827" Type="http://schemas.openxmlformats.org/officeDocument/2006/relationships/oleObject" Target="embeddings/oleObject286.bin"/><Relationship Id="rId826" Type="http://schemas.openxmlformats.org/officeDocument/2006/relationships/image" Target="media/image534.jpeg"/><Relationship Id="rId825" Type="http://schemas.openxmlformats.org/officeDocument/2006/relationships/image" Target="media/image533.png"/><Relationship Id="rId824" Type="http://schemas.openxmlformats.org/officeDocument/2006/relationships/image" Target="media/image532.png"/><Relationship Id="rId823" Type="http://schemas.openxmlformats.org/officeDocument/2006/relationships/image" Target="media/image531.png"/><Relationship Id="rId822" Type="http://schemas.openxmlformats.org/officeDocument/2006/relationships/image" Target="media/image530.jpeg"/><Relationship Id="rId821" Type="http://schemas.openxmlformats.org/officeDocument/2006/relationships/image" Target="media/image529.wmf"/><Relationship Id="rId820" Type="http://schemas.openxmlformats.org/officeDocument/2006/relationships/oleObject" Target="embeddings/oleObject285.bin"/><Relationship Id="rId82" Type="http://schemas.openxmlformats.org/officeDocument/2006/relationships/image" Target="media/image75.jpeg"/><Relationship Id="rId819" Type="http://schemas.openxmlformats.org/officeDocument/2006/relationships/image" Target="media/image528.wmf"/><Relationship Id="rId818" Type="http://schemas.openxmlformats.org/officeDocument/2006/relationships/oleObject" Target="embeddings/oleObject284.bin"/><Relationship Id="rId817" Type="http://schemas.openxmlformats.org/officeDocument/2006/relationships/image" Target="media/image527.wmf"/><Relationship Id="rId816" Type="http://schemas.openxmlformats.org/officeDocument/2006/relationships/oleObject" Target="embeddings/oleObject283.bin"/><Relationship Id="rId815" Type="http://schemas.openxmlformats.org/officeDocument/2006/relationships/image" Target="media/image526.wmf"/><Relationship Id="rId814" Type="http://schemas.openxmlformats.org/officeDocument/2006/relationships/oleObject" Target="embeddings/oleObject282.bin"/><Relationship Id="rId813" Type="http://schemas.openxmlformats.org/officeDocument/2006/relationships/image" Target="media/image525.wmf"/><Relationship Id="rId812" Type="http://schemas.openxmlformats.org/officeDocument/2006/relationships/oleObject" Target="embeddings/oleObject281.bin"/><Relationship Id="rId811" Type="http://schemas.openxmlformats.org/officeDocument/2006/relationships/image" Target="media/image524.wmf"/><Relationship Id="rId810" Type="http://schemas.openxmlformats.org/officeDocument/2006/relationships/oleObject" Target="embeddings/oleObject280.bin"/><Relationship Id="rId81" Type="http://schemas.openxmlformats.org/officeDocument/2006/relationships/image" Target="media/image74.wmf"/><Relationship Id="rId809" Type="http://schemas.openxmlformats.org/officeDocument/2006/relationships/image" Target="media/image523.wmf"/><Relationship Id="rId808" Type="http://schemas.openxmlformats.org/officeDocument/2006/relationships/oleObject" Target="embeddings/oleObject279.bin"/><Relationship Id="rId807" Type="http://schemas.openxmlformats.org/officeDocument/2006/relationships/image" Target="media/image522.wmf"/><Relationship Id="rId806" Type="http://schemas.openxmlformats.org/officeDocument/2006/relationships/oleObject" Target="embeddings/oleObject278.bin"/><Relationship Id="rId805" Type="http://schemas.openxmlformats.org/officeDocument/2006/relationships/image" Target="media/image521.wmf"/><Relationship Id="rId804" Type="http://schemas.openxmlformats.org/officeDocument/2006/relationships/oleObject" Target="embeddings/oleObject277.bin"/><Relationship Id="rId803" Type="http://schemas.openxmlformats.org/officeDocument/2006/relationships/image" Target="media/image520.wmf"/><Relationship Id="rId802" Type="http://schemas.openxmlformats.org/officeDocument/2006/relationships/oleObject" Target="embeddings/oleObject276.bin"/><Relationship Id="rId801" Type="http://schemas.openxmlformats.org/officeDocument/2006/relationships/image" Target="media/image519.wmf"/><Relationship Id="rId800" Type="http://schemas.openxmlformats.org/officeDocument/2006/relationships/oleObject" Target="embeddings/oleObject275.bin"/><Relationship Id="rId80" Type="http://schemas.openxmlformats.org/officeDocument/2006/relationships/image" Target="media/image73.wmf"/><Relationship Id="rId8" Type="http://schemas.openxmlformats.org/officeDocument/2006/relationships/image" Target="media/image1.wmf"/><Relationship Id="rId799" Type="http://schemas.openxmlformats.org/officeDocument/2006/relationships/image" Target="media/image518.wmf"/><Relationship Id="rId798" Type="http://schemas.openxmlformats.org/officeDocument/2006/relationships/oleObject" Target="embeddings/oleObject274.bin"/><Relationship Id="rId797" Type="http://schemas.openxmlformats.org/officeDocument/2006/relationships/image" Target="media/image517.wmf"/><Relationship Id="rId796" Type="http://schemas.openxmlformats.org/officeDocument/2006/relationships/oleObject" Target="embeddings/oleObject273.bin"/><Relationship Id="rId795" Type="http://schemas.openxmlformats.org/officeDocument/2006/relationships/image" Target="media/image516.wmf"/><Relationship Id="rId794" Type="http://schemas.openxmlformats.org/officeDocument/2006/relationships/oleObject" Target="embeddings/oleObject272.bin"/><Relationship Id="rId793" Type="http://schemas.openxmlformats.org/officeDocument/2006/relationships/image" Target="media/image515.wmf"/><Relationship Id="rId792" Type="http://schemas.openxmlformats.org/officeDocument/2006/relationships/oleObject" Target="embeddings/oleObject271.bin"/><Relationship Id="rId791" Type="http://schemas.openxmlformats.org/officeDocument/2006/relationships/image" Target="media/image514.wmf"/><Relationship Id="rId790" Type="http://schemas.openxmlformats.org/officeDocument/2006/relationships/oleObject" Target="embeddings/oleObject270.bin"/><Relationship Id="rId79" Type="http://schemas.openxmlformats.org/officeDocument/2006/relationships/image" Target="media/image72.wmf"/><Relationship Id="rId789" Type="http://schemas.openxmlformats.org/officeDocument/2006/relationships/image" Target="media/image513.wmf"/><Relationship Id="rId788" Type="http://schemas.openxmlformats.org/officeDocument/2006/relationships/oleObject" Target="embeddings/oleObject269.bin"/><Relationship Id="rId787" Type="http://schemas.openxmlformats.org/officeDocument/2006/relationships/image" Target="media/image512.wmf"/><Relationship Id="rId786" Type="http://schemas.openxmlformats.org/officeDocument/2006/relationships/oleObject" Target="embeddings/oleObject268.bin"/><Relationship Id="rId785" Type="http://schemas.openxmlformats.org/officeDocument/2006/relationships/image" Target="media/image511.wmf"/><Relationship Id="rId784" Type="http://schemas.openxmlformats.org/officeDocument/2006/relationships/oleObject" Target="embeddings/oleObject267.bin"/><Relationship Id="rId783" Type="http://schemas.openxmlformats.org/officeDocument/2006/relationships/image" Target="media/image510.wmf"/><Relationship Id="rId782" Type="http://schemas.openxmlformats.org/officeDocument/2006/relationships/oleObject" Target="embeddings/oleObject266.bin"/><Relationship Id="rId781" Type="http://schemas.openxmlformats.org/officeDocument/2006/relationships/image" Target="media/image509.wmf"/><Relationship Id="rId780" Type="http://schemas.openxmlformats.org/officeDocument/2006/relationships/oleObject" Target="embeddings/oleObject265.bin"/><Relationship Id="rId78" Type="http://schemas.openxmlformats.org/officeDocument/2006/relationships/image" Target="media/image71.wmf"/><Relationship Id="rId779" Type="http://schemas.openxmlformats.org/officeDocument/2006/relationships/image" Target="media/image508.wmf"/><Relationship Id="rId778" Type="http://schemas.openxmlformats.org/officeDocument/2006/relationships/oleObject" Target="embeddings/oleObject264.bin"/><Relationship Id="rId777" Type="http://schemas.openxmlformats.org/officeDocument/2006/relationships/image" Target="media/image507.wmf"/><Relationship Id="rId776" Type="http://schemas.openxmlformats.org/officeDocument/2006/relationships/oleObject" Target="embeddings/oleObject263.bin"/><Relationship Id="rId775" Type="http://schemas.openxmlformats.org/officeDocument/2006/relationships/image" Target="media/image506.wmf"/><Relationship Id="rId774" Type="http://schemas.openxmlformats.org/officeDocument/2006/relationships/oleObject" Target="embeddings/oleObject262.bin"/><Relationship Id="rId773" Type="http://schemas.openxmlformats.org/officeDocument/2006/relationships/image" Target="media/image505.wmf"/><Relationship Id="rId772" Type="http://schemas.openxmlformats.org/officeDocument/2006/relationships/oleObject" Target="embeddings/oleObject261.bin"/><Relationship Id="rId771" Type="http://schemas.openxmlformats.org/officeDocument/2006/relationships/image" Target="media/image504.wmf"/><Relationship Id="rId770" Type="http://schemas.openxmlformats.org/officeDocument/2006/relationships/oleObject" Target="embeddings/oleObject260.bin"/><Relationship Id="rId77" Type="http://schemas.openxmlformats.org/officeDocument/2006/relationships/image" Target="media/image70.wmf"/><Relationship Id="rId769" Type="http://schemas.openxmlformats.org/officeDocument/2006/relationships/image" Target="media/image503.wmf"/><Relationship Id="rId768" Type="http://schemas.openxmlformats.org/officeDocument/2006/relationships/oleObject" Target="embeddings/oleObject259.bin"/><Relationship Id="rId767" Type="http://schemas.openxmlformats.org/officeDocument/2006/relationships/image" Target="media/image502.wmf"/><Relationship Id="rId766" Type="http://schemas.openxmlformats.org/officeDocument/2006/relationships/oleObject" Target="embeddings/oleObject258.bin"/><Relationship Id="rId765" Type="http://schemas.openxmlformats.org/officeDocument/2006/relationships/image" Target="media/image501.wmf"/><Relationship Id="rId764" Type="http://schemas.openxmlformats.org/officeDocument/2006/relationships/oleObject" Target="embeddings/oleObject257.bin"/><Relationship Id="rId763" Type="http://schemas.openxmlformats.org/officeDocument/2006/relationships/image" Target="media/image500.wmf"/><Relationship Id="rId762" Type="http://schemas.openxmlformats.org/officeDocument/2006/relationships/oleObject" Target="embeddings/oleObject256.bin"/><Relationship Id="rId761" Type="http://schemas.openxmlformats.org/officeDocument/2006/relationships/image" Target="media/image499.wmf"/><Relationship Id="rId760" Type="http://schemas.openxmlformats.org/officeDocument/2006/relationships/image" Target="media/image498.wmf"/><Relationship Id="rId76" Type="http://schemas.openxmlformats.org/officeDocument/2006/relationships/image" Target="media/image69.wmf"/><Relationship Id="rId759" Type="http://schemas.openxmlformats.org/officeDocument/2006/relationships/image" Target="media/image497.wmf"/><Relationship Id="rId758" Type="http://schemas.openxmlformats.org/officeDocument/2006/relationships/image" Target="media/image496.wmf"/><Relationship Id="rId757" Type="http://schemas.openxmlformats.org/officeDocument/2006/relationships/image" Target="media/image495.png"/><Relationship Id="rId756" Type="http://schemas.openxmlformats.org/officeDocument/2006/relationships/image" Target="media/image494.png"/><Relationship Id="rId755" Type="http://schemas.openxmlformats.org/officeDocument/2006/relationships/image" Target="media/image493.wmf"/><Relationship Id="rId754" Type="http://schemas.openxmlformats.org/officeDocument/2006/relationships/image" Target="media/image492.wmf"/><Relationship Id="rId753" Type="http://schemas.openxmlformats.org/officeDocument/2006/relationships/image" Target="media/image491.wmf"/><Relationship Id="rId752" Type="http://schemas.openxmlformats.org/officeDocument/2006/relationships/image" Target="media/image490.wmf"/><Relationship Id="rId751" Type="http://schemas.openxmlformats.org/officeDocument/2006/relationships/image" Target="media/image489.wmf"/><Relationship Id="rId750" Type="http://schemas.openxmlformats.org/officeDocument/2006/relationships/image" Target="media/image488.wmf"/><Relationship Id="rId75" Type="http://schemas.openxmlformats.org/officeDocument/2006/relationships/image" Target="media/image68.wmf"/><Relationship Id="rId749" Type="http://schemas.openxmlformats.org/officeDocument/2006/relationships/oleObject" Target="embeddings/oleObject255.bin"/><Relationship Id="rId748" Type="http://schemas.openxmlformats.org/officeDocument/2006/relationships/image" Target="media/image487.wmf"/><Relationship Id="rId747" Type="http://schemas.openxmlformats.org/officeDocument/2006/relationships/oleObject" Target="embeddings/oleObject254.bin"/><Relationship Id="rId746" Type="http://schemas.openxmlformats.org/officeDocument/2006/relationships/image" Target="media/image486.wmf"/><Relationship Id="rId745" Type="http://schemas.openxmlformats.org/officeDocument/2006/relationships/image" Target="media/image485.wmf"/><Relationship Id="rId744" Type="http://schemas.openxmlformats.org/officeDocument/2006/relationships/image" Target="media/image484.wmf"/><Relationship Id="rId743" Type="http://schemas.openxmlformats.org/officeDocument/2006/relationships/image" Target="media/image483.wmf"/><Relationship Id="rId742" Type="http://schemas.openxmlformats.org/officeDocument/2006/relationships/image" Target="media/image482.wmf"/><Relationship Id="rId741" Type="http://schemas.openxmlformats.org/officeDocument/2006/relationships/image" Target="media/image481.wmf"/><Relationship Id="rId740" Type="http://schemas.openxmlformats.org/officeDocument/2006/relationships/image" Target="media/image480.wmf"/><Relationship Id="rId74" Type="http://schemas.openxmlformats.org/officeDocument/2006/relationships/image" Target="media/image67.wmf"/><Relationship Id="rId739" Type="http://schemas.openxmlformats.org/officeDocument/2006/relationships/image" Target="media/image479.wmf"/><Relationship Id="rId738" Type="http://schemas.openxmlformats.org/officeDocument/2006/relationships/image" Target="media/image478.wmf"/><Relationship Id="rId737" Type="http://schemas.openxmlformats.org/officeDocument/2006/relationships/image" Target="media/image477.wmf"/><Relationship Id="rId736" Type="http://schemas.openxmlformats.org/officeDocument/2006/relationships/image" Target="media/image476.wmf"/><Relationship Id="rId735" Type="http://schemas.openxmlformats.org/officeDocument/2006/relationships/image" Target="media/image475.wmf"/><Relationship Id="rId734" Type="http://schemas.openxmlformats.org/officeDocument/2006/relationships/image" Target="media/image474.wmf"/><Relationship Id="rId733" Type="http://schemas.openxmlformats.org/officeDocument/2006/relationships/image" Target="media/image473.wmf"/><Relationship Id="rId732" Type="http://schemas.openxmlformats.org/officeDocument/2006/relationships/oleObject" Target="embeddings/oleObject253.bin"/><Relationship Id="rId731" Type="http://schemas.openxmlformats.org/officeDocument/2006/relationships/image" Target="media/image472.wmf"/><Relationship Id="rId730" Type="http://schemas.openxmlformats.org/officeDocument/2006/relationships/oleObject" Target="embeddings/oleObject252.bin"/><Relationship Id="rId73" Type="http://schemas.openxmlformats.org/officeDocument/2006/relationships/image" Target="media/image66.wmf"/><Relationship Id="rId729" Type="http://schemas.openxmlformats.org/officeDocument/2006/relationships/image" Target="media/image471.wmf"/><Relationship Id="rId728" Type="http://schemas.openxmlformats.org/officeDocument/2006/relationships/image" Target="media/image470.wmf"/><Relationship Id="rId727" Type="http://schemas.openxmlformats.org/officeDocument/2006/relationships/oleObject" Target="embeddings/oleObject251.bin"/><Relationship Id="rId726" Type="http://schemas.openxmlformats.org/officeDocument/2006/relationships/image" Target="media/image469.wmf"/><Relationship Id="rId725" Type="http://schemas.openxmlformats.org/officeDocument/2006/relationships/image" Target="media/image468.wmf"/><Relationship Id="rId724" Type="http://schemas.openxmlformats.org/officeDocument/2006/relationships/oleObject" Target="embeddings/oleObject250.bin"/><Relationship Id="rId723" Type="http://schemas.openxmlformats.org/officeDocument/2006/relationships/image" Target="media/image467.wmf"/><Relationship Id="rId722" Type="http://schemas.openxmlformats.org/officeDocument/2006/relationships/oleObject" Target="embeddings/oleObject249.bin"/><Relationship Id="rId721" Type="http://schemas.openxmlformats.org/officeDocument/2006/relationships/image" Target="media/image466.wmf"/><Relationship Id="rId720" Type="http://schemas.openxmlformats.org/officeDocument/2006/relationships/oleObject" Target="embeddings/oleObject248.bin"/><Relationship Id="rId72" Type="http://schemas.openxmlformats.org/officeDocument/2006/relationships/image" Target="media/image65.wmf"/><Relationship Id="rId719" Type="http://schemas.openxmlformats.org/officeDocument/2006/relationships/image" Target="media/image465.wmf"/><Relationship Id="rId718" Type="http://schemas.openxmlformats.org/officeDocument/2006/relationships/image" Target="media/image464.wmf"/><Relationship Id="rId717" Type="http://schemas.openxmlformats.org/officeDocument/2006/relationships/image" Target="media/image463.wmf"/><Relationship Id="rId716" Type="http://schemas.openxmlformats.org/officeDocument/2006/relationships/image" Target="media/image462.wmf"/><Relationship Id="rId715" Type="http://schemas.openxmlformats.org/officeDocument/2006/relationships/image" Target="media/image461.wmf"/><Relationship Id="rId714" Type="http://schemas.openxmlformats.org/officeDocument/2006/relationships/image" Target="media/image460.wmf"/><Relationship Id="rId713" Type="http://schemas.openxmlformats.org/officeDocument/2006/relationships/image" Target="media/image459.wmf"/><Relationship Id="rId712" Type="http://schemas.openxmlformats.org/officeDocument/2006/relationships/image" Target="media/image458.wmf"/><Relationship Id="rId711" Type="http://schemas.openxmlformats.org/officeDocument/2006/relationships/image" Target="media/image457.wmf"/><Relationship Id="rId710" Type="http://schemas.openxmlformats.org/officeDocument/2006/relationships/image" Target="media/image456.wmf"/><Relationship Id="rId71" Type="http://schemas.openxmlformats.org/officeDocument/2006/relationships/image" Target="media/image64.wmf"/><Relationship Id="rId709" Type="http://schemas.openxmlformats.org/officeDocument/2006/relationships/image" Target="media/image455.wmf"/><Relationship Id="rId708" Type="http://schemas.openxmlformats.org/officeDocument/2006/relationships/image" Target="media/image454.wmf"/><Relationship Id="rId707" Type="http://schemas.openxmlformats.org/officeDocument/2006/relationships/image" Target="media/image453.wmf"/><Relationship Id="rId706" Type="http://schemas.openxmlformats.org/officeDocument/2006/relationships/image" Target="media/image452.wmf"/><Relationship Id="rId705" Type="http://schemas.openxmlformats.org/officeDocument/2006/relationships/image" Target="media/image451.wmf"/><Relationship Id="rId704" Type="http://schemas.openxmlformats.org/officeDocument/2006/relationships/image" Target="media/image450.wmf"/><Relationship Id="rId703" Type="http://schemas.openxmlformats.org/officeDocument/2006/relationships/image" Target="media/image449.wmf"/><Relationship Id="rId702" Type="http://schemas.openxmlformats.org/officeDocument/2006/relationships/image" Target="media/image448.wmf"/><Relationship Id="rId701" Type="http://schemas.openxmlformats.org/officeDocument/2006/relationships/image" Target="media/image447.wmf"/><Relationship Id="rId700" Type="http://schemas.openxmlformats.org/officeDocument/2006/relationships/image" Target="media/image446.wmf"/><Relationship Id="rId70" Type="http://schemas.openxmlformats.org/officeDocument/2006/relationships/image" Target="media/image63.wmf"/><Relationship Id="rId7" Type="http://schemas.openxmlformats.org/officeDocument/2006/relationships/theme" Target="theme/theme1.xml"/><Relationship Id="rId699" Type="http://schemas.openxmlformats.org/officeDocument/2006/relationships/image" Target="media/image445.wmf"/><Relationship Id="rId698" Type="http://schemas.openxmlformats.org/officeDocument/2006/relationships/image" Target="media/image444.png"/><Relationship Id="rId697" Type="http://schemas.openxmlformats.org/officeDocument/2006/relationships/image" Target="media/image443.wmf"/><Relationship Id="rId696" Type="http://schemas.openxmlformats.org/officeDocument/2006/relationships/oleObject" Target="embeddings/oleObject247.bin"/><Relationship Id="rId695" Type="http://schemas.openxmlformats.org/officeDocument/2006/relationships/image" Target="media/image442.wmf"/><Relationship Id="rId694" Type="http://schemas.openxmlformats.org/officeDocument/2006/relationships/image" Target="media/image441.wmf"/><Relationship Id="rId693" Type="http://schemas.openxmlformats.org/officeDocument/2006/relationships/image" Target="media/image440.wmf"/><Relationship Id="rId692" Type="http://schemas.openxmlformats.org/officeDocument/2006/relationships/image" Target="media/image439.wmf"/><Relationship Id="rId691" Type="http://schemas.openxmlformats.org/officeDocument/2006/relationships/oleObject" Target="embeddings/oleObject246.bin"/><Relationship Id="rId690" Type="http://schemas.openxmlformats.org/officeDocument/2006/relationships/image" Target="media/image438.wmf"/><Relationship Id="rId69" Type="http://schemas.openxmlformats.org/officeDocument/2006/relationships/image" Target="media/image62.wmf"/><Relationship Id="rId689" Type="http://schemas.openxmlformats.org/officeDocument/2006/relationships/oleObject" Target="embeddings/oleObject245.bin"/><Relationship Id="rId688" Type="http://schemas.openxmlformats.org/officeDocument/2006/relationships/image" Target="media/image437.wmf"/><Relationship Id="rId687" Type="http://schemas.openxmlformats.org/officeDocument/2006/relationships/oleObject" Target="embeddings/oleObject244.bin"/><Relationship Id="rId686" Type="http://schemas.openxmlformats.org/officeDocument/2006/relationships/image" Target="media/image436.wmf"/><Relationship Id="rId685" Type="http://schemas.openxmlformats.org/officeDocument/2006/relationships/oleObject" Target="embeddings/oleObject243.bin"/><Relationship Id="rId684" Type="http://schemas.openxmlformats.org/officeDocument/2006/relationships/image" Target="media/image435.wmf"/><Relationship Id="rId683" Type="http://schemas.openxmlformats.org/officeDocument/2006/relationships/oleObject" Target="embeddings/oleObject242.bin"/><Relationship Id="rId682" Type="http://schemas.openxmlformats.org/officeDocument/2006/relationships/image" Target="media/image434.wmf"/><Relationship Id="rId681" Type="http://schemas.openxmlformats.org/officeDocument/2006/relationships/oleObject" Target="embeddings/oleObject241.bin"/><Relationship Id="rId680" Type="http://schemas.openxmlformats.org/officeDocument/2006/relationships/image" Target="media/image433.wmf"/><Relationship Id="rId68" Type="http://schemas.openxmlformats.org/officeDocument/2006/relationships/image" Target="media/image61.wmf"/><Relationship Id="rId679" Type="http://schemas.openxmlformats.org/officeDocument/2006/relationships/oleObject" Target="embeddings/oleObject240.bin"/><Relationship Id="rId678" Type="http://schemas.openxmlformats.org/officeDocument/2006/relationships/image" Target="media/image432.wmf"/><Relationship Id="rId677" Type="http://schemas.openxmlformats.org/officeDocument/2006/relationships/oleObject" Target="embeddings/oleObject239.bin"/><Relationship Id="rId676" Type="http://schemas.openxmlformats.org/officeDocument/2006/relationships/image" Target="media/image431.wmf"/><Relationship Id="rId675" Type="http://schemas.openxmlformats.org/officeDocument/2006/relationships/image" Target="media/image430.wmf"/><Relationship Id="rId674" Type="http://schemas.openxmlformats.org/officeDocument/2006/relationships/image" Target="media/image429.wmf"/><Relationship Id="rId673" Type="http://schemas.openxmlformats.org/officeDocument/2006/relationships/image" Target="media/image428.wmf"/><Relationship Id="rId672" Type="http://schemas.openxmlformats.org/officeDocument/2006/relationships/image" Target="media/image427.wmf"/><Relationship Id="rId671" Type="http://schemas.openxmlformats.org/officeDocument/2006/relationships/image" Target="media/image426.png"/><Relationship Id="rId670" Type="http://schemas.openxmlformats.org/officeDocument/2006/relationships/image" Target="media/image425.wmf"/><Relationship Id="rId67" Type="http://schemas.openxmlformats.org/officeDocument/2006/relationships/image" Target="media/image60.wmf"/><Relationship Id="rId669" Type="http://schemas.openxmlformats.org/officeDocument/2006/relationships/oleObject" Target="embeddings/oleObject238.bin"/><Relationship Id="rId668" Type="http://schemas.openxmlformats.org/officeDocument/2006/relationships/image" Target="media/image424.wmf"/><Relationship Id="rId667" Type="http://schemas.openxmlformats.org/officeDocument/2006/relationships/oleObject" Target="embeddings/oleObject237.bin"/><Relationship Id="rId666" Type="http://schemas.openxmlformats.org/officeDocument/2006/relationships/image" Target="media/image423.wmf"/><Relationship Id="rId665" Type="http://schemas.openxmlformats.org/officeDocument/2006/relationships/oleObject" Target="embeddings/oleObject236.bin"/><Relationship Id="rId664" Type="http://schemas.openxmlformats.org/officeDocument/2006/relationships/image" Target="media/image422.wmf"/><Relationship Id="rId663" Type="http://schemas.openxmlformats.org/officeDocument/2006/relationships/oleObject" Target="embeddings/oleObject235.bin"/><Relationship Id="rId662" Type="http://schemas.openxmlformats.org/officeDocument/2006/relationships/image" Target="media/image421.wmf"/><Relationship Id="rId661" Type="http://schemas.openxmlformats.org/officeDocument/2006/relationships/oleObject" Target="embeddings/oleObject234.bin"/><Relationship Id="rId660" Type="http://schemas.openxmlformats.org/officeDocument/2006/relationships/image" Target="media/image420.wmf"/><Relationship Id="rId66" Type="http://schemas.openxmlformats.org/officeDocument/2006/relationships/image" Target="media/image59.wmf"/><Relationship Id="rId659" Type="http://schemas.openxmlformats.org/officeDocument/2006/relationships/oleObject" Target="embeddings/oleObject233.bin"/><Relationship Id="rId658" Type="http://schemas.openxmlformats.org/officeDocument/2006/relationships/image" Target="media/image419.wmf"/><Relationship Id="rId657" Type="http://schemas.openxmlformats.org/officeDocument/2006/relationships/oleObject" Target="embeddings/oleObject232.bin"/><Relationship Id="rId656" Type="http://schemas.openxmlformats.org/officeDocument/2006/relationships/image" Target="media/image418.wmf"/><Relationship Id="rId655" Type="http://schemas.openxmlformats.org/officeDocument/2006/relationships/oleObject" Target="embeddings/oleObject231.bin"/><Relationship Id="rId654" Type="http://schemas.openxmlformats.org/officeDocument/2006/relationships/image" Target="media/image417.png"/><Relationship Id="rId653" Type="http://schemas.openxmlformats.org/officeDocument/2006/relationships/oleObject" Target="embeddings/oleObject230.bin"/><Relationship Id="rId652" Type="http://schemas.openxmlformats.org/officeDocument/2006/relationships/oleObject" Target="embeddings/oleObject229.bin"/><Relationship Id="rId651" Type="http://schemas.openxmlformats.org/officeDocument/2006/relationships/image" Target="media/image416.png"/><Relationship Id="rId650" Type="http://schemas.openxmlformats.org/officeDocument/2006/relationships/image" Target="media/image415.wmf"/><Relationship Id="rId65" Type="http://schemas.openxmlformats.org/officeDocument/2006/relationships/image" Target="media/image58.wmf"/><Relationship Id="rId649" Type="http://schemas.openxmlformats.org/officeDocument/2006/relationships/oleObject" Target="embeddings/oleObject228.bin"/><Relationship Id="rId648" Type="http://schemas.openxmlformats.org/officeDocument/2006/relationships/image" Target="media/image414.wmf"/><Relationship Id="rId647" Type="http://schemas.openxmlformats.org/officeDocument/2006/relationships/oleObject" Target="embeddings/oleObject227.bin"/><Relationship Id="rId646" Type="http://schemas.openxmlformats.org/officeDocument/2006/relationships/image" Target="media/image413.wmf"/><Relationship Id="rId645" Type="http://schemas.openxmlformats.org/officeDocument/2006/relationships/oleObject" Target="embeddings/oleObject226.bin"/><Relationship Id="rId644" Type="http://schemas.openxmlformats.org/officeDocument/2006/relationships/image" Target="media/image412.wmf"/><Relationship Id="rId643" Type="http://schemas.openxmlformats.org/officeDocument/2006/relationships/oleObject" Target="embeddings/oleObject225.bin"/><Relationship Id="rId642" Type="http://schemas.openxmlformats.org/officeDocument/2006/relationships/image" Target="media/image411.wmf"/><Relationship Id="rId641" Type="http://schemas.openxmlformats.org/officeDocument/2006/relationships/oleObject" Target="embeddings/oleObject224.bin"/><Relationship Id="rId640" Type="http://schemas.openxmlformats.org/officeDocument/2006/relationships/image" Target="media/image410.wmf"/><Relationship Id="rId64" Type="http://schemas.openxmlformats.org/officeDocument/2006/relationships/image" Target="media/image57.wmf"/><Relationship Id="rId639" Type="http://schemas.openxmlformats.org/officeDocument/2006/relationships/oleObject" Target="embeddings/oleObject223.bin"/><Relationship Id="rId638" Type="http://schemas.openxmlformats.org/officeDocument/2006/relationships/image" Target="media/image409.wmf"/><Relationship Id="rId637" Type="http://schemas.openxmlformats.org/officeDocument/2006/relationships/oleObject" Target="embeddings/oleObject222.bin"/><Relationship Id="rId636" Type="http://schemas.openxmlformats.org/officeDocument/2006/relationships/image" Target="media/image408.wmf"/><Relationship Id="rId635" Type="http://schemas.openxmlformats.org/officeDocument/2006/relationships/oleObject" Target="embeddings/oleObject221.bin"/><Relationship Id="rId634" Type="http://schemas.openxmlformats.org/officeDocument/2006/relationships/image" Target="media/image407.png"/><Relationship Id="rId633" Type="http://schemas.openxmlformats.org/officeDocument/2006/relationships/oleObject" Target="embeddings/oleObject220.bin"/><Relationship Id="rId632" Type="http://schemas.openxmlformats.org/officeDocument/2006/relationships/oleObject" Target="embeddings/oleObject219.bin"/><Relationship Id="rId631" Type="http://schemas.openxmlformats.org/officeDocument/2006/relationships/oleObject" Target="embeddings/oleObject218.bin"/><Relationship Id="rId630" Type="http://schemas.openxmlformats.org/officeDocument/2006/relationships/oleObject" Target="embeddings/oleObject217.bin"/><Relationship Id="rId63" Type="http://schemas.openxmlformats.org/officeDocument/2006/relationships/image" Target="media/image56.wmf"/><Relationship Id="rId629" Type="http://schemas.openxmlformats.org/officeDocument/2006/relationships/oleObject" Target="embeddings/oleObject216.bin"/><Relationship Id="rId628" Type="http://schemas.openxmlformats.org/officeDocument/2006/relationships/oleObject" Target="embeddings/oleObject215.bin"/><Relationship Id="rId627" Type="http://schemas.openxmlformats.org/officeDocument/2006/relationships/oleObject" Target="embeddings/oleObject214.bin"/><Relationship Id="rId626" Type="http://schemas.openxmlformats.org/officeDocument/2006/relationships/oleObject" Target="embeddings/oleObject213.bin"/><Relationship Id="rId625" Type="http://schemas.openxmlformats.org/officeDocument/2006/relationships/oleObject" Target="embeddings/oleObject212.bin"/><Relationship Id="rId624" Type="http://schemas.openxmlformats.org/officeDocument/2006/relationships/oleObject" Target="embeddings/oleObject211.bin"/><Relationship Id="rId623" Type="http://schemas.openxmlformats.org/officeDocument/2006/relationships/image" Target="media/image406.wmf"/><Relationship Id="rId622" Type="http://schemas.openxmlformats.org/officeDocument/2006/relationships/oleObject" Target="embeddings/oleObject210.bin"/><Relationship Id="rId621" Type="http://schemas.openxmlformats.org/officeDocument/2006/relationships/image" Target="media/image405.wmf"/><Relationship Id="rId620" Type="http://schemas.openxmlformats.org/officeDocument/2006/relationships/oleObject" Target="embeddings/oleObject209.bin"/><Relationship Id="rId62" Type="http://schemas.openxmlformats.org/officeDocument/2006/relationships/image" Target="media/image55.wmf"/><Relationship Id="rId619" Type="http://schemas.openxmlformats.org/officeDocument/2006/relationships/image" Target="media/image404.wmf"/><Relationship Id="rId618" Type="http://schemas.openxmlformats.org/officeDocument/2006/relationships/oleObject" Target="embeddings/oleObject208.bin"/><Relationship Id="rId617" Type="http://schemas.openxmlformats.org/officeDocument/2006/relationships/image" Target="media/image403.wmf"/><Relationship Id="rId616" Type="http://schemas.openxmlformats.org/officeDocument/2006/relationships/oleObject" Target="embeddings/oleObject207.bin"/><Relationship Id="rId615" Type="http://schemas.openxmlformats.org/officeDocument/2006/relationships/image" Target="media/image402.wmf"/><Relationship Id="rId614" Type="http://schemas.openxmlformats.org/officeDocument/2006/relationships/oleObject" Target="embeddings/oleObject206.bin"/><Relationship Id="rId613" Type="http://schemas.openxmlformats.org/officeDocument/2006/relationships/oleObject" Target="embeddings/oleObject205.bin"/><Relationship Id="rId612" Type="http://schemas.openxmlformats.org/officeDocument/2006/relationships/image" Target="media/image401.png"/><Relationship Id="rId611" Type="http://schemas.openxmlformats.org/officeDocument/2006/relationships/image" Target="media/image400.wmf"/><Relationship Id="rId610" Type="http://schemas.openxmlformats.org/officeDocument/2006/relationships/oleObject" Target="embeddings/oleObject204.bin"/><Relationship Id="rId61" Type="http://schemas.openxmlformats.org/officeDocument/2006/relationships/image" Target="media/image54.wmf"/><Relationship Id="rId609" Type="http://schemas.openxmlformats.org/officeDocument/2006/relationships/image" Target="media/image399.wmf"/><Relationship Id="rId608" Type="http://schemas.openxmlformats.org/officeDocument/2006/relationships/oleObject" Target="embeddings/oleObject203.bin"/><Relationship Id="rId607" Type="http://schemas.openxmlformats.org/officeDocument/2006/relationships/image" Target="media/image398.wmf"/><Relationship Id="rId606" Type="http://schemas.openxmlformats.org/officeDocument/2006/relationships/oleObject" Target="embeddings/oleObject202.bin"/><Relationship Id="rId605" Type="http://schemas.openxmlformats.org/officeDocument/2006/relationships/image" Target="media/image397.png"/><Relationship Id="rId604" Type="http://schemas.openxmlformats.org/officeDocument/2006/relationships/oleObject" Target="embeddings/oleObject201.bin"/><Relationship Id="rId603" Type="http://schemas.openxmlformats.org/officeDocument/2006/relationships/image" Target="media/image396.wmf"/><Relationship Id="rId602" Type="http://schemas.openxmlformats.org/officeDocument/2006/relationships/oleObject" Target="embeddings/oleObject200.bin"/><Relationship Id="rId601" Type="http://schemas.openxmlformats.org/officeDocument/2006/relationships/image" Target="media/image395.wmf"/><Relationship Id="rId600" Type="http://schemas.openxmlformats.org/officeDocument/2006/relationships/oleObject" Target="embeddings/oleObject199.bin"/><Relationship Id="rId60" Type="http://schemas.openxmlformats.org/officeDocument/2006/relationships/image" Target="media/image53.wmf"/><Relationship Id="rId6" Type="http://schemas.openxmlformats.org/officeDocument/2006/relationships/footer" Target="footer4.xml"/><Relationship Id="rId599" Type="http://schemas.openxmlformats.org/officeDocument/2006/relationships/image" Target="media/image394.wmf"/><Relationship Id="rId598" Type="http://schemas.openxmlformats.org/officeDocument/2006/relationships/oleObject" Target="embeddings/oleObject198.bin"/><Relationship Id="rId597" Type="http://schemas.openxmlformats.org/officeDocument/2006/relationships/oleObject" Target="embeddings/oleObject197.bin"/><Relationship Id="rId596" Type="http://schemas.openxmlformats.org/officeDocument/2006/relationships/oleObject" Target="embeddings/oleObject196.bin"/><Relationship Id="rId595" Type="http://schemas.openxmlformats.org/officeDocument/2006/relationships/image" Target="media/image393.wmf"/><Relationship Id="rId594" Type="http://schemas.openxmlformats.org/officeDocument/2006/relationships/oleObject" Target="embeddings/oleObject195.bin"/><Relationship Id="rId593" Type="http://schemas.openxmlformats.org/officeDocument/2006/relationships/image" Target="media/image392.wmf"/><Relationship Id="rId592" Type="http://schemas.openxmlformats.org/officeDocument/2006/relationships/oleObject" Target="embeddings/oleObject194.bin"/><Relationship Id="rId591" Type="http://schemas.openxmlformats.org/officeDocument/2006/relationships/image" Target="media/image391.wmf"/><Relationship Id="rId590" Type="http://schemas.openxmlformats.org/officeDocument/2006/relationships/oleObject" Target="embeddings/oleObject193.bin"/><Relationship Id="rId59" Type="http://schemas.openxmlformats.org/officeDocument/2006/relationships/image" Target="media/image52.wmf"/><Relationship Id="rId589" Type="http://schemas.openxmlformats.org/officeDocument/2006/relationships/image" Target="media/image390.wmf"/><Relationship Id="rId588" Type="http://schemas.openxmlformats.org/officeDocument/2006/relationships/oleObject" Target="embeddings/oleObject192.bin"/><Relationship Id="rId587" Type="http://schemas.openxmlformats.org/officeDocument/2006/relationships/image" Target="media/image389.wmf"/><Relationship Id="rId586" Type="http://schemas.openxmlformats.org/officeDocument/2006/relationships/oleObject" Target="embeddings/oleObject191.bin"/><Relationship Id="rId585" Type="http://schemas.openxmlformats.org/officeDocument/2006/relationships/image" Target="media/image388.wmf"/><Relationship Id="rId584" Type="http://schemas.openxmlformats.org/officeDocument/2006/relationships/oleObject" Target="embeddings/oleObject190.bin"/><Relationship Id="rId583" Type="http://schemas.openxmlformats.org/officeDocument/2006/relationships/image" Target="media/image387.wmf"/><Relationship Id="rId582" Type="http://schemas.openxmlformats.org/officeDocument/2006/relationships/oleObject" Target="embeddings/oleObject189.bin"/><Relationship Id="rId581" Type="http://schemas.openxmlformats.org/officeDocument/2006/relationships/image" Target="media/image386.wmf"/><Relationship Id="rId580" Type="http://schemas.openxmlformats.org/officeDocument/2006/relationships/oleObject" Target="embeddings/oleObject188.bin"/><Relationship Id="rId58" Type="http://schemas.openxmlformats.org/officeDocument/2006/relationships/image" Target="media/image51.wmf"/><Relationship Id="rId579" Type="http://schemas.openxmlformats.org/officeDocument/2006/relationships/image" Target="media/image385.wmf"/><Relationship Id="rId578" Type="http://schemas.openxmlformats.org/officeDocument/2006/relationships/oleObject" Target="embeddings/oleObject187.bin"/><Relationship Id="rId577" Type="http://schemas.openxmlformats.org/officeDocument/2006/relationships/oleObject" Target="embeddings/oleObject186.bin"/><Relationship Id="rId576" Type="http://schemas.openxmlformats.org/officeDocument/2006/relationships/image" Target="media/image384.wmf"/><Relationship Id="rId575" Type="http://schemas.openxmlformats.org/officeDocument/2006/relationships/oleObject" Target="embeddings/oleObject185.bin"/><Relationship Id="rId574" Type="http://schemas.openxmlformats.org/officeDocument/2006/relationships/image" Target="media/image383.wmf"/><Relationship Id="rId573" Type="http://schemas.openxmlformats.org/officeDocument/2006/relationships/oleObject" Target="embeddings/oleObject184.bin"/><Relationship Id="rId572" Type="http://schemas.openxmlformats.org/officeDocument/2006/relationships/image" Target="media/image382.wmf"/><Relationship Id="rId571" Type="http://schemas.openxmlformats.org/officeDocument/2006/relationships/oleObject" Target="embeddings/oleObject183.bin"/><Relationship Id="rId570" Type="http://schemas.openxmlformats.org/officeDocument/2006/relationships/oleObject" Target="embeddings/oleObject182.bin"/><Relationship Id="rId57" Type="http://schemas.openxmlformats.org/officeDocument/2006/relationships/image" Target="media/image50.wmf"/><Relationship Id="rId569" Type="http://schemas.openxmlformats.org/officeDocument/2006/relationships/oleObject" Target="embeddings/oleObject181.bin"/><Relationship Id="rId568" Type="http://schemas.openxmlformats.org/officeDocument/2006/relationships/image" Target="media/image381.wmf"/><Relationship Id="rId567" Type="http://schemas.openxmlformats.org/officeDocument/2006/relationships/oleObject" Target="embeddings/oleObject180.bin"/><Relationship Id="rId566" Type="http://schemas.openxmlformats.org/officeDocument/2006/relationships/image" Target="media/image380.wmf"/><Relationship Id="rId565" Type="http://schemas.openxmlformats.org/officeDocument/2006/relationships/image" Target="media/image379.wmf"/><Relationship Id="rId564" Type="http://schemas.openxmlformats.org/officeDocument/2006/relationships/oleObject" Target="embeddings/oleObject179.bin"/><Relationship Id="rId563" Type="http://schemas.openxmlformats.org/officeDocument/2006/relationships/image" Target="media/image378.wmf"/><Relationship Id="rId562" Type="http://schemas.openxmlformats.org/officeDocument/2006/relationships/oleObject" Target="embeddings/oleObject178.bin"/><Relationship Id="rId561" Type="http://schemas.openxmlformats.org/officeDocument/2006/relationships/image" Target="media/image377.wmf"/><Relationship Id="rId560" Type="http://schemas.openxmlformats.org/officeDocument/2006/relationships/oleObject" Target="embeddings/oleObject177.bin"/><Relationship Id="rId56" Type="http://schemas.openxmlformats.org/officeDocument/2006/relationships/image" Target="media/image49.wmf"/><Relationship Id="rId559" Type="http://schemas.openxmlformats.org/officeDocument/2006/relationships/image" Target="media/image376.wmf"/><Relationship Id="rId558" Type="http://schemas.openxmlformats.org/officeDocument/2006/relationships/oleObject" Target="embeddings/oleObject176.bin"/><Relationship Id="rId557" Type="http://schemas.openxmlformats.org/officeDocument/2006/relationships/image" Target="media/image375.wmf"/><Relationship Id="rId556" Type="http://schemas.openxmlformats.org/officeDocument/2006/relationships/oleObject" Target="embeddings/oleObject175.bin"/><Relationship Id="rId555" Type="http://schemas.openxmlformats.org/officeDocument/2006/relationships/image" Target="media/image374.wmf"/><Relationship Id="rId554" Type="http://schemas.openxmlformats.org/officeDocument/2006/relationships/oleObject" Target="embeddings/oleObject174.bin"/><Relationship Id="rId553" Type="http://schemas.openxmlformats.org/officeDocument/2006/relationships/image" Target="media/image373.wmf"/><Relationship Id="rId552" Type="http://schemas.openxmlformats.org/officeDocument/2006/relationships/oleObject" Target="embeddings/oleObject173.bin"/><Relationship Id="rId551" Type="http://schemas.openxmlformats.org/officeDocument/2006/relationships/image" Target="media/image372.wmf"/><Relationship Id="rId550" Type="http://schemas.openxmlformats.org/officeDocument/2006/relationships/image" Target="media/image371.wmf"/><Relationship Id="rId55" Type="http://schemas.openxmlformats.org/officeDocument/2006/relationships/image" Target="media/image48.wmf"/><Relationship Id="rId549" Type="http://schemas.openxmlformats.org/officeDocument/2006/relationships/oleObject" Target="embeddings/oleObject172.bin"/><Relationship Id="rId548" Type="http://schemas.openxmlformats.org/officeDocument/2006/relationships/image" Target="media/image370.wmf"/><Relationship Id="rId547" Type="http://schemas.openxmlformats.org/officeDocument/2006/relationships/oleObject" Target="embeddings/oleObject171.bin"/><Relationship Id="rId546" Type="http://schemas.openxmlformats.org/officeDocument/2006/relationships/image" Target="media/image369.wmf"/><Relationship Id="rId545" Type="http://schemas.openxmlformats.org/officeDocument/2006/relationships/oleObject" Target="embeddings/oleObject170.bin"/><Relationship Id="rId544" Type="http://schemas.openxmlformats.org/officeDocument/2006/relationships/image" Target="media/image368.png"/><Relationship Id="rId543" Type="http://schemas.openxmlformats.org/officeDocument/2006/relationships/image" Target="media/image367.wmf"/><Relationship Id="rId542" Type="http://schemas.openxmlformats.org/officeDocument/2006/relationships/oleObject" Target="embeddings/oleObject169.bin"/><Relationship Id="rId541" Type="http://schemas.openxmlformats.org/officeDocument/2006/relationships/image" Target="media/image366.wmf"/><Relationship Id="rId540" Type="http://schemas.openxmlformats.org/officeDocument/2006/relationships/oleObject" Target="embeddings/oleObject168.bin"/><Relationship Id="rId54" Type="http://schemas.openxmlformats.org/officeDocument/2006/relationships/image" Target="media/image47.wmf"/><Relationship Id="rId539" Type="http://schemas.openxmlformats.org/officeDocument/2006/relationships/image" Target="media/image365.wmf"/><Relationship Id="rId538" Type="http://schemas.openxmlformats.org/officeDocument/2006/relationships/image" Target="media/image364.wmf"/><Relationship Id="rId537" Type="http://schemas.openxmlformats.org/officeDocument/2006/relationships/oleObject" Target="embeddings/oleObject167.bin"/><Relationship Id="rId536" Type="http://schemas.openxmlformats.org/officeDocument/2006/relationships/image" Target="media/image363.wmf"/><Relationship Id="rId535" Type="http://schemas.openxmlformats.org/officeDocument/2006/relationships/image" Target="media/image362.wmf"/><Relationship Id="rId534" Type="http://schemas.openxmlformats.org/officeDocument/2006/relationships/oleObject" Target="embeddings/oleObject166.bin"/><Relationship Id="rId533" Type="http://schemas.openxmlformats.org/officeDocument/2006/relationships/image" Target="media/image361.wmf"/><Relationship Id="rId532" Type="http://schemas.openxmlformats.org/officeDocument/2006/relationships/oleObject" Target="embeddings/oleObject165.bin"/><Relationship Id="rId531" Type="http://schemas.openxmlformats.org/officeDocument/2006/relationships/image" Target="media/image360.wmf"/><Relationship Id="rId530" Type="http://schemas.openxmlformats.org/officeDocument/2006/relationships/oleObject" Target="embeddings/oleObject164.bin"/><Relationship Id="rId53" Type="http://schemas.openxmlformats.org/officeDocument/2006/relationships/image" Target="media/image46.wmf"/><Relationship Id="rId529" Type="http://schemas.openxmlformats.org/officeDocument/2006/relationships/oleObject" Target="embeddings/oleObject163.bin"/><Relationship Id="rId528" Type="http://schemas.openxmlformats.org/officeDocument/2006/relationships/oleObject" Target="embeddings/oleObject162.bin"/><Relationship Id="rId527" Type="http://schemas.openxmlformats.org/officeDocument/2006/relationships/image" Target="media/image359.wmf"/><Relationship Id="rId526" Type="http://schemas.openxmlformats.org/officeDocument/2006/relationships/oleObject" Target="embeddings/oleObject161.bin"/><Relationship Id="rId525" Type="http://schemas.openxmlformats.org/officeDocument/2006/relationships/image" Target="media/image358.wmf"/><Relationship Id="rId524" Type="http://schemas.openxmlformats.org/officeDocument/2006/relationships/image" Target="media/image357.wmf"/><Relationship Id="rId523" Type="http://schemas.openxmlformats.org/officeDocument/2006/relationships/oleObject" Target="embeddings/oleObject160.bin"/><Relationship Id="rId522" Type="http://schemas.openxmlformats.org/officeDocument/2006/relationships/image" Target="media/image356.wmf"/><Relationship Id="rId521" Type="http://schemas.openxmlformats.org/officeDocument/2006/relationships/oleObject" Target="embeddings/oleObject159.bin"/><Relationship Id="rId520" Type="http://schemas.openxmlformats.org/officeDocument/2006/relationships/image" Target="media/image355.wmf"/><Relationship Id="rId52" Type="http://schemas.openxmlformats.org/officeDocument/2006/relationships/image" Target="media/image45.wmf"/><Relationship Id="rId519" Type="http://schemas.openxmlformats.org/officeDocument/2006/relationships/oleObject" Target="embeddings/oleObject158.bin"/><Relationship Id="rId518" Type="http://schemas.openxmlformats.org/officeDocument/2006/relationships/image" Target="media/image354.wmf"/><Relationship Id="rId517" Type="http://schemas.openxmlformats.org/officeDocument/2006/relationships/oleObject" Target="embeddings/oleObject157.bin"/><Relationship Id="rId516" Type="http://schemas.openxmlformats.org/officeDocument/2006/relationships/image" Target="media/image353.wmf"/><Relationship Id="rId515" Type="http://schemas.openxmlformats.org/officeDocument/2006/relationships/oleObject" Target="embeddings/oleObject156.bin"/><Relationship Id="rId514" Type="http://schemas.openxmlformats.org/officeDocument/2006/relationships/image" Target="media/image352.wmf"/><Relationship Id="rId513" Type="http://schemas.openxmlformats.org/officeDocument/2006/relationships/oleObject" Target="embeddings/oleObject155.bin"/><Relationship Id="rId512" Type="http://schemas.openxmlformats.org/officeDocument/2006/relationships/image" Target="media/image351.wmf"/><Relationship Id="rId511" Type="http://schemas.openxmlformats.org/officeDocument/2006/relationships/oleObject" Target="embeddings/oleObject154.bin"/><Relationship Id="rId510" Type="http://schemas.openxmlformats.org/officeDocument/2006/relationships/image" Target="media/image350.wmf"/><Relationship Id="rId51" Type="http://schemas.openxmlformats.org/officeDocument/2006/relationships/image" Target="media/image44.wmf"/><Relationship Id="rId509" Type="http://schemas.openxmlformats.org/officeDocument/2006/relationships/oleObject" Target="embeddings/oleObject153.bin"/><Relationship Id="rId508" Type="http://schemas.openxmlformats.org/officeDocument/2006/relationships/image" Target="media/image349.wmf"/><Relationship Id="rId507" Type="http://schemas.openxmlformats.org/officeDocument/2006/relationships/oleObject" Target="embeddings/oleObject152.bin"/><Relationship Id="rId506" Type="http://schemas.openxmlformats.org/officeDocument/2006/relationships/image" Target="media/image348.wmf"/><Relationship Id="rId505" Type="http://schemas.openxmlformats.org/officeDocument/2006/relationships/image" Target="media/image347.wmf"/><Relationship Id="rId504" Type="http://schemas.openxmlformats.org/officeDocument/2006/relationships/image" Target="media/image346.wmf"/><Relationship Id="rId503" Type="http://schemas.openxmlformats.org/officeDocument/2006/relationships/oleObject" Target="embeddings/oleObject151.bin"/><Relationship Id="rId502" Type="http://schemas.openxmlformats.org/officeDocument/2006/relationships/image" Target="media/image345.wmf"/><Relationship Id="rId501" Type="http://schemas.openxmlformats.org/officeDocument/2006/relationships/oleObject" Target="embeddings/oleObject150.bin"/><Relationship Id="rId500" Type="http://schemas.openxmlformats.org/officeDocument/2006/relationships/image" Target="media/image344.wmf"/><Relationship Id="rId50" Type="http://schemas.openxmlformats.org/officeDocument/2006/relationships/image" Target="media/image43.wmf"/><Relationship Id="rId5" Type="http://schemas.openxmlformats.org/officeDocument/2006/relationships/footer" Target="footer3.xml"/><Relationship Id="rId499" Type="http://schemas.openxmlformats.org/officeDocument/2006/relationships/oleObject" Target="embeddings/oleObject149.bin"/><Relationship Id="rId498" Type="http://schemas.openxmlformats.org/officeDocument/2006/relationships/image" Target="media/image343.wmf"/><Relationship Id="rId497" Type="http://schemas.openxmlformats.org/officeDocument/2006/relationships/oleObject" Target="embeddings/oleObject148.bin"/><Relationship Id="rId496" Type="http://schemas.openxmlformats.org/officeDocument/2006/relationships/image" Target="media/image342.wmf"/><Relationship Id="rId495" Type="http://schemas.openxmlformats.org/officeDocument/2006/relationships/oleObject" Target="embeddings/oleObject147.bin"/><Relationship Id="rId494" Type="http://schemas.openxmlformats.org/officeDocument/2006/relationships/image" Target="media/image341.wmf"/><Relationship Id="rId493" Type="http://schemas.openxmlformats.org/officeDocument/2006/relationships/oleObject" Target="embeddings/oleObject146.bin"/><Relationship Id="rId492" Type="http://schemas.openxmlformats.org/officeDocument/2006/relationships/image" Target="media/image340.wmf"/><Relationship Id="rId491" Type="http://schemas.openxmlformats.org/officeDocument/2006/relationships/oleObject" Target="embeddings/oleObject145.bin"/><Relationship Id="rId490" Type="http://schemas.openxmlformats.org/officeDocument/2006/relationships/image" Target="media/image339.wmf"/><Relationship Id="rId49" Type="http://schemas.openxmlformats.org/officeDocument/2006/relationships/image" Target="media/image42.wmf"/><Relationship Id="rId489" Type="http://schemas.openxmlformats.org/officeDocument/2006/relationships/oleObject" Target="embeddings/oleObject144.bin"/><Relationship Id="rId488" Type="http://schemas.openxmlformats.org/officeDocument/2006/relationships/image" Target="media/image338.wmf"/><Relationship Id="rId487" Type="http://schemas.openxmlformats.org/officeDocument/2006/relationships/oleObject" Target="embeddings/oleObject143.bin"/><Relationship Id="rId486" Type="http://schemas.openxmlformats.org/officeDocument/2006/relationships/image" Target="media/image337.wmf"/><Relationship Id="rId485" Type="http://schemas.openxmlformats.org/officeDocument/2006/relationships/oleObject" Target="embeddings/oleObject142.bin"/><Relationship Id="rId484" Type="http://schemas.openxmlformats.org/officeDocument/2006/relationships/image" Target="media/image336.wmf"/><Relationship Id="rId483" Type="http://schemas.openxmlformats.org/officeDocument/2006/relationships/oleObject" Target="embeddings/oleObject141.bin"/><Relationship Id="rId482" Type="http://schemas.openxmlformats.org/officeDocument/2006/relationships/image" Target="media/image335.wmf"/><Relationship Id="rId481" Type="http://schemas.openxmlformats.org/officeDocument/2006/relationships/oleObject" Target="embeddings/oleObject140.bin"/><Relationship Id="rId480" Type="http://schemas.openxmlformats.org/officeDocument/2006/relationships/image" Target="media/image334.wmf"/><Relationship Id="rId48" Type="http://schemas.openxmlformats.org/officeDocument/2006/relationships/image" Target="media/image41.wmf"/><Relationship Id="rId479" Type="http://schemas.openxmlformats.org/officeDocument/2006/relationships/oleObject" Target="embeddings/oleObject139.bin"/><Relationship Id="rId478" Type="http://schemas.openxmlformats.org/officeDocument/2006/relationships/image" Target="media/image333.wmf"/><Relationship Id="rId477" Type="http://schemas.openxmlformats.org/officeDocument/2006/relationships/oleObject" Target="embeddings/oleObject138.bin"/><Relationship Id="rId476" Type="http://schemas.openxmlformats.org/officeDocument/2006/relationships/image" Target="media/image332.wmf"/><Relationship Id="rId475" Type="http://schemas.openxmlformats.org/officeDocument/2006/relationships/oleObject" Target="embeddings/oleObject137.bin"/><Relationship Id="rId474" Type="http://schemas.openxmlformats.org/officeDocument/2006/relationships/image" Target="media/image331.wmf"/><Relationship Id="rId473" Type="http://schemas.openxmlformats.org/officeDocument/2006/relationships/oleObject" Target="embeddings/oleObject136.bin"/><Relationship Id="rId472" Type="http://schemas.openxmlformats.org/officeDocument/2006/relationships/image" Target="media/image330.wmf"/><Relationship Id="rId471" Type="http://schemas.openxmlformats.org/officeDocument/2006/relationships/oleObject" Target="embeddings/oleObject135.bin"/><Relationship Id="rId470" Type="http://schemas.openxmlformats.org/officeDocument/2006/relationships/image" Target="media/image329.wmf"/><Relationship Id="rId47" Type="http://schemas.openxmlformats.org/officeDocument/2006/relationships/image" Target="media/image40.wmf"/><Relationship Id="rId469" Type="http://schemas.openxmlformats.org/officeDocument/2006/relationships/oleObject" Target="embeddings/oleObject134.bin"/><Relationship Id="rId468" Type="http://schemas.openxmlformats.org/officeDocument/2006/relationships/image" Target="media/image328.wmf"/><Relationship Id="rId467" Type="http://schemas.openxmlformats.org/officeDocument/2006/relationships/oleObject" Target="embeddings/oleObject133.bin"/><Relationship Id="rId466" Type="http://schemas.openxmlformats.org/officeDocument/2006/relationships/image" Target="media/image327.png"/><Relationship Id="rId465" Type="http://schemas.openxmlformats.org/officeDocument/2006/relationships/image" Target="media/image326.wmf"/><Relationship Id="rId464" Type="http://schemas.openxmlformats.org/officeDocument/2006/relationships/image" Target="media/image325.wmf"/><Relationship Id="rId463" Type="http://schemas.openxmlformats.org/officeDocument/2006/relationships/oleObject" Target="embeddings/oleObject132.bin"/><Relationship Id="rId462" Type="http://schemas.openxmlformats.org/officeDocument/2006/relationships/image" Target="media/image324.wmf"/><Relationship Id="rId461" Type="http://schemas.openxmlformats.org/officeDocument/2006/relationships/oleObject" Target="embeddings/oleObject131.bin"/><Relationship Id="rId460" Type="http://schemas.openxmlformats.org/officeDocument/2006/relationships/image" Target="media/image323.wmf"/><Relationship Id="rId46" Type="http://schemas.openxmlformats.org/officeDocument/2006/relationships/image" Target="media/image39.wmf"/><Relationship Id="rId459" Type="http://schemas.openxmlformats.org/officeDocument/2006/relationships/oleObject" Target="embeddings/oleObject130.bin"/><Relationship Id="rId458" Type="http://schemas.openxmlformats.org/officeDocument/2006/relationships/image" Target="media/image322.png"/><Relationship Id="rId457" Type="http://schemas.openxmlformats.org/officeDocument/2006/relationships/image" Target="media/image321.wmf"/><Relationship Id="rId456" Type="http://schemas.openxmlformats.org/officeDocument/2006/relationships/oleObject" Target="embeddings/oleObject129.bin"/><Relationship Id="rId455" Type="http://schemas.openxmlformats.org/officeDocument/2006/relationships/image" Target="media/image320.wmf"/><Relationship Id="rId454" Type="http://schemas.openxmlformats.org/officeDocument/2006/relationships/oleObject" Target="embeddings/oleObject128.bin"/><Relationship Id="rId453" Type="http://schemas.openxmlformats.org/officeDocument/2006/relationships/image" Target="media/image319.wmf"/><Relationship Id="rId452" Type="http://schemas.openxmlformats.org/officeDocument/2006/relationships/oleObject" Target="embeddings/oleObject127.bin"/><Relationship Id="rId451" Type="http://schemas.openxmlformats.org/officeDocument/2006/relationships/image" Target="media/image318.wmf"/><Relationship Id="rId450" Type="http://schemas.openxmlformats.org/officeDocument/2006/relationships/oleObject" Target="embeddings/oleObject126.bin"/><Relationship Id="rId45" Type="http://schemas.openxmlformats.org/officeDocument/2006/relationships/image" Target="media/image38.wmf"/><Relationship Id="rId449" Type="http://schemas.openxmlformats.org/officeDocument/2006/relationships/image" Target="media/image317.wmf"/><Relationship Id="rId448" Type="http://schemas.openxmlformats.org/officeDocument/2006/relationships/oleObject" Target="embeddings/oleObject125.bin"/><Relationship Id="rId447" Type="http://schemas.openxmlformats.org/officeDocument/2006/relationships/image" Target="media/image316.wmf"/><Relationship Id="rId446" Type="http://schemas.openxmlformats.org/officeDocument/2006/relationships/oleObject" Target="embeddings/oleObject124.bin"/><Relationship Id="rId445" Type="http://schemas.openxmlformats.org/officeDocument/2006/relationships/image" Target="media/image315.wmf"/><Relationship Id="rId444" Type="http://schemas.openxmlformats.org/officeDocument/2006/relationships/oleObject" Target="embeddings/oleObject123.bin"/><Relationship Id="rId443" Type="http://schemas.openxmlformats.org/officeDocument/2006/relationships/image" Target="media/image314.wmf"/><Relationship Id="rId442" Type="http://schemas.openxmlformats.org/officeDocument/2006/relationships/oleObject" Target="embeddings/oleObject122.bin"/><Relationship Id="rId441" Type="http://schemas.openxmlformats.org/officeDocument/2006/relationships/image" Target="media/image313.wmf"/><Relationship Id="rId440" Type="http://schemas.openxmlformats.org/officeDocument/2006/relationships/oleObject" Target="embeddings/oleObject121.bin"/><Relationship Id="rId44" Type="http://schemas.openxmlformats.org/officeDocument/2006/relationships/image" Target="media/image37.wmf"/><Relationship Id="rId439" Type="http://schemas.openxmlformats.org/officeDocument/2006/relationships/image" Target="media/image312.wmf"/><Relationship Id="rId438" Type="http://schemas.openxmlformats.org/officeDocument/2006/relationships/oleObject" Target="embeddings/oleObject120.bin"/><Relationship Id="rId437" Type="http://schemas.openxmlformats.org/officeDocument/2006/relationships/image" Target="media/image311.wmf"/><Relationship Id="rId436" Type="http://schemas.openxmlformats.org/officeDocument/2006/relationships/oleObject" Target="embeddings/oleObject119.bin"/><Relationship Id="rId435" Type="http://schemas.openxmlformats.org/officeDocument/2006/relationships/image" Target="media/image310.wmf"/><Relationship Id="rId434" Type="http://schemas.openxmlformats.org/officeDocument/2006/relationships/oleObject" Target="embeddings/oleObject118.bin"/><Relationship Id="rId433" Type="http://schemas.openxmlformats.org/officeDocument/2006/relationships/image" Target="media/image309.wmf"/><Relationship Id="rId432" Type="http://schemas.openxmlformats.org/officeDocument/2006/relationships/oleObject" Target="embeddings/oleObject117.bin"/><Relationship Id="rId431" Type="http://schemas.openxmlformats.org/officeDocument/2006/relationships/oleObject" Target="embeddings/oleObject116.bin"/><Relationship Id="rId430" Type="http://schemas.openxmlformats.org/officeDocument/2006/relationships/image" Target="media/image308.wmf"/><Relationship Id="rId43" Type="http://schemas.openxmlformats.org/officeDocument/2006/relationships/image" Target="media/image36.wmf"/><Relationship Id="rId429" Type="http://schemas.openxmlformats.org/officeDocument/2006/relationships/oleObject" Target="embeddings/oleObject115.bin"/><Relationship Id="rId428" Type="http://schemas.openxmlformats.org/officeDocument/2006/relationships/image" Target="media/image307.wmf"/><Relationship Id="rId427" Type="http://schemas.openxmlformats.org/officeDocument/2006/relationships/oleObject" Target="embeddings/oleObject114.bin"/><Relationship Id="rId426" Type="http://schemas.openxmlformats.org/officeDocument/2006/relationships/image" Target="media/image306.wmf"/><Relationship Id="rId425" Type="http://schemas.openxmlformats.org/officeDocument/2006/relationships/oleObject" Target="embeddings/oleObject113.bin"/><Relationship Id="rId424" Type="http://schemas.openxmlformats.org/officeDocument/2006/relationships/oleObject" Target="embeddings/oleObject112.bin"/><Relationship Id="rId423" Type="http://schemas.openxmlformats.org/officeDocument/2006/relationships/image" Target="media/image305.wmf"/><Relationship Id="rId422" Type="http://schemas.openxmlformats.org/officeDocument/2006/relationships/oleObject" Target="embeddings/oleObject111.bin"/><Relationship Id="rId421" Type="http://schemas.openxmlformats.org/officeDocument/2006/relationships/image" Target="media/image304.wmf"/><Relationship Id="rId420" Type="http://schemas.openxmlformats.org/officeDocument/2006/relationships/oleObject" Target="embeddings/oleObject110.bin"/><Relationship Id="rId42" Type="http://schemas.openxmlformats.org/officeDocument/2006/relationships/image" Target="media/image35.wmf"/><Relationship Id="rId419" Type="http://schemas.openxmlformats.org/officeDocument/2006/relationships/image" Target="media/image303.png"/><Relationship Id="rId418" Type="http://schemas.openxmlformats.org/officeDocument/2006/relationships/image" Target="media/image302.jpeg"/><Relationship Id="rId417" Type="http://schemas.openxmlformats.org/officeDocument/2006/relationships/image" Target="media/image301.jpeg"/><Relationship Id="rId416" Type="http://schemas.openxmlformats.org/officeDocument/2006/relationships/image" Target="media/image300.png"/><Relationship Id="rId415" Type="http://schemas.openxmlformats.org/officeDocument/2006/relationships/image" Target="media/image299.emf"/><Relationship Id="rId414" Type="http://schemas.openxmlformats.org/officeDocument/2006/relationships/image" Target="media/image298.emf"/><Relationship Id="rId413" Type="http://schemas.openxmlformats.org/officeDocument/2006/relationships/image" Target="media/image297.emf"/><Relationship Id="rId412" Type="http://schemas.openxmlformats.org/officeDocument/2006/relationships/image" Target="media/image296.emf"/><Relationship Id="rId411" Type="http://schemas.openxmlformats.org/officeDocument/2006/relationships/image" Target="media/image295.png"/><Relationship Id="rId410" Type="http://schemas.openxmlformats.org/officeDocument/2006/relationships/image" Target="media/image294.png"/><Relationship Id="rId41" Type="http://schemas.openxmlformats.org/officeDocument/2006/relationships/image" Target="media/image34.wmf"/><Relationship Id="rId409" Type="http://schemas.openxmlformats.org/officeDocument/2006/relationships/image" Target="media/image293.png"/><Relationship Id="rId408" Type="http://schemas.openxmlformats.org/officeDocument/2006/relationships/image" Target="media/image292.png"/><Relationship Id="rId407" Type="http://schemas.openxmlformats.org/officeDocument/2006/relationships/image" Target="media/image291.png"/><Relationship Id="rId406" Type="http://schemas.openxmlformats.org/officeDocument/2006/relationships/image" Target="media/image290.png"/><Relationship Id="rId405" Type="http://schemas.openxmlformats.org/officeDocument/2006/relationships/image" Target="media/image289.png"/><Relationship Id="rId404" Type="http://schemas.openxmlformats.org/officeDocument/2006/relationships/image" Target="media/image288.png"/><Relationship Id="rId403" Type="http://schemas.openxmlformats.org/officeDocument/2006/relationships/image" Target="media/image287.png"/><Relationship Id="rId402" Type="http://schemas.openxmlformats.org/officeDocument/2006/relationships/image" Target="media/image286.png"/><Relationship Id="rId401" Type="http://schemas.openxmlformats.org/officeDocument/2006/relationships/image" Target="media/image285.png"/><Relationship Id="rId400" Type="http://schemas.openxmlformats.org/officeDocument/2006/relationships/image" Target="media/image284.png"/><Relationship Id="rId40" Type="http://schemas.openxmlformats.org/officeDocument/2006/relationships/image" Target="media/image33.wmf"/><Relationship Id="rId4" Type="http://schemas.openxmlformats.org/officeDocument/2006/relationships/footer" Target="footer2.xml"/><Relationship Id="rId399" Type="http://schemas.openxmlformats.org/officeDocument/2006/relationships/image" Target="media/image283.png"/><Relationship Id="rId398" Type="http://schemas.openxmlformats.org/officeDocument/2006/relationships/image" Target="media/image282.png"/><Relationship Id="rId397" Type="http://schemas.openxmlformats.org/officeDocument/2006/relationships/image" Target="media/image281.png"/><Relationship Id="rId396" Type="http://schemas.openxmlformats.org/officeDocument/2006/relationships/image" Target="media/image280.png"/><Relationship Id="rId395" Type="http://schemas.openxmlformats.org/officeDocument/2006/relationships/image" Target="media/image279.png"/><Relationship Id="rId394" Type="http://schemas.openxmlformats.org/officeDocument/2006/relationships/image" Target="media/image278.png"/><Relationship Id="rId393" Type="http://schemas.openxmlformats.org/officeDocument/2006/relationships/image" Target="media/image277.png"/><Relationship Id="rId392" Type="http://schemas.openxmlformats.org/officeDocument/2006/relationships/image" Target="media/image276.png"/><Relationship Id="rId391" Type="http://schemas.openxmlformats.org/officeDocument/2006/relationships/image" Target="media/image275.png"/><Relationship Id="rId390" Type="http://schemas.openxmlformats.org/officeDocument/2006/relationships/image" Target="media/image274.png"/><Relationship Id="rId39" Type="http://schemas.openxmlformats.org/officeDocument/2006/relationships/image" Target="media/image32.wmf"/><Relationship Id="rId389" Type="http://schemas.openxmlformats.org/officeDocument/2006/relationships/image" Target="media/image273.png"/><Relationship Id="rId388" Type="http://schemas.openxmlformats.org/officeDocument/2006/relationships/image" Target="media/image272.png"/><Relationship Id="rId387" Type="http://schemas.openxmlformats.org/officeDocument/2006/relationships/image" Target="media/image271.png"/><Relationship Id="rId386" Type="http://schemas.openxmlformats.org/officeDocument/2006/relationships/image" Target="media/image270.png"/><Relationship Id="rId385" Type="http://schemas.openxmlformats.org/officeDocument/2006/relationships/image" Target="media/image269.jpeg"/><Relationship Id="rId384" Type="http://schemas.openxmlformats.org/officeDocument/2006/relationships/image" Target="media/image268.jpeg"/><Relationship Id="rId383" Type="http://schemas.openxmlformats.org/officeDocument/2006/relationships/image" Target="media/image267.png"/><Relationship Id="rId382" Type="http://schemas.openxmlformats.org/officeDocument/2006/relationships/image" Target="media/image266.png"/><Relationship Id="rId381" Type="http://schemas.openxmlformats.org/officeDocument/2006/relationships/image" Target="media/image265.png"/><Relationship Id="rId380" Type="http://schemas.openxmlformats.org/officeDocument/2006/relationships/image" Target="media/image264.png"/><Relationship Id="rId38" Type="http://schemas.openxmlformats.org/officeDocument/2006/relationships/image" Target="media/image31.wmf"/><Relationship Id="rId379" Type="http://schemas.openxmlformats.org/officeDocument/2006/relationships/image" Target="media/image263.png"/><Relationship Id="rId378" Type="http://schemas.openxmlformats.org/officeDocument/2006/relationships/image" Target="media/image262.png"/><Relationship Id="rId377" Type="http://schemas.openxmlformats.org/officeDocument/2006/relationships/image" Target="media/image261.png"/><Relationship Id="rId376" Type="http://schemas.openxmlformats.org/officeDocument/2006/relationships/image" Target="media/image260.png"/><Relationship Id="rId375" Type="http://schemas.openxmlformats.org/officeDocument/2006/relationships/image" Target="media/image259.png"/><Relationship Id="rId374" Type="http://schemas.openxmlformats.org/officeDocument/2006/relationships/image" Target="media/image258.png"/><Relationship Id="rId373" Type="http://schemas.openxmlformats.org/officeDocument/2006/relationships/image" Target="media/image257.png"/><Relationship Id="rId372" Type="http://schemas.openxmlformats.org/officeDocument/2006/relationships/image" Target="media/image256.png"/><Relationship Id="rId371" Type="http://schemas.openxmlformats.org/officeDocument/2006/relationships/image" Target="media/image255.wmf"/><Relationship Id="rId370" Type="http://schemas.openxmlformats.org/officeDocument/2006/relationships/image" Target="media/image254.png"/><Relationship Id="rId37" Type="http://schemas.openxmlformats.org/officeDocument/2006/relationships/image" Target="media/image30.wmf"/><Relationship Id="rId369" Type="http://schemas.openxmlformats.org/officeDocument/2006/relationships/image" Target="media/image253.wmf"/><Relationship Id="rId368" Type="http://schemas.openxmlformats.org/officeDocument/2006/relationships/image" Target="media/image252.png"/><Relationship Id="rId367" Type="http://schemas.openxmlformats.org/officeDocument/2006/relationships/image" Target="media/image251.wmf"/><Relationship Id="rId366" Type="http://schemas.openxmlformats.org/officeDocument/2006/relationships/image" Target="media/image250.wmf"/><Relationship Id="rId365" Type="http://schemas.openxmlformats.org/officeDocument/2006/relationships/image" Target="media/image249.wmf"/><Relationship Id="rId364" Type="http://schemas.openxmlformats.org/officeDocument/2006/relationships/image" Target="media/image248.wmf"/><Relationship Id="rId363" Type="http://schemas.openxmlformats.org/officeDocument/2006/relationships/image" Target="media/image247.wmf"/><Relationship Id="rId362" Type="http://schemas.openxmlformats.org/officeDocument/2006/relationships/image" Target="media/image246.wmf"/><Relationship Id="rId361" Type="http://schemas.openxmlformats.org/officeDocument/2006/relationships/image" Target="media/image245.jpeg"/><Relationship Id="rId360" Type="http://schemas.openxmlformats.org/officeDocument/2006/relationships/image" Target="media/image244.png"/><Relationship Id="rId36" Type="http://schemas.openxmlformats.org/officeDocument/2006/relationships/image" Target="media/image29.wmf"/><Relationship Id="rId359" Type="http://schemas.openxmlformats.org/officeDocument/2006/relationships/image" Target="media/image243.png"/><Relationship Id="rId358" Type="http://schemas.openxmlformats.org/officeDocument/2006/relationships/image" Target="media/image242.png"/><Relationship Id="rId357" Type="http://schemas.openxmlformats.org/officeDocument/2006/relationships/image" Target="media/image241.wmf"/><Relationship Id="rId356" Type="http://schemas.openxmlformats.org/officeDocument/2006/relationships/image" Target="media/image240.wmf"/><Relationship Id="rId355" Type="http://schemas.openxmlformats.org/officeDocument/2006/relationships/image" Target="media/image239.png"/><Relationship Id="rId354" Type="http://schemas.openxmlformats.org/officeDocument/2006/relationships/image" Target="media/image238.png"/><Relationship Id="rId353" Type="http://schemas.openxmlformats.org/officeDocument/2006/relationships/image" Target="media/image237.png"/><Relationship Id="rId352" Type="http://schemas.openxmlformats.org/officeDocument/2006/relationships/image" Target="media/image236.png"/><Relationship Id="rId351" Type="http://schemas.openxmlformats.org/officeDocument/2006/relationships/image" Target="media/image235.png"/><Relationship Id="rId350" Type="http://schemas.openxmlformats.org/officeDocument/2006/relationships/image" Target="media/image234.png"/><Relationship Id="rId35" Type="http://schemas.openxmlformats.org/officeDocument/2006/relationships/image" Target="media/image28.wmf"/><Relationship Id="rId349" Type="http://schemas.openxmlformats.org/officeDocument/2006/relationships/image" Target="media/image233.png"/><Relationship Id="rId348" Type="http://schemas.openxmlformats.org/officeDocument/2006/relationships/image" Target="media/image232.png"/><Relationship Id="rId347" Type="http://schemas.openxmlformats.org/officeDocument/2006/relationships/image" Target="media/image231.png"/><Relationship Id="rId346" Type="http://schemas.openxmlformats.org/officeDocument/2006/relationships/image" Target="media/image230.png"/><Relationship Id="rId345" Type="http://schemas.openxmlformats.org/officeDocument/2006/relationships/image" Target="media/image229.png"/><Relationship Id="rId344" Type="http://schemas.openxmlformats.org/officeDocument/2006/relationships/image" Target="media/image228.png"/><Relationship Id="rId343" Type="http://schemas.openxmlformats.org/officeDocument/2006/relationships/image" Target="media/image227.png"/><Relationship Id="rId342" Type="http://schemas.openxmlformats.org/officeDocument/2006/relationships/image" Target="media/image226.png"/><Relationship Id="rId341" Type="http://schemas.openxmlformats.org/officeDocument/2006/relationships/image" Target="media/image225.png"/><Relationship Id="rId340" Type="http://schemas.openxmlformats.org/officeDocument/2006/relationships/image" Target="media/image224.png"/><Relationship Id="rId34" Type="http://schemas.openxmlformats.org/officeDocument/2006/relationships/image" Target="media/image27.wmf"/><Relationship Id="rId339" Type="http://schemas.openxmlformats.org/officeDocument/2006/relationships/image" Target="media/image223.png"/><Relationship Id="rId338" Type="http://schemas.openxmlformats.org/officeDocument/2006/relationships/image" Target="media/image222.png"/><Relationship Id="rId337" Type="http://schemas.openxmlformats.org/officeDocument/2006/relationships/image" Target="media/image221.png"/><Relationship Id="rId336" Type="http://schemas.openxmlformats.org/officeDocument/2006/relationships/image" Target="media/image220.png"/><Relationship Id="rId335" Type="http://schemas.openxmlformats.org/officeDocument/2006/relationships/image" Target="media/image219.png"/><Relationship Id="rId334" Type="http://schemas.openxmlformats.org/officeDocument/2006/relationships/image" Target="media/image218.png"/><Relationship Id="rId333" Type="http://schemas.openxmlformats.org/officeDocument/2006/relationships/image" Target="media/image217.png"/><Relationship Id="rId332" Type="http://schemas.openxmlformats.org/officeDocument/2006/relationships/image" Target="media/image216.wmf"/><Relationship Id="rId331" Type="http://schemas.openxmlformats.org/officeDocument/2006/relationships/image" Target="media/image215.png"/><Relationship Id="rId330" Type="http://schemas.openxmlformats.org/officeDocument/2006/relationships/image" Target="media/image214.png"/><Relationship Id="rId33" Type="http://schemas.openxmlformats.org/officeDocument/2006/relationships/image" Target="media/image26.wmf"/><Relationship Id="rId329" Type="http://schemas.openxmlformats.org/officeDocument/2006/relationships/image" Target="media/image213.png"/><Relationship Id="rId328" Type="http://schemas.openxmlformats.org/officeDocument/2006/relationships/image" Target="media/image212.png"/><Relationship Id="rId327" Type="http://schemas.openxmlformats.org/officeDocument/2006/relationships/image" Target="media/image211.png"/><Relationship Id="rId326" Type="http://schemas.openxmlformats.org/officeDocument/2006/relationships/image" Target="media/image210.png"/><Relationship Id="rId325" Type="http://schemas.openxmlformats.org/officeDocument/2006/relationships/image" Target="media/image209.png"/><Relationship Id="rId324" Type="http://schemas.openxmlformats.org/officeDocument/2006/relationships/image" Target="media/image208.png"/><Relationship Id="rId323" Type="http://schemas.openxmlformats.org/officeDocument/2006/relationships/image" Target="media/image207.png"/><Relationship Id="rId322" Type="http://schemas.openxmlformats.org/officeDocument/2006/relationships/image" Target="media/image206.png"/><Relationship Id="rId321" Type="http://schemas.openxmlformats.org/officeDocument/2006/relationships/image" Target="media/image205.png"/><Relationship Id="rId320" Type="http://schemas.openxmlformats.org/officeDocument/2006/relationships/image" Target="media/image204.png"/><Relationship Id="rId32" Type="http://schemas.openxmlformats.org/officeDocument/2006/relationships/image" Target="media/image25.wmf"/><Relationship Id="rId319" Type="http://schemas.openxmlformats.org/officeDocument/2006/relationships/image" Target="media/image203.png"/><Relationship Id="rId318" Type="http://schemas.openxmlformats.org/officeDocument/2006/relationships/image" Target="media/image202.png"/><Relationship Id="rId317" Type="http://schemas.openxmlformats.org/officeDocument/2006/relationships/image" Target="media/image201.png"/><Relationship Id="rId316" Type="http://schemas.openxmlformats.org/officeDocument/2006/relationships/image" Target="media/image200.png"/><Relationship Id="rId315" Type="http://schemas.openxmlformats.org/officeDocument/2006/relationships/image" Target="media/image199.png"/><Relationship Id="rId314" Type="http://schemas.openxmlformats.org/officeDocument/2006/relationships/image" Target="media/image198.png"/><Relationship Id="rId313" Type="http://schemas.openxmlformats.org/officeDocument/2006/relationships/image" Target="media/image197.png"/><Relationship Id="rId312" Type="http://schemas.openxmlformats.org/officeDocument/2006/relationships/image" Target="media/image196.jpeg"/><Relationship Id="rId311" Type="http://schemas.openxmlformats.org/officeDocument/2006/relationships/image" Target="media/image195.jpeg"/><Relationship Id="rId310" Type="http://schemas.openxmlformats.org/officeDocument/2006/relationships/image" Target="media/image194.wmf"/><Relationship Id="rId31" Type="http://schemas.openxmlformats.org/officeDocument/2006/relationships/image" Target="media/image24.wmf"/><Relationship Id="rId309" Type="http://schemas.openxmlformats.org/officeDocument/2006/relationships/image" Target="media/image193.wmf"/><Relationship Id="rId308" Type="http://schemas.openxmlformats.org/officeDocument/2006/relationships/image" Target="media/image192.wmf"/><Relationship Id="rId307" Type="http://schemas.openxmlformats.org/officeDocument/2006/relationships/oleObject" Target="embeddings/oleObject109.bin"/><Relationship Id="rId306" Type="http://schemas.openxmlformats.org/officeDocument/2006/relationships/image" Target="media/image191.wmf"/><Relationship Id="rId305" Type="http://schemas.openxmlformats.org/officeDocument/2006/relationships/image" Target="media/image190.wmf"/><Relationship Id="rId304" Type="http://schemas.openxmlformats.org/officeDocument/2006/relationships/image" Target="media/image189.wmf"/><Relationship Id="rId303" Type="http://schemas.openxmlformats.org/officeDocument/2006/relationships/image" Target="media/image188.emf"/><Relationship Id="rId302" Type="http://schemas.openxmlformats.org/officeDocument/2006/relationships/image" Target="media/image187.wmf"/><Relationship Id="rId301" Type="http://schemas.openxmlformats.org/officeDocument/2006/relationships/image" Target="media/image186.wmf"/><Relationship Id="rId300" Type="http://schemas.openxmlformats.org/officeDocument/2006/relationships/image" Target="media/image185.wmf"/><Relationship Id="rId30" Type="http://schemas.openxmlformats.org/officeDocument/2006/relationships/image" Target="media/image23.wmf"/><Relationship Id="rId3" Type="http://schemas.openxmlformats.org/officeDocument/2006/relationships/footer" Target="footer1.xml"/><Relationship Id="rId299" Type="http://schemas.openxmlformats.org/officeDocument/2006/relationships/oleObject" Target="embeddings/oleObject108.bin"/><Relationship Id="rId298" Type="http://schemas.openxmlformats.org/officeDocument/2006/relationships/image" Target="media/image184.wmf"/><Relationship Id="rId297" Type="http://schemas.openxmlformats.org/officeDocument/2006/relationships/oleObject" Target="embeddings/oleObject107.bin"/><Relationship Id="rId296" Type="http://schemas.openxmlformats.org/officeDocument/2006/relationships/image" Target="media/image183.wmf"/><Relationship Id="rId295" Type="http://schemas.openxmlformats.org/officeDocument/2006/relationships/image" Target="media/image182.wmf"/><Relationship Id="rId294" Type="http://schemas.openxmlformats.org/officeDocument/2006/relationships/image" Target="media/image181.png"/><Relationship Id="rId293" Type="http://schemas.openxmlformats.org/officeDocument/2006/relationships/image" Target="media/image180.wmf"/><Relationship Id="rId292" Type="http://schemas.openxmlformats.org/officeDocument/2006/relationships/image" Target="media/image179.wmf"/><Relationship Id="rId291" Type="http://schemas.openxmlformats.org/officeDocument/2006/relationships/oleObject" Target="embeddings/oleObject106.bin"/><Relationship Id="rId290" Type="http://schemas.openxmlformats.org/officeDocument/2006/relationships/image" Target="media/image178.wmf"/><Relationship Id="rId29" Type="http://schemas.openxmlformats.org/officeDocument/2006/relationships/image" Target="media/image22.wmf"/><Relationship Id="rId289" Type="http://schemas.openxmlformats.org/officeDocument/2006/relationships/image" Target="media/image177.wmf"/><Relationship Id="rId288" Type="http://schemas.openxmlformats.org/officeDocument/2006/relationships/image" Target="media/image176.png"/><Relationship Id="rId287" Type="http://schemas.openxmlformats.org/officeDocument/2006/relationships/oleObject" Target="embeddings/oleObject105.bin"/><Relationship Id="rId286" Type="http://schemas.openxmlformats.org/officeDocument/2006/relationships/oleObject" Target="embeddings/oleObject104.bin"/><Relationship Id="rId285" Type="http://schemas.openxmlformats.org/officeDocument/2006/relationships/image" Target="media/image175.wmf"/><Relationship Id="rId284" Type="http://schemas.openxmlformats.org/officeDocument/2006/relationships/oleObject" Target="embeddings/oleObject103.bin"/><Relationship Id="rId283" Type="http://schemas.openxmlformats.org/officeDocument/2006/relationships/image" Target="media/image174.wmf"/><Relationship Id="rId282" Type="http://schemas.openxmlformats.org/officeDocument/2006/relationships/oleObject" Target="embeddings/oleObject102.bin"/><Relationship Id="rId281" Type="http://schemas.openxmlformats.org/officeDocument/2006/relationships/image" Target="media/image173.wmf"/><Relationship Id="rId280" Type="http://schemas.openxmlformats.org/officeDocument/2006/relationships/oleObject" Target="embeddings/oleObject101.bin"/><Relationship Id="rId28" Type="http://schemas.openxmlformats.org/officeDocument/2006/relationships/image" Target="media/image21.wmf"/><Relationship Id="rId279" Type="http://schemas.openxmlformats.org/officeDocument/2006/relationships/image" Target="media/image172.wmf"/><Relationship Id="rId278" Type="http://schemas.openxmlformats.org/officeDocument/2006/relationships/oleObject" Target="embeddings/oleObject100.bin"/><Relationship Id="rId277" Type="http://schemas.openxmlformats.org/officeDocument/2006/relationships/image" Target="media/image171.wmf"/><Relationship Id="rId276" Type="http://schemas.openxmlformats.org/officeDocument/2006/relationships/oleObject" Target="embeddings/oleObject99.bin"/><Relationship Id="rId275" Type="http://schemas.openxmlformats.org/officeDocument/2006/relationships/image" Target="media/image170.wmf"/><Relationship Id="rId274" Type="http://schemas.openxmlformats.org/officeDocument/2006/relationships/oleObject" Target="embeddings/oleObject98.bin"/><Relationship Id="rId273" Type="http://schemas.openxmlformats.org/officeDocument/2006/relationships/image" Target="media/image169.wmf"/><Relationship Id="rId272" Type="http://schemas.openxmlformats.org/officeDocument/2006/relationships/oleObject" Target="embeddings/oleObject97.bin"/><Relationship Id="rId271" Type="http://schemas.openxmlformats.org/officeDocument/2006/relationships/image" Target="media/image168.wmf"/><Relationship Id="rId270" Type="http://schemas.openxmlformats.org/officeDocument/2006/relationships/oleObject" Target="embeddings/oleObject96.bin"/><Relationship Id="rId27" Type="http://schemas.openxmlformats.org/officeDocument/2006/relationships/image" Target="media/image20.wmf"/><Relationship Id="rId269" Type="http://schemas.openxmlformats.org/officeDocument/2006/relationships/image" Target="media/image167.wmf"/><Relationship Id="rId268" Type="http://schemas.openxmlformats.org/officeDocument/2006/relationships/oleObject" Target="embeddings/oleObject95.bin"/><Relationship Id="rId267" Type="http://schemas.openxmlformats.org/officeDocument/2006/relationships/image" Target="media/image166.wmf"/><Relationship Id="rId266" Type="http://schemas.openxmlformats.org/officeDocument/2006/relationships/oleObject" Target="embeddings/oleObject94.bin"/><Relationship Id="rId265" Type="http://schemas.openxmlformats.org/officeDocument/2006/relationships/image" Target="media/image165.png"/><Relationship Id="rId264" Type="http://schemas.openxmlformats.org/officeDocument/2006/relationships/image" Target="media/image164.wmf"/><Relationship Id="rId263" Type="http://schemas.openxmlformats.org/officeDocument/2006/relationships/image" Target="media/image163.wmf"/><Relationship Id="rId262" Type="http://schemas.openxmlformats.org/officeDocument/2006/relationships/image" Target="media/image162.wmf"/><Relationship Id="rId261" Type="http://schemas.openxmlformats.org/officeDocument/2006/relationships/oleObject" Target="embeddings/oleObject93.bin"/><Relationship Id="rId260" Type="http://schemas.openxmlformats.org/officeDocument/2006/relationships/image" Target="media/image161.wmf"/><Relationship Id="rId26" Type="http://schemas.openxmlformats.org/officeDocument/2006/relationships/image" Target="media/image19.wmf"/><Relationship Id="rId259" Type="http://schemas.openxmlformats.org/officeDocument/2006/relationships/oleObject" Target="embeddings/oleObject92.bin"/><Relationship Id="rId258" Type="http://schemas.openxmlformats.org/officeDocument/2006/relationships/image" Target="media/image160.wmf"/><Relationship Id="rId257" Type="http://schemas.openxmlformats.org/officeDocument/2006/relationships/oleObject" Target="embeddings/oleObject91.bin"/><Relationship Id="rId256" Type="http://schemas.openxmlformats.org/officeDocument/2006/relationships/image" Target="media/image159.png"/><Relationship Id="rId255" Type="http://schemas.openxmlformats.org/officeDocument/2006/relationships/image" Target="media/image158.png"/><Relationship Id="rId254" Type="http://schemas.openxmlformats.org/officeDocument/2006/relationships/image" Target="media/image157.wmf"/><Relationship Id="rId253" Type="http://schemas.openxmlformats.org/officeDocument/2006/relationships/oleObject" Target="embeddings/oleObject90.bin"/><Relationship Id="rId252" Type="http://schemas.openxmlformats.org/officeDocument/2006/relationships/image" Target="media/image156.wmf"/><Relationship Id="rId251" Type="http://schemas.openxmlformats.org/officeDocument/2006/relationships/oleObject" Target="embeddings/oleObject89.bin"/><Relationship Id="rId250" Type="http://schemas.openxmlformats.org/officeDocument/2006/relationships/image" Target="media/image155.wmf"/><Relationship Id="rId25" Type="http://schemas.openxmlformats.org/officeDocument/2006/relationships/image" Target="media/image18.wmf"/><Relationship Id="rId249" Type="http://schemas.openxmlformats.org/officeDocument/2006/relationships/image" Target="media/image154.wmf"/><Relationship Id="rId248" Type="http://schemas.openxmlformats.org/officeDocument/2006/relationships/image" Target="media/image153.wmf"/><Relationship Id="rId247" Type="http://schemas.openxmlformats.org/officeDocument/2006/relationships/image" Target="media/image152.wmf"/><Relationship Id="rId246" Type="http://schemas.openxmlformats.org/officeDocument/2006/relationships/image" Target="media/image151.wmf"/><Relationship Id="rId245" Type="http://schemas.openxmlformats.org/officeDocument/2006/relationships/image" Target="media/image150.wmf"/><Relationship Id="rId244" Type="http://schemas.openxmlformats.org/officeDocument/2006/relationships/oleObject" Target="embeddings/oleObject88.bin"/><Relationship Id="rId243" Type="http://schemas.openxmlformats.org/officeDocument/2006/relationships/image" Target="media/image149.wmf"/><Relationship Id="rId242" Type="http://schemas.openxmlformats.org/officeDocument/2006/relationships/image" Target="media/image148.wmf"/><Relationship Id="rId241" Type="http://schemas.openxmlformats.org/officeDocument/2006/relationships/oleObject" Target="embeddings/oleObject87.bin"/><Relationship Id="rId240" Type="http://schemas.openxmlformats.org/officeDocument/2006/relationships/oleObject" Target="embeddings/oleObject86.bin"/><Relationship Id="rId24" Type="http://schemas.openxmlformats.org/officeDocument/2006/relationships/image" Target="media/image17.wmf"/><Relationship Id="rId239" Type="http://schemas.openxmlformats.org/officeDocument/2006/relationships/oleObject" Target="embeddings/oleObject85.bin"/><Relationship Id="rId238" Type="http://schemas.openxmlformats.org/officeDocument/2006/relationships/oleObject" Target="embeddings/oleObject84.bin"/><Relationship Id="rId237" Type="http://schemas.openxmlformats.org/officeDocument/2006/relationships/oleObject" Target="embeddings/oleObject83.bin"/><Relationship Id="rId236" Type="http://schemas.openxmlformats.org/officeDocument/2006/relationships/oleObject" Target="embeddings/oleObject82.bin"/><Relationship Id="rId235" Type="http://schemas.openxmlformats.org/officeDocument/2006/relationships/oleObject" Target="embeddings/oleObject81.bin"/><Relationship Id="rId234" Type="http://schemas.openxmlformats.org/officeDocument/2006/relationships/oleObject" Target="embeddings/oleObject80.bin"/><Relationship Id="rId233" Type="http://schemas.openxmlformats.org/officeDocument/2006/relationships/image" Target="media/image147.wmf"/><Relationship Id="rId232" Type="http://schemas.openxmlformats.org/officeDocument/2006/relationships/oleObject" Target="embeddings/oleObject79.bin"/><Relationship Id="rId231" Type="http://schemas.openxmlformats.org/officeDocument/2006/relationships/image" Target="media/image146.wmf"/><Relationship Id="rId230" Type="http://schemas.openxmlformats.org/officeDocument/2006/relationships/oleObject" Target="embeddings/oleObject78.bin"/><Relationship Id="rId23" Type="http://schemas.openxmlformats.org/officeDocument/2006/relationships/image" Target="media/image16.wmf"/><Relationship Id="rId229" Type="http://schemas.openxmlformats.org/officeDocument/2006/relationships/image" Target="media/image145.wmf"/><Relationship Id="rId228" Type="http://schemas.openxmlformats.org/officeDocument/2006/relationships/oleObject" Target="embeddings/oleObject77.bin"/><Relationship Id="rId227" Type="http://schemas.openxmlformats.org/officeDocument/2006/relationships/image" Target="media/image144.wmf"/><Relationship Id="rId226" Type="http://schemas.openxmlformats.org/officeDocument/2006/relationships/image" Target="media/image143.wmf"/><Relationship Id="rId225" Type="http://schemas.openxmlformats.org/officeDocument/2006/relationships/oleObject" Target="embeddings/oleObject76.bin"/><Relationship Id="rId224" Type="http://schemas.openxmlformats.org/officeDocument/2006/relationships/image" Target="media/image142.wmf"/><Relationship Id="rId223" Type="http://schemas.openxmlformats.org/officeDocument/2006/relationships/oleObject" Target="embeddings/oleObject75.bin"/><Relationship Id="rId222" Type="http://schemas.openxmlformats.org/officeDocument/2006/relationships/image" Target="media/image141.wmf"/><Relationship Id="rId221" Type="http://schemas.openxmlformats.org/officeDocument/2006/relationships/oleObject" Target="embeddings/oleObject74.bin"/><Relationship Id="rId220" Type="http://schemas.openxmlformats.org/officeDocument/2006/relationships/image" Target="media/image140.wmf"/><Relationship Id="rId22" Type="http://schemas.openxmlformats.org/officeDocument/2006/relationships/image" Target="media/image15.wmf"/><Relationship Id="rId219" Type="http://schemas.openxmlformats.org/officeDocument/2006/relationships/oleObject" Target="embeddings/oleObject73.bin"/><Relationship Id="rId218" Type="http://schemas.openxmlformats.org/officeDocument/2006/relationships/image" Target="media/image139.wmf"/><Relationship Id="rId217" Type="http://schemas.openxmlformats.org/officeDocument/2006/relationships/oleObject" Target="embeddings/oleObject72.bin"/><Relationship Id="rId216" Type="http://schemas.openxmlformats.org/officeDocument/2006/relationships/image" Target="media/image138.wmf"/><Relationship Id="rId215" Type="http://schemas.openxmlformats.org/officeDocument/2006/relationships/oleObject" Target="embeddings/oleObject71.bin"/><Relationship Id="rId214" Type="http://schemas.openxmlformats.org/officeDocument/2006/relationships/image" Target="media/image137.wmf"/><Relationship Id="rId213" Type="http://schemas.openxmlformats.org/officeDocument/2006/relationships/oleObject" Target="embeddings/oleObject70.bin"/><Relationship Id="rId212" Type="http://schemas.openxmlformats.org/officeDocument/2006/relationships/image" Target="media/image136.wmf"/><Relationship Id="rId211" Type="http://schemas.openxmlformats.org/officeDocument/2006/relationships/oleObject" Target="embeddings/oleObject69.bin"/><Relationship Id="rId210" Type="http://schemas.openxmlformats.org/officeDocument/2006/relationships/image" Target="media/image135.wmf"/><Relationship Id="rId21" Type="http://schemas.openxmlformats.org/officeDocument/2006/relationships/image" Target="media/image14.wmf"/><Relationship Id="rId209" Type="http://schemas.openxmlformats.org/officeDocument/2006/relationships/oleObject" Target="embeddings/oleObject68.bin"/><Relationship Id="rId208" Type="http://schemas.openxmlformats.org/officeDocument/2006/relationships/image" Target="media/image134.wmf"/><Relationship Id="rId207" Type="http://schemas.openxmlformats.org/officeDocument/2006/relationships/oleObject" Target="embeddings/oleObject67.bin"/><Relationship Id="rId206" Type="http://schemas.openxmlformats.org/officeDocument/2006/relationships/image" Target="media/image133.wmf"/><Relationship Id="rId205" Type="http://schemas.openxmlformats.org/officeDocument/2006/relationships/oleObject" Target="embeddings/oleObject66.bin"/><Relationship Id="rId204" Type="http://schemas.openxmlformats.org/officeDocument/2006/relationships/image" Target="media/image132.wmf"/><Relationship Id="rId203" Type="http://schemas.openxmlformats.org/officeDocument/2006/relationships/oleObject" Target="embeddings/oleObject65.bin"/><Relationship Id="rId202" Type="http://schemas.openxmlformats.org/officeDocument/2006/relationships/image" Target="media/image131.wmf"/><Relationship Id="rId201" Type="http://schemas.openxmlformats.org/officeDocument/2006/relationships/oleObject" Target="embeddings/oleObject64.bin"/><Relationship Id="rId200" Type="http://schemas.openxmlformats.org/officeDocument/2006/relationships/image" Target="media/image130.wmf"/><Relationship Id="rId20" Type="http://schemas.openxmlformats.org/officeDocument/2006/relationships/image" Target="media/image13.wmf"/><Relationship Id="rId2" Type="http://schemas.openxmlformats.org/officeDocument/2006/relationships/settings" Target="settings.xml"/><Relationship Id="rId199" Type="http://schemas.openxmlformats.org/officeDocument/2006/relationships/oleObject" Target="embeddings/oleObject63.bin"/><Relationship Id="rId198" Type="http://schemas.openxmlformats.org/officeDocument/2006/relationships/image" Target="media/image129.wmf"/><Relationship Id="rId197" Type="http://schemas.openxmlformats.org/officeDocument/2006/relationships/oleObject" Target="embeddings/oleObject62.bin"/><Relationship Id="rId196" Type="http://schemas.openxmlformats.org/officeDocument/2006/relationships/image" Target="media/image128.wmf"/><Relationship Id="rId195" Type="http://schemas.openxmlformats.org/officeDocument/2006/relationships/oleObject" Target="embeddings/oleObject61.bin"/><Relationship Id="rId194" Type="http://schemas.openxmlformats.org/officeDocument/2006/relationships/image" Target="media/image127.wmf"/><Relationship Id="rId193" Type="http://schemas.openxmlformats.org/officeDocument/2006/relationships/oleObject" Target="embeddings/oleObject60.bin"/><Relationship Id="rId192" Type="http://schemas.openxmlformats.org/officeDocument/2006/relationships/image" Target="media/image126.wmf"/><Relationship Id="rId191" Type="http://schemas.openxmlformats.org/officeDocument/2006/relationships/oleObject" Target="embeddings/oleObject59.bin"/><Relationship Id="rId190" Type="http://schemas.openxmlformats.org/officeDocument/2006/relationships/image" Target="media/image125.wmf"/><Relationship Id="rId19" Type="http://schemas.openxmlformats.org/officeDocument/2006/relationships/image" Target="media/image12.wmf"/><Relationship Id="rId189" Type="http://schemas.openxmlformats.org/officeDocument/2006/relationships/oleObject" Target="embeddings/oleObject58.bin"/><Relationship Id="rId188" Type="http://schemas.openxmlformats.org/officeDocument/2006/relationships/image" Target="media/image124.wmf"/><Relationship Id="rId187" Type="http://schemas.openxmlformats.org/officeDocument/2006/relationships/oleObject" Target="embeddings/oleObject57.bin"/><Relationship Id="rId186" Type="http://schemas.openxmlformats.org/officeDocument/2006/relationships/image" Target="media/image123.wmf"/><Relationship Id="rId185" Type="http://schemas.openxmlformats.org/officeDocument/2006/relationships/oleObject" Target="embeddings/oleObject56.bin"/><Relationship Id="rId184" Type="http://schemas.openxmlformats.org/officeDocument/2006/relationships/image" Target="media/image122.wmf"/><Relationship Id="rId183" Type="http://schemas.openxmlformats.org/officeDocument/2006/relationships/oleObject" Target="embeddings/oleObject55.bin"/><Relationship Id="rId182" Type="http://schemas.openxmlformats.org/officeDocument/2006/relationships/image" Target="media/image121.wmf"/><Relationship Id="rId181" Type="http://schemas.openxmlformats.org/officeDocument/2006/relationships/oleObject" Target="embeddings/oleObject54.bin"/><Relationship Id="rId180" Type="http://schemas.openxmlformats.org/officeDocument/2006/relationships/image" Target="media/image120.wmf"/><Relationship Id="rId18" Type="http://schemas.openxmlformats.org/officeDocument/2006/relationships/image" Target="media/image11.wmf"/><Relationship Id="rId179" Type="http://schemas.openxmlformats.org/officeDocument/2006/relationships/oleObject" Target="embeddings/oleObject53.bin"/><Relationship Id="rId178" Type="http://schemas.openxmlformats.org/officeDocument/2006/relationships/image" Target="media/image119.wmf"/><Relationship Id="rId177" Type="http://schemas.openxmlformats.org/officeDocument/2006/relationships/oleObject" Target="embeddings/oleObject52.bin"/><Relationship Id="rId176" Type="http://schemas.openxmlformats.org/officeDocument/2006/relationships/image" Target="media/image118.wmf"/><Relationship Id="rId175" Type="http://schemas.openxmlformats.org/officeDocument/2006/relationships/oleObject" Target="embeddings/oleObject51.bin"/><Relationship Id="rId174" Type="http://schemas.openxmlformats.org/officeDocument/2006/relationships/image" Target="media/image117.wmf"/><Relationship Id="rId173" Type="http://schemas.openxmlformats.org/officeDocument/2006/relationships/oleObject" Target="embeddings/oleObject50.bin"/><Relationship Id="rId172" Type="http://schemas.openxmlformats.org/officeDocument/2006/relationships/image" Target="media/image116.wmf"/><Relationship Id="rId171" Type="http://schemas.openxmlformats.org/officeDocument/2006/relationships/oleObject" Target="embeddings/oleObject49.bin"/><Relationship Id="rId170" Type="http://schemas.openxmlformats.org/officeDocument/2006/relationships/image" Target="media/image115.wmf"/><Relationship Id="rId17" Type="http://schemas.openxmlformats.org/officeDocument/2006/relationships/image" Target="media/image10.wmf"/><Relationship Id="rId169" Type="http://schemas.openxmlformats.org/officeDocument/2006/relationships/oleObject" Target="embeddings/oleObject48.bin"/><Relationship Id="rId168" Type="http://schemas.openxmlformats.org/officeDocument/2006/relationships/image" Target="media/image114.emf"/><Relationship Id="rId167" Type="http://schemas.openxmlformats.org/officeDocument/2006/relationships/image" Target="media/image113.wmf"/><Relationship Id="rId166" Type="http://schemas.openxmlformats.org/officeDocument/2006/relationships/oleObject" Target="embeddings/oleObject47.bin"/><Relationship Id="rId165" Type="http://schemas.openxmlformats.org/officeDocument/2006/relationships/image" Target="media/image112.wmf"/><Relationship Id="rId164" Type="http://schemas.openxmlformats.org/officeDocument/2006/relationships/oleObject" Target="embeddings/oleObject46.bin"/><Relationship Id="rId163" Type="http://schemas.openxmlformats.org/officeDocument/2006/relationships/oleObject" Target="embeddings/oleObject45.bin"/><Relationship Id="rId162" Type="http://schemas.openxmlformats.org/officeDocument/2006/relationships/image" Target="media/image111.wmf"/><Relationship Id="rId161" Type="http://schemas.openxmlformats.org/officeDocument/2006/relationships/oleObject" Target="embeddings/oleObject44.bin"/><Relationship Id="rId160" Type="http://schemas.openxmlformats.org/officeDocument/2006/relationships/oleObject" Target="embeddings/oleObject43.bin"/><Relationship Id="rId16" Type="http://schemas.openxmlformats.org/officeDocument/2006/relationships/image" Target="media/image9.wmf"/><Relationship Id="rId159" Type="http://schemas.openxmlformats.org/officeDocument/2006/relationships/oleObject" Target="embeddings/oleObject42.bin"/><Relationship Id="rId158" Type="http://schemas.openxmlformats.org/officeDocument/2006/relationships/oleObject" Target="embeddings/oleObject41.bin"/><Relationship Id="rId157" Type="http://schemas.openxmlformats.org/officeDocument/2006/relationships/image" Target="media/image110.wmf"/><Relationship Id="rId156" Type="http://schemas.openxmlformats.org/officeDocument/2006/relationships/oleObject" Target="embeddings/oleObject40.bin"/><Relationship Id="rId155" Type="http://schemas.openxmlformats.org/officeDocument/2006/relationships/image" Target="media/image109.emf"/><Relationship Id="rId154" Type="http://schemas.openxmlformats.org/officeDocument/2006/relationships/oleObject" Target="embeddings/oleObject39.bin"/><Relationship Id="rId153" Type="http://schemas.openxmlformats.org/officeDocument/2006/relationships/oleObject" Target="embeddings/oleObject38.bin"/><Relationship Id="rId152" Type="http://schemas.openxmlformats.org/officeDocument/2006/relationships/oleObject" Target="embeddings/oleObject37.bin"/><Relationship Id="rId151" Type="http://schemas.openxmlformats.org/officeDocument/2006/relationships/image" Target="media/image108.wmf"/><Relationship Id="rId150" Type="http://schemas.openxmlformats.org/officeDocument/2006/relationships/oleObject" Target="embeddings/oleObject36.bin"/><Relationship Id="rId15" Type="http://schemas.openxmlformats.org/officeDocument/2006/relationships/image" Target="media/image8.wmf"/><Relationship Id="rId149" Type="http://schemas.openxmlformats.org/officeDocument/2006/relationships/oleObject" Target="embeddings/oleObject35.bin"/><Relationship Id="rId148" Type="http://schemas.openxmlformats.org/officeDocument/2006/relationships/image" Target="media/image107.wmf"/><Relationship Id="rId147" Type="http://schemas.openxmlformats.org/officeDocument/2006/relationships/oleObject" Target="embeddings/oleObject34.bin"/><Relationship Id="rId146" Type="http://schemas.openxmlformats.org/officeDocument/2006/relationships/oleObject" Target="embeddings/oleObject33.bin"/><Relationship Id="rId145" Type="http://schemas.openxmlformats.org/officeDocument/2006/relationships/oleObject" Target="embeddings/oleObject32.bin"/><Relationship Id="rId144" Type="http://schemas.openxmlformats.org/officeDocument/2006/relationships/image" Target="media/image106.wmf"/><Relationship Id="rId143" Type="http://schemas.openxmlformats.org/officeDocument/2006/relationships/oleObject" Target="embeddings/oleObject31.bin"/><Relationship Id="rId142" Type="http://schemas.openxmlformats.org/officeDocument/2006/relationships/image" Target="media/image105.wmf"/><Relationship Id="rId141" Type="http://schemas.openxmlformats.org/officeDocument/2006/relationships/oleObject" Target="embeddings/oleObject30.bin"/><Relationship Id="rId140" Type="http://schemas.openxmlformats.org/officeDocument/2006/relationships/image" Target="media/image104.wmf"/><Relationship Id="rId14" Type="http://schemas.openxmlformats.org/officeDocument/2006/relationships/image" Target="media/image7.wmf"/><Relationship Id="rId139" Type="http://schemas.openxmlformats.org/officeDocument/2006/relationships/oleObject" Target="embeddings/oleObject29.bin"/><Relationship Id="rId138" Type="http://schemas.openxmlformats.org/officeDocument/2006/relationships/image" Target="media/image103.wmf"/><Relationship Id="rId137" Type="http://schemas.openxmlformats.org/officeDocument/2006/relationships/oleObject" Target="embeddings/oleObject28.bin"/><Relationship Id="rId136" Type="http://schemas.openxmlformats.org/officeDocument/2006/relationships/image" Target="media/image102.wmf"/><Relationship Id="rId135" Type="http://schemas.openxmlformats.org/officeDocument/2006/relationships/oleObject" Target="embeddings/oleObject27.bin"/><Relationship Id="rId134" Type="http://schemas.openxmlformats.org/officeDocument/2006/relationships/image" Target="media/image101.emf"/><Relationship Id="rId133" Type="http://schemas.openxmlformats.org/officeDocument/2006/relationships/image" Target="media/image100.wmf"/><Relationship Id="rId132" Type="http://schemas.openxmlformats.org/officeDocument/2006/relationships/oleObject" Target="embeddings/oleObject26.bin"/><Relationship Id="rId131" Type="http://schemas.openxmlformats.org/officeDocument/2006/relationships/image" Target="media/image99.wmf"/><Relationship Id="rId130" Type="http://schemas.openxmlformats.org/officeDocument/2006/relationships/oleObject" Target="embeddings/oleObject25.bin"/><Relationship Id="rId13" Type="http://schemas.openxmlformats.org/officeDocument/2006/relationships/image" Target="media/image6.wmf"/><Relationship Id="rId129" Type="http://schemas.openxmlformats.org/officeDocument/2006/relationships/image" Target="media/image98.wmf"/><Relationship Id="rId128" Type="http://schemas.openxmlformats.org/officeDocument/2006/relationships/oleObject" Target="embeddings/oleObject24.bin"/><Relationship Id="rId127" Type="http://schemas.openxmlformats.org/officeDocument/2006/relationships/image" Target="media/image97.wmf"/><Relationship Id="rId126" Type="http://schemas.openxmlformats.org/officeDocument/2006/relationships/oleObject" Target="embeddings/oleObject23.bin"/><Relationship Id="rId125" Type="http://schemas.openxmlformats.org/officeDocument/2006/relationships/image" Target="media/image96.wmf"/><Relationship Id="rId124" Type="http://schemas.openxmlformats.org/officeDocument/2006/relationships/oleObject" Target="embeddings/oleObject22.bin"/><Relationship Id="rId123" Type="http://schemas.openxmlformats.org/officeDocument/2006/relationships/image" Target="media/image95.wmf"/><Relationship Id="rId122" Type="http://schemas.openxmlformats.org/officeDocument/2006/relationships/oleObject" Target="embeddings/oleObject21.bin"/><Relationship Id="rId121" Type="http://schemas.openxmlformats.org/officeDocument/2006/relationships/image" Target="media/image94.wmf"/><Relationship Id="rId120" Type="http://schemas.openxmlformats.org/officeDocument/2006/relationships/oleObject" Target="embeddings/oleObject20.bin"/><Relationship Id="rId12" Type="http://schemas.openxmlformats.org/officeDocument/2006/relationships/image" Target="media/image5.wmf"/><Relationship Id="rId119" Type="http://schemas.openxmlformats.org/officeDocument/2006/relationships/image" Target="media/image93.wmf"/><Relationship Id="rId118" Type="http://schemas.openxmlformats.org/officeDocument/2006/relationships/oleObject" Target="embeddings/oleObject19.bin"/><Relationship Id="rId117" Type="http://schemas.openxmlformats.org/officeDocument/2006/relationships/image" Target="media/image92.wmf"/><Relationship Id="rId116" Type="http://schemas.openxmlformats.org/officeDocument/2006/relationships/oleObject" Target="embeddings/oleObject18.bin"/><Relationship Id="rId115" Type="http://schemas.openxmlformats.org/officeDocument/2006/relationships/image" Target="media/image91.wmf"/><Relationship Id="rId114" Type="http://schemas.openxmlformats.org/officeDocument/2006/relationships/oleObject" Target="embeddings/oleObject17.bin"/><Relationship Id="rId113" Type="http://schemas.openxmlformats.org/officeDocument/2006/relationships/image" Target="media/image90.wmf"/><Relationship Id="rId112" Type="http://schemas.openxmlformats.org/officeDocument/2006/relationships/oleObject" Target="embeddings/oleObject16.bin"/><Relationship Id="rId111" Type="http://schemas.openxmlformats.org/officeDocument/2006/relationships/image" Target="media/image89.wmf"/><Relationship Id="rId110" Type="http://schemas.openxmlformats.org/officeDocument/2006/relationships/oleObject" Target="embeddings/oleObject15.bin"/><Relationship Id="rId11" Type="http://schemas.openxmlformats.org/officeDocument/2006/relationships/image" Target="media/image4.wmf"/><Relationship Id="rId109" Type="http://schemas.openxmlformats.org/officeDocument/2006/relationships/image" Target="media/image88.wmf"/><Relationship Id="rId108" Type="http://schemas.openxmlformats.org/officeDocument/2006/relationships/oleObject" Target="embeddings/oleObject14.bin"/><Relationship Id="rId107" Type="http://schemas.openxmlformats.org/officeDocument/2006/relationships/image" Target="media/image87.wmf"/><Relationship Id="rId106" Type="http://schemas.openxmlformats.org/officeDocument/2006/relationships/oleObject" Target="embeddings/oleObject13.bin"/><Relationship Id="rId105" Type="http://schemas.openxmlformats.org/officeDocument/2006/relationships/image" Target="media/image86.wmf"/><Relationship Id="rId104" Type="http://schemas.openxmlformats.org/officeDocument/2006/relationships/oleObject" Target="embeddings/oleObject12.bin"/><Relationship Id="rId103" Type="http://schemas.openxmlformats.org/officeDocument/2006/relationships/image" Target="media/image85.emf"/><Relationship Id="rId102" Type="http://schemas.openxmlformats.org/officeDocument/2006/relationships/image" Target="media/image84.wmf"/><Relationship Id="rId101" Type="http://schemas.openxmlformats.org/officeDocument/2006/relationships/oleObject" Target="embeddings/oleObject11.bin"/><Relationship Id="rId100" Type="http://schemas.openxmlformats.org/officeDocument/2006/relationships/image" Target="media/image83.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301"/>
    <customShpInfo spid="_x0000_s1302"/>
    <customShpInfo spid="_x0000_s1303"/>
    <customShpInfo spid="_x0000_s1304"/>
    <customShpInfo spid="_x0000_s13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291</Pages>
  <Words>143335</Words>
  <Characters>167304</Characters>
  <Lines>1336</Lines>
  <Paragraphs>376</Paragraphs>
  <TotalTime>14</TotalTime>
  <ScaleCrop>false</ScaleCrop>
  <LinksUpToDate>false</LinksUpToDate>
  <CharactersWithSpaces>182313</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2023-05-08T01:44:00Z</dcterms:created>
  <dc:creator>何亮</dc:creator>
  <cp:lastModifiedBy>baixin</cp:lastModifiedBy>
  <dcterms:modified xsi:type="dcterms:W3CDTF">2023-11-28T17:20:02Z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B07575216598402BAE0A9424C52B772B_13</vt:lpwstr>
  </property>
</Properties>
</file>